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77BB" w:rsidRDefault="00B45BA0">
      <w:pPr>
        <w:jc w:val="center"/>
      </w:pPr>
      <w:r>
        <w:rPr>
          <w:rFonts w:ascii="Calibri" w:hAnsi="Calibri"/>
          <w:b/>
          <w:bCs/>
          <w:color w:val="333333"/>
          <w:sz w:val="31"/>
          <w:szCs w:val="31"/>
        </w:rPr>
        <w:t xml:space="preserve">This text was adapted by The Saylor Foundation under a </w:t>
      </w:r>
      <w:hyperlink r:id="rId9" w:history="1">
        <w:r>
          <w:rPr>
            <w:rStyle w:val="Hyperlink"/>
            <w:rFonts w:ascii="Calibri" w:hAnsi="Calibri"/>
            <w:b/>
            <w:bCs/>
            <w:sz w:val="31"/>
            <w:szCs w:val="31"/>
          </w:rPr>
          <w:t>Creative Commons Attribution-NonCommercial-ShareAlike 3.0 License</w:t>
        </w:r>
      </w:hyperlink>
      <w:r>
        <w:rPr>
          <w:rFonts w:ascii="Calibri" w:hAnsi="Calibri"/>
          <w:b/>
          <w:bCs/>
          <w:color w:val="333333"/>
          <w:sz w:val="31"/>
          <w:szCs w:val="31"/>
        </w:rPr>
        <w:t xml:space="preserve"> without attribution as requested by the work’s original creator or licensee</w:t>
      </w:r>
      <w:r>
        <w:rPr>
          <w:rFonts w:ascii="Calibri" w:hAnsi="Calibri" w:cs="Calibri"/>
          <w:b/>
          <w:sz w:val="31"/>
          <w:szCs w:val="31"/>
        </w:rPr>
        <w:t>.</w:t>
      </w:r>
    </w:p>
    <w:p w:rsidR="00AD77BB" w:rsidRDefault="00AD77BB"/>
    <w:p w:rsidR="00AD77BB" w:rsidRDefault="00B45BA0">
      <w:pPr>
        <w:rPr>
          <w:rFonts w:ascii="Calibri" w:eastAsia="Times New Roman" w:hAnsi="Calibri" w:cs="Calibri"/>
          <w:b/>
          <w:bCs/>
          <w:color w:val="333333"/>
          <w:sz w:val="31"/>
          <w:szCs w:val="31"/>
        </w:rPr>
      </w:pPr>
      <w:r>
        <w:rPr>
          <w:rFonts w:ascii="Calibri" w:hAnsi="Calibri" w:cs="Calibri"/>
          <w:color w:val="333333"/>
          <w:sz w:val="31"/>
          <w:szCs w:val="31"/>
        </w:rPr>
        <w:br w:type="page"/>
      </w:r>
    </w:p>
    <w:p w:rsidR="00AD77BB" w:rsidRDefault="00B45BA0">
      <w:pPr>
        <w:pStyle w:val="Heading3"/>
        <w:shd w:val="clear" w:color="auto" w:fill="FFFFFF"/>
        <w:spacing w:before="0" w:beforeAutospacing="0" w:after="0" w:afterAutospacing="0" w:line="360" w:lineRule="auto"/>
        <w:jc w:val="center"/>
        <w:textAlignment w:val="baseline"/>
        <w:rPr>
          <w:rFonts w:ascii="Calibri" w:hAnsi="Calibri" w:cs="Calibri"/>
          <w:color w:val="333333"/>
          <w:sz w:val="31"/>
          <w:szCs w:val="31"/>
        </w:rPr>
      </w:pPr>
      <w:r>
        <w:rPr>
          <w:rFonts w:ascii="Calibri" w:hAnsi="Calibri" w:cs="Calibri"/>
          <w:color w:val="333333"/>
          <w:sz w:val="31"/>
          <w:szCs w:val="31"/>
        </w:rPr>
        <w:lastRenderedPageBreak/>
        <w:t>Preface</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This book is meant to be a textbook for a standard one-semester introductory statistics course for general education students. Our motivation for writing it is twofold: 1.) to provide a low-cost alternative to many existing popular textbooks on the market; and 2.) to provide a quality textbook on the subject with a focus on the core material of the course in a balanced presentation.</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high cost of textbooks has spiraled out of control in recent years. The high frequency at which new editions of popular texts appear puts a tremendous burden on students and faculty alike, as well as the natural environment. Against this background we set out to write a quality textbook with materials such as examples and exercises that age well with time and that would therefore not require frequent new editions. Our vision resonates well with the publisher’s business model which includes free digital access, reduced paper prints, and easy customization by instructors if additional material is desired.</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Over time the core content of this course has developed into a well-defined body of material that is substantial for a one-semester course. The authors believe that the students in this course are best served by a focus on the core material and not by an exposure to a plethora of peripheral topics. Therefore in writing this book we have sought to present material that comprises fully a central body of knowledge that is defined according to convention, realistic expectation with respect to course duration and students’ maturity level, and our professional judgment and experience. We believe that certain topics, among them Poisson and geometric distributions and the normal approximation to the binomial distribution (particularly with a continuity correction) are distracting in nature. Other topics, such as nonparametric methods, while important, do not belong in a first course in statistics. As a result we envision a smaller and less intimidating textbook that trades some extended and unnecessary topics for a better focused presentation of the central material.</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Textbooks for this course cover a wide range in terms of simplicity and complexity. Some popular textbooks emphasize the simplicity of individual concepts to the point of lacking the coherence of an overall network of concepts. Other textbooks include overly detailed conceptual and computational discussions and as a result repel students from reading them. The authors believe that a successful book must strike a balance between the two extremes, however difficult it may be. As a consequence the overarching guiding principle of our writing is to seek simplicity but to preserve the coherence of the whole body of information communicated, both conceptually and computationally. We seek to remind ourselves (and others) that we teach ideas, not just step-by-step algorithms, but ideas that can be implemented by straightforward algorithms.</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 our experience most students come to an introductory course in statistics with a calculator that they are familiar with and with which their proficiency is more than adequate for the course material. If the instructor chooses to use technological aids, either calculators or statistical software such as Minitab or SPSS, for more than mere arithmetical computations but as a significant component of the course then effective instruction for their use will require more extensive written instruction than a mere paragraph or two in the text. Given the plethora of such aids available, to discuss a few of them would not provide sufficiently wide or detailed coverage and to discuss many would digress unnecessarily from the conceptual focus of the book. The overarching philosophy of this textbook is to present the core material of an introductory course in statistics for non-majors in a complete yet streamlined way. Much room has been intentionally left for instructors to apply their own instructional styles as they deem appropriate for their classes and educational goals. We believe that the whole matter of what technological aids to use, and to what extent, is precisely the type of material best left to the instructor’s discretion.</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All figures with the exception of</w:t>
      </w:r>
      <w:r>
        <w:rPr>
          <w:rStyle w:val="apple-converted-space"/>
          <w:rFonts w:ascii="Georgia" w:hAnsi="Georgia"/>
          <w:color w:val="333333"/>
          <w:sz w:val="21"/>
          <w:szCs w:val="21"/>
        </w:rPr>
        <w:t> </w:t>
      </w:r>
      <w:r>
        <w:rPr>
          <w:rFonts w:ascii="Georgia" w:hAnsi="Georgia"/>
          <w:color w:val="2689C6"/>
          <w:sz w:val="21"/>
          <w:szCs w:val="21"/>
        </w:rPr>
        <w:t>Figure 1.1 "The Grand Picture of Statistics"</w:t>
      </w:r>
      <w:r>
        <w:rPr>
          <w:rFonts w:ascii="Georgia" w:hAnsi="Georgia"/>
          <w:color w:val="333333"/>
          <w:sz w:val="21"/>
          <w:szCs w:val="21"/>
        </w:rPr>
        <w:t>,</w:t>
      </w:r>
      <w:r>
        <w:rPr>
          <w:rFonts w:ascii="Georgia" w:hAnsi="Georgia"/>
          <w:color w:val="2689C6"/>
          <w:sz w:val="21"/>
          <w:szCs w:val="21"/>
        </w:rPr>
        <w:t>Figure 2.1 "Stem and Leaf Diagram"</w:t>
      </w:r>
      <w:r>
        <w:rPr>
          <w:rFonts w:ascii="Georgia" w:hAnsi="Georgia"/>
          <w:color w:val="333333"/>
          <w:sz w:val="21"/>
          <w:szCs w:val="21"/>
        </w:rPr>
        <w:t>,</w:t>
      </w:r>
      <w:r>
        <w:rPr>
          <w:rStyle w:val="apple-converted-space"/>
          <w:rFonts w:ascii="Georgia" w:hAnsi="Georgia"/>
          <w:color w:val="333333"/>
          <w:sz w:val="21"/>
          <w:szCs w:val="21"/>
        </w:rPr>
        <w:t> </w:t>
      </w:r>
      <w:r>
        <w:rPr>
          <w:rFonts w:ascii="Georgia" w:hAnsi="Georgia"/>
          <w:color w:val="2689C6"/>
          <w:sz w:val="21"/>
          <w:szCs w:val="21"/>
        </w:rPr>
        <w:t>Figure 2.2 "Ordered Stem and Leaf Diagram"</w:t>
      </w:r>
      <w:r>
        <w:rPr>
          <w:rFonts w:ascii="Georgia" w:hAnsi="Georgia"/>
          <w:color w:val="333333"/>
          <w:sz w:val="21"/>
          <w:szCs w:val="21"/>
        </w:rPr>
        <w:t>,</w:t>
      </w:r>
      <w:r>
        <w:rPr>
          <w:rFonts w:ascii="Georgia" w:hAnsi="Georgia"/>
          <w:color w:val="2689C6"/>
          <w:sz w:val="21"/>
          <w:szCs w:val="21"/>
        </w:rPr>
        <w:t>Figure 2.13 "The Box Plot"</w:t>
      </w:r>
      <w:r>
        <w:rPr>
          <w:rFonts w:ascii="Georgia" w:hAnsi="Georgia"/>
          <w:color w:val="333333"/>
          <w:sz w:val="21"/>
          <w:szCs w:val="21"/>
        </w:rPr>
        <w:t>,</w:t>
      </w:r>
      <w:r>
        <w:rPr>
          <w:rStyle w:val="apple-converted-space"/>
          <w:rFonts w:ascii="Georgia" w:hAnsi="Georgia"/>
          <w:color w:val="333333"/>
          <w:sz w:val="21"/>
          <w:szCs w:val="21"/>
        </w:rPr>
        <w:t> </w:t>
      </w:r>
      <w:r>
        <w:rPr>
          <w:rFonts w:ascii="Georgia" w:hAnsi="Georgia"/>
          <w:color w:val="2689C6"/>
          <w:sz w:val="21"/>
          <w:szCs w:val="21"/>
        </w:rPr>
        <w:t>Figure 10.4 "Linear Correlation Coefficient "</w:t>
      </w:r>
      <w:r>
        <w:rPr>
          <w:rFonts w:ascii="Georgia" w:hAnsi="Georgia"/>
          <w:color w:val="333333"/>
          <w:sz w:val="21"/>
          <w:szCs w:val="21"/>
        </w:rPr>
        <w:t>,</w:t>
      </w:r>
      <w:r>
        <w:rPr>
          <w:rStyle w:val="apple-converted-space"/>
          <w:rFonts w:ascii="Georgia" w:hAnsi="Georgia"/>
          <w:color w:val="333333"/>
          <w:sz w:val="21"/>
          <w:szCs w:val="21"/>
        </w:rPr>
        <w:t> </w:t>
      </w:r>
      <w:r>
        <w:rPr>
          <w:rFonts w:ascii="Georgia" w:hAnsi="Georgia"/>
          <w:color w:val="2689C6"/>
          <w:sz w:val="21"/>
          <w:szCs w:val="21"/>
        </w:rPr>
        <w:t>Figure 10.5 "The Simple Linear Model Concept"</w:t>
      </w:r>
      <w:r>
        <w:rPr>
          <w:rFonts w:ascii="Georgia" w:hAnsi="Georgia"/>
          <w:color w:val="333333"/>
          <w:sz w:val="21"/>
          <w:szCs w:val="21"/>
        </w:rPr>
        <w:t>, and the unnumbered figure in</w:t>
      </w:r>
      <w:r>
        <w:rPr>
          <w:rStyle w:val="apple-converted-space"/>
          <w:rFonts w:ascii="Georgia" w:hAnsi="Georgia"/>
          <w:color w:val="333333"/>
          <w:sz w:val="21"/>
          <w:szCs w:val="21"/>
        </w:rPr>
        <w:t> </w:t>
      </w:r>
      <w:r>
        <w:rPr>
          <w:rFonts w:ascii="Georgia" w:hAnsi="Georgia"/>
          <w:color w:val="2689C6"/>
          <w:sz w:val="21"/>
          <w:szCs w:val="21"/>
        </w:rPr>
        <w:t>Note 2.50 "Example 16"</w:t>
      </w:r>
      <w:r>
        <w:rPr>
          <w:rStyle w:val="apple-converted-space"/>
          <w:rFonts w:ascii="Georgia" w:hAnsi="Georgia"/>
          <w:color w:val="333333"/>
          <w:sz w:val="21"/>
          <w:szCs w:val="21"/>
        </w:rPr>
        <w:t> </w:t>
      </w:r>
      <w:r>
        <w:rPr>
          <w:rFonts w:ascii="Georgia" w:hAnsi="Georgia"/>
          <w:color w:val="333333"/>
          <w:sz w:val="21"/>
          <w:szCs w:val="21"/>
        </w:rPr>
        <w:t>of</w:t>
      </w:r>
      <w:r>
        <w:rPr>
          <w:rStyle w:val="apple-converted-space"/>
          <w:rFonts w:ascii="Georgia" w:hAnsi="Georgia"/>
          <w:color w:val="333333"/>
          <w:sz w:val="21"/>
          <w:szCs w:val="21"/>
        </w:rPr>
        <w:t> </w:t>
      </w:r>
      <w:r>
        <w:rPr>
          <w:rFonts w:ascii="Georgia" w:hAnsi="Georgia"/>
          <w:color w:val="2689C6"/>
          <w:sz w:val="21"/>
          <w:szCs w:val="21"/>
        </w:rPr>
        <w:t>Chapter 2 "Descriptive Statistics"</w:t>
      </w:r>
      <w:r>
        <w:rPr>
          <w:rStyle w:val="apple-converted-space"/>
          <w:rFonts w:ascii="Georgia" w:hAnsi="Georgia"/>
          <w:color w:val="333333"/>
          <w:sz w:val="21"/>
          <w:szCs w:val="21"/>
        </w:rPr>
        <w:t> </w:t>
      </w:r>
      <w:r>
        <w:rPr>
          <w:rFonts w:ascii="Georgia" w:hAnsi="Georgia"/>
          <w:color w:val="333333"/>
          <w:sz w:val="21"/>
          <w:szCs w:val="21"/>
        </w:rPr>
        <w:t>were generated using MATLAB, copyright 2010.</w:t>
      </w:r>
    </w:p>
    <w:p w:rsidR="00AD77BB" w:rsidRDefault="00AD77BB"/>
    <w:p w:rsidR="00AD77BB" w:rsidRDefault="00AD77BB"/>
    <w:p w:rsidR="00AD77BB" w:rsidRDefault="00AD77BB"/>
    <w:p w:rsidR="00AD77BB" w:rsidRDefault="00AD77BB"/>
    <w:p w:rsidR="00AD77BB" w:rsidRDefault="00AD77BB"/>
    <w:p w:rsidR="00AD77BB" w:rsidRDefault="00AD77BB"/>
    <w:p w:rsidR="00AD77BB" w:rsidRDefault="00AD77BB"/>
    <w:p w:rsidR="00AD77BB" w:rsidRDefault="00AD77BB"/>
    <w:p w:rsidR="00AD77BB" w:rsidRDefault="00AD77BB"/>
    <w:p w:rsidR="00AD77BB" w:rsidRDefault="00AD77BB"/>
    <w:p w:rsidR="00AD77BB" w:rsidRDefault="00AD77BB"/>
    <w:p w:rsidR="00AD77BB" w:rsidRDefault="00B45BA0">
      <w:pPr>
        <w:pStyle w:val="Heading1"/>
        <w:shd w:val="clear" w:color="auto" w:fill="FFFFFF"/>
        <w:spacing w:before="0" w:line="360" w:lineRule="auto"/>
        <w:jc w:val="center"/>
        <w:textAlignment w:val="baseline"/>
        <w:rPr>
          <w:rStyle w:val="title-prefix"/>
          <w:rFonts w:ascii="Calibri" w:hAnsi="Calibri" w:cs="Calibri"/>
          <w:color w:val="000000"/>
          <w:sz w:val="31"/>
          <w:szCs w:val="31"/>
        </w:rPr>
      </w:pPr>
      <w:r>
        <w:rPr>
          <w:rStyle w:val="title-prefix"/>
          <w:rFonts w:ascii="Calibri" w:hAnsi="Calibri" w:cs="Calibri"/>
          <w:color w:val="000000"/>
          <w:sz w:val="31"/>
          <w:szCs w:val="31"/>
        </w:rPr>
        <w:lastRenderedPageBreak/>
        <w:t>Chapter 1</w:t>
      </w:r>
    </w:p>
    <w:p w:rsidR="00AD77BB" w:rsidRDefault="00B45BA0">
      <w:pPr>
        <w:pStyle w:val="Heading1"/>
        <w:shd w:val="clear" w:color="auto" w:fill="FFFFFF"/>
        <w:spacing w:before="0" w:line="360" w:lineRule="auto"/>
        <w:jc w:val="center"/>
        <w:textAlignment w:val="baseline"/>
      </w:pPr>
      <w:r>
        <w:rPr>
          <w:rFonts w:ascii="Calibri" w:hAnsi="Calibri" w:cs="Calibri"/>
          <w:color w:val="08629A"/>
          <w:sz w:val="31"/>
          <w:szCs w:val="31"/>
        </w:rPr>
        <w:t>Introduction</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 this chapter we will introduce some basic terminology and lay the groundwork for the course. We will explain in general terms what statistics and probability are and the problems that these two areas of study are designed to solve.</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Heading2"/>
        <w:numPr>
          <w:ilvl w:val="1"/>
          <w:numId w:val="1"/>
        </w:numPr>
        <w:shd w:val="clear" w:color="auto" w:fill="FFFFFF"/>
        <w:spacing w:before="0" w:line="439" w:lineRule="atLeast"/>
        <w:textAlignment w:val="baseline"/>
        <w:rPr>
          <w:rFonts w:ascii="Calibri" w:hAnsi="Calibri" w:cs="Calibri"/>
          <w:color w:val="333333"/>
        </w:rPr>
      </w:pPr>
      <w:r>
        <w:rPr>
          <w:rFonts w:ascii="Calibri" w:hAnsi="Calibri" w:cs="Calibri"/>
          <w:color w:val="333333"/>
        </w:rPr>
        <w:t>Basic Definitions and Concepts</w:t>
      </w:r>
    </w:p>
    <w:p w:rsidR="00AD77BB" w:rsidRDefault="00AD77BB"/>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AD77BB" w:rsidRDefault="00B45BA0">
      <w:pPr>
        <w:numPr>
          <w:ilvl w:val="0"/>
          <w:numId w:val="2"/>
        </w:numPr>
        <w:shd w:val="clear" w:color="auto" w:fill="EAE9DC"/>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To learn the basic definitions used in statistics and some of its key concepts.</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We begin with a simple example. There are millions of passenger automobiles in the United States. What is their average value? It is obviously impractical to attempt to solve this problem directly by assessing the value of every single car in the country, adding up all those numbers, and then dividing by however many numbers there are. Instead, the best we can do would be to estimate the average. One natural way to do so would be to randomly select</w:t>
      </w:r>
      <w:r>
        <w:rPr>
          <w:rStyle w:val="apple-converted-space"/>
          <w:rFonts w:ascii="Georgia" w:hAnsi="Georgia"/>
          <w:color w:val="333333"/>
          <w:sz w:val="21"/>
          <w:szCs w:val="21"/>
        </w:rPr>
        <w:t> </w:t>
      </w:r>
      <w:r>
        <w:rPr>
          <w:rStyle w:val="Emphasis"/>
          <w:rFonts w:ascii="Georgia" w:hAnsi="Georgia"/>
          <w:color w:val="333333"/>
          <w:sz w:val="20"/>
          <w:szCs w:val="20"/>
        </w:rPr>
        <w:t>some</w:t>
      </w:r>
      <w:r>
        <w:rPr>
          <w:rStyle w:val="apple-converted-space"/>
          <w:rFonts w:ascii="Georgia" w:hAnsi="Georgia"/>
          <w:color w:val="333333"/>
          <w:sz w:val="21"/>
          <w:szCs w:val="21"/>
        </w:rPr>
        <w:t> </w:t>
      </w:r>
      <w:r>
        <w:rPr>
          <w:rFonts w:ascii="Georgia" w:hAnsi="Georgia"/>
          <w:color w:val="333333"/>
          <w:sz w:val="21"/>
          <w:szCs w:val="21"/>
        </w:rPr>
        <w:t xml:space="preserve">of the cars, say 200 of them, ascertain the value of each of those cars, and find the average of those 200 numbers. The set of all those millions of vehicles is called the </w:t>
      </w:r>
      <w:r>
        <w:rPr>
          <w:rStyle w:val="Emphasis"/>
          <w:rFonts w:ascii="Georgia" w:hAnsi="Georgia"/>
          <w:color w:val="333333"/>
          <w:sz w:val="20"/>
          <w:szCs w:val="20"/>
        </w:rPr>
        <w:t>population</w:t>
      </w:r>
      <w:r>
        <w:rPr>
          <w:rStyle w:val="apple-converted-space"/>
          <w:rFonts w:ascii="Georgia" w:hAnsi="Georgia"/>
          <w:color w:val="333333"/>
          <w:sz w:val="21"/>
          <w:szCs w:val="21"/>
        </w:rPr>
        <w:t> </w:t>
      </w:r>
      <w:r>
        <w:rPr>
          <w:rFonts w:ascii="Georgia" w:hAnsi="Georgia"/>
          <w:color w:val="333333"/>
          <w:sz w:val="21"/>
          <w:szCs w:val="21"/>
        </w:rPr>
        <w:t xml:space="preserve">of interest, and the number attached to each one, its value, is a </w:t>
      </w:r>
      <w:r>
        <w:rPr>
          <w:rStyle w:val="Emphasis"/>
          <w:rFonts w:ascii="Georgia" w:hAnsi="Georgia"/>
          <w:color w:val="333333"/>
          <w:sz w:val="20"/>
          <w:szCs w:val="20"/>
        </w:rPr>
        <w:t>measurement</w:t>
      </w:r>
      <w:r>
        <w:rPr>
          <w:rFonts w:ascii="Georgia" w:hAnsi="Georgia"/>
          <w:color w:val="333333"/>
          <w:sz w:val="21"/>
          <w:szCs w:val="21"/>
        </w:rPr>
        <w:t>. The average value is a</w:t>
      </w:r>
      <w:r>
        <w:rPr>
          <w:rStyle w:val="apple-converted-space"/>
          <w:rFonts w:ascii="Georgia" w:hAnsi="Georgia"/>
          <w:color w:val="333333"/>
          <w:sz w:val="21"/>
          <w:szCs w:val="21"/>
        </w:rPr>
        <w:t> </w:t>
      </w:r>
      <w:r>
        <w:rPr>
          <w:rStyle w:val="Emphasis"/>
          <w:rFonts w:ascii="Georgia" w:hAnsi="Georgia"/>
          <w:color w:val="333333"/>
          <w:sz w:val="20"/>
          <w:szCs w:val="20"/>
        </w:rPr>
        <w:t>parameter</w:t>
      </w:r>
      <w:r>
        <w:rPr>
          <w:rFonts w:ascii="Georgia" w:hAnsi="Georgia"/>
          <w:color w:val="333333"/>
          <w:sz w:val="21"/>
          <w:szCs w:val="21"/>
        </w:rPr>
        <w:t>: a number that describes a characteristic of the population, in this case monetary worth. The set of 200 cars selected from the population is called a</w:t>
      </w:r>
      <w:r>
        <w:rPr>
          <w:rStyle w:val="apple-converted-space"/>
          <w:rFonts w:ascii="Georgia" w:hAnsi="Georgia"/>
          <w:color w:val="333333"/>
          <w:sz w:val="21"/>
          <w:szCs w:val="21"/>
        </w:rPr>
        <w:t> </w:t>
      </w:r>
      <w:r>
        <w:rPr>
          <w:rStyle w:val="Emphasis"/>
          <w:rFonts w:ascii="Georgia" w:hAnsi="Georgia"/>
          <w:color w:val="333333"/>
          <w:sz w:val="20"/>
          <w:szCs w:val="20"/>
        </w:rPr>
        <w:t>sample</w:t>
      </w:r>
      <w:r>
        <w:rPr>
          <w:rFonts w:ascii="Georgia" w:hAnsi="Georgia"/>
          <w:color w:val="333333"/>
          <w:sz w:val="21"/>
          <w:szCs w:val="21"/>
        </w:rPr>
        <w:t>, and the 200 numbers, the monetary values of the cars we selected, are the</w:t>
      </w:r>
      <w:r>
        <w:rPr>
          <w:rStyle w:val="apple-converted-space"/>
          <w:rFonts w:ascii="Georgia" w:hAnsi="Georgia"/>
          <w:color w:val="333333"/>
          <w:sz w:val="21"/>
          <w:szCs w:val="21"/>
        </w:rPr>
        <w:t> </w:t>
      </w:r>
      <w:r>
        <w:rPr>
          <w:rStyle w:val="Emphasis"/>
          <w:rFonts w:ascii="Georgia" w:hAnsi="Georgia"/>
          <w:color w:val="333333"/>
          <w:sz w:val="20"/>
          <w:szCs w:val="20"/>
        </w:rPr>
        <w:t>sample data</w:t>
      </w:r>
      <w:r>
        <w:rPr>
          <w:rFonts w:ascii="Georgia" w:hAnsi="Georgia"/>
          <w:color w:val="333333"/>
          <w:sz w:val="21"/>
          <w:szCs w:val="21"/>
        </w:rPr>
        <w:t>. The average of the data is called a</w:t>
      </w:r>
      <w:r>
        <w:rPr>
          <w:rStyle w:val="apple-converted-space"/>
          <w:rFonts w:ascii="Georgia" w:hAnsi="Georgia"/>
          <w:color w:val="333333"/>
          <w:sz w:val="21"/>
          <w:szCs w:val="21"/>
        </w:rPr>
        <w:t> </w:t>
      </w:r>
      <w:r>
        <w:rPr>
          <w:rStyle w:val="Emphasis"/>
          <w:rFonts w:ascii="Georgia" w:hAnsi="Georgia"/>
          <w:color w:val="333333"/>
          <w:sz w:val="20"/>
          <w:szCs w:val="20"/>
        </w:rPr>
        <w:t>statistic</w:t>
      </w:r>
      <w:r>
        <w:rPr>
          <w:rFonts w:ascii="Georgia" w:hAnsi="Georgia"/>
          <w:color w:val="333333"/>
          <w:sz w:val="21"/>
          <w:szCs w:val="21"/>
        </w:rPr>
        <w:t>: a number calculated from the sample data. This example illustrates the meaning of the following definitions.</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Heading3"/>
        <w:shd w:val="clear" w:color="auto" w:fill="F4F4F4"/>
        <w:spacing w:before="0" w:beforeAutospacing="0" w:after="0" w:afterAutospacing="0" w:line="360" w:lineRule="auto"/>
        <w:textAlignment w:val="baseline"/>
        <w:rPr>
          <w:rFonts w:ascii="Calibri" w:hAnsi="Calibri" w:cs="Calibri"/>
          <w:color w:val="333333"/>
          <w:sz w:val="30"/>
          <w:szCs w:val="30"/>
        </w:rPr>
      </w:pPr>
      <w:r>
        <w:rPr>
          <w:rFonts w:ascii="Calibri" w:hAnsi="Calibri" w:cs="Calibri"/>
          <w:color w:val="333333"/>
          <w:sz w:val="30"/>
          <w:szCs w:val="30"/>
        </w:rPr>
        <w:t>Definition</w:t>
      </w:r>
    </w:p>
    <w:p w:rsidR="00AD77BB" w:rsidRDefault="00B45BA0">
      <w:pPr>
        <w:pStyle w:val="para"/>
        <w:shd w:val="clear" w:color="auto" w:fill="F4F4F4"/>
        <w:spacing w:before="0" w:beforeAutospacing="0" w:after="0" w:afterAutospacing="0" w:line="360" w:lineRule="auto"/>
        <w:textAlignment w:val="baseline"/>
        <w:rPr>
          <w:rFonts w:ascii="Georgia" w:hAnsi="Georgia" w:cs="Calibri"/>
          <w:color w:val="333333"/>
          <w:sz w:val="20"/>
          <w:szCs w:val="20"/>
        </w:rPr>
      </w:pPr>
      <w:r>
        <w:rPr>
          <w:rStyle w:val="Emphasis"/>
          <w:rFonts w:ascii="Georgia" w:hAnsi="Georgia" w:cs="Calibri"/>
          <w:color w:val="333333"/>
          <w:sz w:val="20"/>
          <w:szCs w:val="20"/>
        </w:rPr>
        <w:t>A</w:t>
      </w:r>
      <w:r>
        <w:rPr>
          <w:rStyle w:val="apple-converted-space"/>
          <w:rFonts w:ascii="Georgia" w:hAnsi="Georgia" w:cs="Calibri"/>
          <w:color w:val="333333"/>
          <w:sz w:val="20"/>
          <w:szCs w:val="20"/>
        </w:rPr>
        <w:t> </w:t>
      </w:r>
      <w:r>
        <w:rPr>
          <w:rStyle w:val="marginterm"/>
          <w:rFonts w:ascii="Georgia" w:eastAsiaTheme="majorEastAsia" w:hAnsi="Georgia" w:cs="Calibri"/>
          <w:b/>
          <w:color w:val="333333"/>
          <w:sz w:val="20"/>
          <w:szCs w:val="20"/>
        </w:rPr>
        <w:t>population</w:t>
      </w:r>
      <w:r>
        <w:rPr>
          <w:rStyle w:val="apple-converted-space"/>
          <w:rFonts w:ascii="Georgia" w:hAnsi="Georgia" w:cs="Calibri"/>
          <w:color w:val="333333"/>
          <w:sz w:val="20"/>
          <w:szCs w:val="20"/>
        </w:rPr>
        <w:t> </w:t>
      </w:r>
      <w:r>
        <w:rPr>
          <w:rStyle w:val="Emphasis"/>
          <w:rFonts w:ascii="Georgia" w:hAnsi="Georgia" w:cs="Calibri"/>
          <w:color w:val="333333"/>
          <w:sz w:val="20"/>
          <w:szCs w:val="20"/>
        </w:rPr>
        <w:t>is any specific collection of objects of interest. A</w:t>
      </w:r>
      <w:r>
        <w:rPr>
          <w:rStyle w:val="apple-converted-space"/>
          <w:rFonts w:ascii="Georgia" w:hAnsi="Georgia" w:cs="Calibri"/>
          <w:color w:val="333333"/>
          <w:sz w:val="20"/>
          <w:szCs w:val="20"/>
        </w:rPr>
        <w:t> </w:t>
      </w:r>
      <w:r>
        <w:rPr>
          <w:rStyle w:val="marginterm"/>
          <w:rFonts w:ascii="Georgia" w:eastAsiaTheme="majorEastAsia" w:hAnsi="Georgia" w:cs="Calibri"/>
          <w:b/>
          <w:color w:val="333333"/>
          <w:sz w:val="20"/>
          <w:szCs w:val="20"/>
        </w:rPr>
        <w:t>sample</w:t>
      </w:r>
      <w:r>
        <w:rPr>
          <w:rStyle w:val="apple-converted-space"/>
          <w:rFonts w:ascii="Georgia" w:hAnsi="Georgia" w:cs="Calibri"/>
          <w:b/>
          <w:color w:val="333333"/>
          <w:sz w:val="20"/>
          <w:szCs w:val="20"/>
        </w:rPr>
        <w:t> </w:t>
      </w:r>
      <w:r>
        <w:rPr>
          <w:rStyle w:val="Emphasis"/>
          <w:rFonts w:ascii="Georgia" w:hAnsi="Georgia" w:cs="Calibri"/>
          <w:color w:val="333333"/>
          <w:sz w:val="20"/>
          <w:szCs w:val="20"/>
        </w:rPr>
        <w:t xml:space="preserve">is any subset or subcollection of the population, including the case that the sample consists of the whole population, in which case it is termed a </w:t>
      </w:r>
      <w:r>
        <w:rPr>
          <w:rStyle w:val="Strong"/>
          <w:rFonts w:ascii="Georgia" w:hAnsi="Georgia" w:cs="Calibri"/>
          <w:color w:val="333333"/>
          <w:sz w:val="20"/>
          <w:szCs w:val="20"/>
        </w:rPr>
        <w:t>census</w:t>
      </w:r>
      <w:r>
        <w:rPr>
          <w:rFonts w:ascii="Georgia" w:hAnsi="Georgia" w:cs="Calibri"/>
          <w:color w:val="333333"/>
          <w:sz w:val="20"/>
          <w:szCs w:val="20"/>
        </w:rPr>
        <w:t>.</w:t>
      </w:r>
    </w:p>
    <w:p w:rsidR="00AD77BB" w:rsidRDefault="00AD77BB">
      <w:pPr>
        <w:pStyle w:val="Heading3"/>
        <w:shd w:val="clear" w:color="auto" w:fill="F4F4F4"/>
        <w:spacing w:before="0" w:beforeAutospacing="0" w:after="0" w:afterAutospacing="0" w:line="360" w:lineRule="auto"/>
        <w:textAlignment w:val="baseline"/>
        <w:rPr>
          <w:rFonts w:ascii="Calibri" w:hAnsi="Calibri" w:cs="Calibri"/>
          <w:color w:val="333333"/>
          <w:sz w:val="30"/>
          <w:szCs w:val="30"/>
        </w:rPr>
      </w:pPr>
    </w:p>
    <w:p w:rsidR="00AD77BB" w:rsidRDefault="00B45BA0">
      <w:pPr>
        <w:pStyle w:val="Heading3"/>
        <w:shd w:val="clear" w:color="auto" w:fill="F4F4F4"/>
        <w:spacing w:before="0" w:beforeAutospacing="0" w:after="0" w:afterAutospacing="0" w:line="360" w:lineRule="auto"/>
        <w:textAlignment w:val="baseline"/>
        <w:rPr>
          <w:rFonts w:ascii="Calibri" w:hAnsi="Calibri" w:cs="Calibri"/>
          <w:color w:val="333333"/>
          <w:sz w:val="30"/>
          <w:szCs w:val="30"/>
        </w:rPr>
      </w:pPr>
      <w:r>
        <w:rPr>
          <w:rFonts w:ascii="Calibri" w:hAnsi="Calibri" w:cs="Calibri"/>
          <w:color w:val="333333"/>
          <w:sz w:val="30"/>
          <w:szCs w:val="30"/>
        </w:rPr>
        <w:t>Definition</w:t>
      </w:r>
    </w:p>
    <w:p w:rsidR="00AD77BB" w:rsidRDefault="00B45BA0">
      <w:pPr>
        <w:pStyle w:val="para"/>
        <w:shd w:val="clear" w:color="auto" w:fill="F4F4F4"/>
        <w:spacing w:before="0" w:beforeAutospacing="0" w:after="0" w:afterAutospacing="0" w:line="360" w:lineRule="auto"/>
        <w:textAlignment w:val="baseline"/>
        <w:rPr>
          <w:rFonts w:ascii="Georgia" w:hAnsi="Georgia" w:cs="Calibri"/>
          <w:color w:val="333333"/>
          <w:sz w:val="20"/>
          <w:szCs w:val="20"/>
        </w:rPr>
      </w:pPr>
      <w:r>
        <w:rPr>
          <w:rStyle w:val="Emphasis"/>
          <w:rFonts w:ascii="Georgia" w:hAnsi="Georgia" w:cs="Calibri"/>
          <w:color w:val="333333"/>
          <w:sz w:val="20"/>
          <w:szCs w:val="20"/>
        </w:rPr>
        <w:t>A</w:t>
      </w:r>
      <w:r>
        <w:rPr>
          <w:rStyle w:val="apple-converted-space"/>
          <w:rFonts w:ascii="Georgia" w:hAnsi="Georgia" w:cs="Calibri"/>
          <w:color w:val="333333"/>
          <w:sz w:val="20"/>
          <w:szCs w:val="20"/>
        </w:rPr>
        <w:t> </w:t>
      </w:r>
      <w:r>
        <w:rPr>
          <w:rStyle w:val="marginterm"/>
          <w:rFonts w:ascii="Georgia" w:eastAsiaTheme="majorEastAsia" w:hAnsi="Georgia" w:cs="Calibri"/>
          <w:b/>
          <w:color w:val="333333"/>
          <w:sz w:val="20"/>
          <w:szCs w:val="20"/>
        </w:rPr>
        <w:t>measurement</w:t>
      </w:r>
      <w:r>
        <w:rPr>
          <w:rStyle w:val="apple-converted-space"/>
          <w:rFonts w:ascii="Georgia" w:hAnsi="Georgia" w:cs="Calibri"/>
          <w:color w:val="333333"/>
          <w:sz w:val="20"/>
          <w:szCs w:val="20"/>
        </w:rPr>
        <w:t> </w:t>
      </w:r>
      <w:r>
        <w:rPr>
          <w:rStyle w:val="Emphasis"/>
          <w:rFonts w:ascii="Georgia" w:hAnsi="Georgia" w:cs="Calibri"/>
          <w:color w:val="333333"/>
          <w:sz w:val="20"/>
          <w:szCs w:val="20"/>
        </w:rPr>
        <w:t>is a number or attribute computed for each member of a population or of a sample. The measurements of sample elements are collectively called the</w:t>
      </w:r>
      <w:r>
        <w:rPr>
          <w:rStyle w:val="apple-converted-space"/>
          <w:rFonts w:ascii="Georgia" w:hAnsi="Georgia" w:cs="Calibri"/>
          <w:color w:val="333333"/>
          <w:sz w:val="20"/>
          <w:szCs w:val="20"/>
        </w:rPr>
        <w:t> </w:t>
      </w:r>
      <w:r>
        <w:rPr>
          <w:rStyle w:val="marginterm"/>
          <w:rFonts w:ascii="Georgia" w:eastAsiaTheme="majorEastAsia" w:hAnsi="Georgia" w:cs="Calibri"/>
          <w:b/>
          <w:color w:val="333333"/>
          <w:sz w:val="20"/>
          <w:szCs w:val="20"/>
        </w:rPr>
        <w:t>sample data</w:t>
      </w:r>
      <w:r>
        <w:rPr>
          <w:rFonts w:ascii="Georgia" w:hAnsi="Georgia" w:cs="Calibri"/>
          <w:color w:val="333333"/>
          <w:sz w:val="20"/>
          <w:szCs w:val="20"/>
        </w:rPr>
        <w:t>.</w:t>
      </w:r>
    </w:p>
    <w:p w:rsidR="00AD77BB" w:rsidRDefault="00AD77BB">
      <w:pPr>
        <w:pStyle w:val="Heading3"/>
        <w:shd w:val="clear" w:color="auto" w:fill="F4F4F4"/>
        <w:spacing w:before="0" w:beforeAutospacing="0" w:after="0" w:afterAutospacing="0" w:line="360" w:lineRule="auto"/>
        <w:textAlignment w:val="baseline"/>
        <w:rPr>
          <w:rFonts w:ascii="Calibri" w:hAnsi="Calibri" w:cs="Calibri"/>
          <w:color w:val="333333"/>
          <w:sz w:val="30"/>
          <w:szCs w:val="30"/>
        </w:rPr>
      </w:pPr>
    </w:p>
    <w:p w:rsidR="00AD77BB" w:rsidRDefault="00B45BA0">
      <w:pPr>
        <w:pStyle w:val="Heading3"/>
        <w:shd w:val="clear" w:color="auto" w:fill="F4F4F4"/>
        <w:spacing w:before="0" w:beforeAutospacing="0" w:after="0" w:afterAutospacing="0" w:line="360" w:lineRule="auto"/>
        <w:textAlignment w:val="baseline"/>
        <w:rPr>
          <w:rFonts w:ascii="Calibri" w:hAnsi="Calibri" w:cs="Calibri"/>
          <w:color w:val="333333"/>
          <w:sz w:val="30"/>
          <w:szCs w:val="30"/>
        </w:rPr>
      </w:pPr>
      <w:r>
        <w:rPr>
          <w:rFonts w:ascii="Calibri" w:hAnsi="Calibri" w:cs="Calibri"/>
          <w:color w:val="333333"/>
          <w:sz w:val="30"/>
          <w:szCs w:val="30"/>
        </w:rPr>
        <w:t>Definition</w:t>
      </w:r>
    </w:p>
    <w:p w:rsidR="00AD77BB" w:rsidRDefault="00B45BA0">
      <w:pPr>
        <w:pStyle w:val="para"/>
        <w:shd w:val="clear" w:color="auto" w:fill="F4F4F4"/>
        <w:spacing w:before="0" w:beforeAutospacing="0" w:after="0" w:afterAutospacing="0" w:line="360" w:lineRule="auto"/>
        <w:textAlignment w:val="baseline"/>
        <w:rPr>
          <w:rFonts w:ascii="Georgia" w:hAnsi="Georgia" w:cs="Calibri"/>
          <w:color w:val="333333"/>
          <w:sz w:val="20"/>
          <w:szCs w:val="20"/>
        </w:rPr>
      </w:pPr>
      <w:r>
        <w:rPr>
          <w:rStyle w:val="Emphasis"/>
          <w:rFonts w:ascii="Georgia" w:hAnsi="Georgia" w:cs="Calibri"/>
          <w:color w:val="333333"/>
          <w:sz w:val="20"/>
          <w:szCs w:val="20"/>
        </w:rPr>
        <w:t>A</w:t>
      </w:r>
      <w:r>
        <w:rPr>
          <w:rStyle w:val="apple-converted-space"/>
          <w:rFonts w:ascii="Georgia" w:hAnsi="Georgia" w:cs="Calibri"/>
          <w:color w:val="333333"/>
          <w:sz w:val="20"/>
          <w:szCs w:val="20"/>
        </w:rPr>
        <w:t> </w:t>
      </w:r>
      <w:r>
        <w:rPr>
          <w:rStyle w:val="marginterm"/>
          <w:rFonts w:ascii="Georgia" w:eastAsiaTheme="majorEastAsia" w:hAnsi="Georgia" w:cs="Calibri"/>
          <w:b/>
          <w:color w:val="333333"/>
          <w:sz w:val="20"/>
          <w:szCs w:val="20"/>
        </w:rPr>
        <w:t>parameter</w:t>
      </w:r>
      <w:r>
        <w:rPr>
          <w:rStyle w:val="apple-converted-space"/>
          <w:rFonts w:ascii="Georgia" w:hAnsi="Georgia" w:cs="Calibri"/>
          <w:color w:val="333333"/>
          <w:sz w:val="20"/>
          <w:szCs w:val="20"/>
        </w:rPr>
        <w:t> </w:t>
      </w:r>
      <w:r>
        <w:rPr>
          <w:rStyle w:val="Emphasis"/>
          <w:rFonts w:ascii="Georgia" w:hAnsi="Georgia" w:cs="Calibri"/>
          <w:color w:val="333333"/>
          <w:sz w:val="20"/>
          <w:szCs w:val="20"/>
        </w:rPr>
        <w:t>is a number that summarizes some aspect of the population as a whole. A</w:t>
      </w:r>
      <w:r>
        <w:rPr>
          <w:rStyle w:val="apple-converted-space"/>
          <w:rFonts w:ascii="Georgia" w:hAnsi="Georgia" w:cs="Calibri"/>
          <w:color w:val="333333"/>
          <w:sz w:val="20"/>
          <w:szCs w:val="20"/>
        </w:rPr>
        <w:t> </w:t>
      </w:r>
      <w:r>
        <w:rPr>
          <w:rStyle w:val="marginterm"/>
          <w:rFonts w:ascii="Georgia" w:eastAsiaTheme="majorEastAsia" w:hAnsi="Georgia" w:cs="Calibri"/>
          <w:b/>
          <w:color w:val="333333"/>
          <w:sz w:val="20"/>
          <w:szCs w:val="20"/>
        </w:rPr>
        <w:t>statistic</w:t>
      </w:r>
      <w:r>
        <w:rPr>
          <w:rStyle w:val="apple-converted-space"/>
          <w:rFonts w:ascii="Georgia" w:hAnsi="Georgia" w:cs="Calibri"/>
          <w:color w:val="333333"/>
          <w:sz w:val="20"/>
          <w:szCs w:val="20"/>
        </w:rPr>
        <w:t> </w:t>
      </w:r>
      <w:r>
        <w:rPr>
          <w:rStyle w:val="Emphasis"/>
          <w:rFonts w:ascii="Georgia" w:hAnsi="Georgia" w:cs="Calibri"/>
          <w:color w:val="333333"/>
          <w:sz w:val="20"/>
          <w:szCs w:val="20"/>
        </w:rPr>
        <w:t>is a number computed from the sample data.</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 xml:space="preserve">Continuing with our example, if the average value of the cars in our sample was $8,357, then it seems reasonable to conclude that the average value of all cars is about $8,357. In reasoning this way we have drawn an inference about the </w:t>
      </w:r>
      <w:r>
        <w:rPr>
          <w:rStyle w:val="Emphasis"/>
          <w:rFonts w:ascii="Georgia" w:hAnsi="Georgia"/>
          <w:color w:val="333333"/>
          <w:sz w:val="20"/>
          <w:szCs w:val="20"/>
        </w:rPr>
        <w:t>population</w:t>
      </w:r>
      <w:r>
        <w:rPr>
          <w:rStyle w:val="apple-converted-space"/>
          <w:rFonts w:ascii="Georgia" w:hAnsi="Georgia"/>
          <w:color w:val="333333"/>
          <w:sz w:val="21"/>
          <w:szCs w:val="21"/>
        </w:rPr>
        <w:t> </w:t>
      </w:r>
      <w:r>
        <w:rPr>
          <w:rFonts w:ascii="Georgia" w:hAnsi="Georgia"/>
          <w:color w:val="333333"/>
          <w:sz w:val="21"/>
          <w:szCs w:val="21"/>
        </w:rPr>
        <w:t>based on information obtained from the</w:t>
      </w:r>
      <w:r>
        <w:rPr>
          <w:rStyle w:val="apple-converted-space"/>
          <w:rFonts w:ascii="Georgia" w:hAnsi="Georgia"/>
          <w:color w:val="333333"/>
          <w:sz w:val="21"/>
          <w:szCs w:val="21"/>
        </w:rPr>
        <w:t> </w:t>
      </w:r>
      <w:r>
        <w:rPr>
          <w:rStyle w:val="Emphasis"/>
          <w:rFonts w:ascii="Georgia" w:hAnsi="Georgia"/>
          <w:color w:val="333333"/>
          <w:sz w:val="20"/>
          <w:szCs w:val="20"/>
        </w:rPr>
        <w:t>sample</w:t>
      </w:r>
      <w:r>
        <w:rPr>
          <w:rFonts w:ascii="Georgia" w:hAnsi="Georgia"/>
          <w:color w:val="333333"/>
          <w:sz w:val="21"/>
          <w:szCs w:val="21"/>
        </w:rPr>
        <w:t xml:space="preserve">. In general, </w:t>
      </w:r>
      <w:r>
        <w:rPr>
          <w:rStyle w:val="Emphasis"/>
          <w:rFonts w:ascii="Georgia" w:hAnsi="Georgia"/>
          <w:color w:val="333333"/>
          <w:sz w:val="20"/>
          <w:szCs w:val="20"/>
        </w:rPr>
        <w:t>statistics</w:t>
      </w:r>
      <w:r>
        <w:rPr>
          <w:rStyle w:val="apple-converted-space"/>
          <w:rFonts w:ascii="Georgia" w:hAnsi="Georgia"/>
          <w:color w:val="333333"/>
          <w:sz w:val="21"/>
          <w:szCs w:val="21"/>
        </w:rPr>
        <w:t> </w:t>
      </w:r>
      <w:r>
        <w:rPr>
          <w:rFonts w:ascii="Georgia" w:hAnsi="Georgia"/>
          <w:color w:val="333333"/>
          <w:sz w:val="21"/>
          <w:szCs w:val="21"/>
        </w:rPr>
        <w:t xml:space="preserve">is a study of data: describing properties of the data, which is called </w:t>
      </w:r>
      <w:r>
        <w:rPr>
          <w:rStyle w:val="Emphasis"/>
          <w:rFonts w:ascii="Georgia" w:hAnsi="Georgia"/>
          <w:color w:val="333333"/>
          <w:sz w:val="20"/>
          <w:szCs w:val="20"/>
        </w:rPr>
        <w:t>descriptive statistics</w:t>
      </w:r>
      <w:r>
        <w:rPr>
          <w:rFonts w:ascii="Georgia" w:hAnsi="Georgia"/>
          <w:color w:val="333333"/>
          <w:sz w:val="21"/>
          <w:szCs w:val="21"/>
        </w:rPr>
        <w:t>, and drawing conclusions about a population of interest from information extracted from a sample, which is called</w:t>
      </w:r>
      <w:r>
        <w:rPr>
          <w:rStyle w:val="apple-converted-space"/>
          <w:rFonts w:ascii="Georgia" w:hAnsi="Georgia"/>
          <w:color w:val="333333"/>
          <w:sz w:val="21"/>
          <w:szCs w:val="21"/>
        </w:rPr>
        <w:t> </w:t>
      </w:r>
      <w:r>
        <w:rPr>
          <w:rStyle w:val="Emphasis"/>
          <w:rFonts w:ascii="Georgia" w:hAnsi="Georgia"/>
          <w:color w:val="333333"/>
          <w:sz w:val="20"/>
          <w:szCs w:val="20"/>
        </w:rPr>
        <w:t>inferential statistics</w:t>
      </w:r>
      <w:r>
        <w:rPr>
          <w:rFonts w:ascii="Georgia" w:hAnsi="Georgia"/>
          <w:color w:val="333333"/>
          <w:sz w:val="21"/>
          <w:szCs w:val="21"/>
        </w:rPr>
        <w:t>. Computing the single number $8,357 to summarize the data was an operation of descriptive statistics; using it to make a statement about the population was an operation of inferential statistics.</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Heading3"/>
        <w:shd w:val="clear" w:color="auto" w:fill="F4F4F4"/>
        <w:spacing w:before="0" w:beforeAutospacing="0" w:after="0" w:afterAutospacing="0" w:line="360" w:lineRule="auto"/>
        <w:textAlignment w:val="baseline"/>
        <w:rPr>
          <w:rFonts w:ascii="Calibri" w:hAnsi="Calibri" w:cs="Calibri"/>
          <w:color w:val="333333"/>
          <w:sz w:val="30"/>
          <w:szCs w:val="30"/>
        </w:rPr>
      </w:pPr>
      <w:r>
        <w:rPr>
          <w:rFonts w:ascii="Calibri" w:hAnsi="Calibri" w:cs="Calibri"/>
          <w:color w:val="333333"/>
          <w:sz w:val="30"/>
          <w:szCs w:val="30"/>
        </w:rPr>
        <w:t>Definition</w:t>
      </w:r>
    </w:p>
    <w:p w:rsidR="00AD77BB" w:rsidRDefault="00B45BA0">
      <w:pPr>
        <w:pStyle w:val="para"/>
        <w:shd w:val="clear" w:color="auto" w:fill="F4F4F4"/>
        <w:spacing w:before="0" w:beforeAutospacing="0" w:after="0" w:afterAutospacing="0" w:line="360" w:lineRule="auto"/>
        <w:textAlignment w:val="baseline"/>
        <w:rPr>
          <w:rStyle w:val="Emphasis"/>
          <w:rFonts w:ascii="Georgia" w:hAnsi="Georgia"/>
          <w:sz w:val="20"/>
          <w:szCs w:val="20"/>
        </w:rPr>
      </w:pPr>
      <w:r>
        <w:rPr>
          <w:rStyle w:val="marginterm"/>
          <w:rFonts w:ascii="Georgia" w:eastAsiaTheme="majorEastAsia" w:hAnsi="Georgia" w:cs="Calibri"/>
          <w:b/>
          <w:color w:val="333333"/>
          <w:sz w:val="20"/>
          <w:szCs w:val="20"/>
        </w:rPr>
        <w:t>Statistics</w:t>
      </w:r>
      <w:r>
        <w:rPr>
          <w:rStyle w:val="apple-converted-space"/>
          <w:rFonts w:ascii="Georgia" w:hAnsi="Georgia" w:cs="Calibri"/>
          <w:b/>
          <w:color w:val="333333"/>
          <w:sz w:val="20"/>
          <w:szCs w:val="20"/>
        </w:rPr>
        <w:t> </w:t>
      </w:r>
      <w:r>
        <w:rPr>
          <w:rStyle w:val="Emphasis"/>
          <w:rFonts w:ascii="Georgia" w:hAnsi="Georgia" w:cs="Calibri"/>
          <w:color w:val="333333"/>
          <w:sz w:val="20"/>
          <w:szCs w:val="20"/>
        </w:rPr>
        <w:t>is a collection of methods for collecting, displaying, analyzing, and drawing conclusions from data.</w:t>
      </w:r>
    </w:p>
    <w:p w:rsidR="00AD77BB" w:rsidRDefault="00AD77BB">
      <w:pPr>
        <w:pStyle w:val="para"/>
        <w:shd w:val="clear" w:color="auto" w:fill="F4F4F4"/>
        <w:spacing w:before="0" w:beforeAutospacing="0" w:after="0" w:afterAutospacing="0" w:line="360" w:lineRule="auto"/>
        <w:textAlignment w:val="baseline"/>
      </w:pPr>
    </w:p>
    <w:p w:rsidR="00AD77BB" w:rsidRDefault="00B45BA0">
      <w:pPr>
        <w:pStyle w:val="Heading3"/>
        <w:shd w:val="clear" w:color="auto" w:fill="F4F4F4"/>
        <w:spacing w:before="0" w:beforeAutospacing="0" w:after="0" w:afterAutospacing="0" w:line="360" w:lineRule="auto"/>
        <w:textAlignment w:val="baseline"/>
        <w:rPr>
          <w:rFonts w:ascii="Calibri" w:hAnsi="Calibri" w:cs="Calibri"/>
          <w:color w:val="333333"/>
          <w:sz w:val="30"/>
          <w:szCs w:val="30"/>
        </w:rPr>
      </w:pPr>
      <w:r>
        <w:rPr>
          <w:rFonts w:ascii="Calibri" w:hAnsi="Calibri" w:cs="Calibri"/>
          <w:color w:val="333333"/>
          <w:sz w:val="30"/>
          <w:szCs w:val="30"/>
        </w:rPr>
        <w:t>Definition</w:t>
      </w:r>
    </w:p>
    <w:p w:rsidR="00AD77BB" w:rsidRDefault="00B45BA0">
      <w:pPr>
        <w:pStyle w:val="para"/>
        <w:shd w:val="clear" w:color="auto" w:fill="F4F4F4"/>
        <w:spacing w:before="0" w:beforeAutospacing="0" w:after="0" w:afterAutospacing="0" w:line="360" w:lineRule="auto"/>
        <w:textAlignment w:val="baseline"/>
        <w:rPr>
          <w:rStyle w:val="Emphasis"/>
          <w:rFonts w:ascii="Georgia" w:hAnsi="Georgia"/>
          <w:sz w:val="20"/>
          <w:szCs w:val="20"/>
        </w:rPr>
      </w:pPr>
      <w:r>
        <w:rPr>
          <w:rStyle w:val="marginterm"/>
          <w:rFonts w:ascii="Georgia" w:eastAsiaTheme="majorEastAsia" w:hAnsi="Georgia" w:cs="Calibri"/>
          <w:b/>
          <w:color w:val="333333"/>
          <w:sz w:val="20"/>
          <w:szCs w:val="20"/>
        </w:rPr>
        <w:t>Descriptive statistics</w:t>
      </w:r>
      <w:r>
        <w:rPr>
          <w:rStyle w:val="apple-converted-space"/>
          <w:rFonts w:ascii="Georgia" w:hAnsi="Georgia" w:cs="Calibri"/>
          <w:color w:val="333333"/>
          <w:sz w:val="20"/>
          <w:szCs w:val="20"/>
        </w:rPr>
        <w:t> </w:t>
      </w:r>
      <w:r>
        <w:rPr>
          <w:rStyle w:val="Emphasis"/>
          <w:rFonts w:ascii="Georgia" w:hAnsi="Georgia" w:cs="Calibri"/>
          <w:color w:val="333333"/>
          <w:sz w:val="20"/>
          <w:szCs w:val="20"/>
        </w:rPr>
        <w:t>is the branch of statistics that involves organizing, displaying, and describing data.</w:t>
      </w:r>
    </w:p>
    <w:p w:rsidR="00AD77BB" w:rsidRDefault="00AD77BB">
      <w:pPr>
        <w:pStyle w:val="para"/>
        <w:shd w:val="clear" w:color="auto" w:fill="F4F4F4"/>
        <w:spacing w:before="0" w:beforeAutospacing="0" w:after="0" w:afterAutospacing="0" w:line="360" w:lineRule="auto"/>
        <w:textAlignment w:val="baseline"/>
      </w:pPr>
    </w:p>
    <w:p w:rsidR="00AD77BB" w:rsidRDefault="00B45BA0">
      <w:pPr>
        <w:pStyle w:val="Heading3"/>
        <w:shd w:val="clear" w:color="auto" w:fill="F4F4F4"/>
        <w:spacing w:before="0" w:beforeAutospacing="0" w:after="0" w:afterAutospacing="0" w:line="360" w:lineRule="auto"/>
        <w:textAlignment w:val="baseline"/>
        <w:rPr>
          <w:rFonts w:ascii="Calibri" w:hAnsi="Calibri" w:cs="Calibri"/>
          <w:color w:val="333333"/>
          <w:sz w:val="30"/>
          <w:szCs w:val="30"/>
        </w:rPr>
      </w:pPr>
      <w:r>
        <w:rPr>
          <w:rFonts w:ascii="Calibri" w:hAnsi="Calibri" w:cs="Calibri"/>
          <w:color w:val="333333"/>
          <w:sz w:val="30"/>
          <w:szCs w:val="30"/>
        </w:rPr>
        <w:t>Definition</w:t>
      </w:r>
    </w:p>
    <w:p w:rsidR="00AD77BB" w:rsidRDefault="00B45BA0">
      <w:pPr>
        <w:pStyle w:val="para"/>
        <w:shd w:val="clear" w:color="auto" w:fill="F4F4F4"/>
        <w:spacing w:before="0" w:beforeAutospacing="0" w:after="0" w:afterAutospacing="0" w:line="360" w:lineRule="auto"/>
        <w:textAlignment w:val="baseline"/>
        <w:rPr>
          <w:rFonts w:ascii="Georgia" w:hAnsi="Georgia" w:cs="Calibri"/>
          <w:color w:val="333333"/>
          <w:sz w:val="20"/>
          <w:szCs w:val="20"/>
        </w:rPr>
      </w:pPr>
      <w:r>
        <w:rPr>
          <w:rStyle w:val="marginterm"/>
          <w:rFonts w:ascii="Georgia" w:eastAsiaTheme="majorEastAsia" w:hAnsi="Georgia" w:cs="Calibri"/>
          <w:b/>
          <w:color w:val="333333"/>
          <w:sz w:val="20"/>
          <w:szCs w:val="20"/>
        </w:rPr>
        <w:t>Inferential statistics</w:t>
      </w:r>
      <w:r>
        <w:rPr>
          <w:rStyle w:val="apple-converted-space"/>
          <w:rFonts w:ascii="Georgia" w:hAnsi="Georgia" w:cs="Calibri"/>
          <w:color w:val="333333"/>
          <w:sz w:val="20"/>
          <w:szCs w:val="20"/>
        </w:rPr>
        <w:t> </w:t>
      </w:r>
      <w:r>
        <w:rPr>
          <w:rStyle w:val="Emphasis"/>
          <w:rFonts w:ascii="Georgia" w:hAnsi="Georgia" w:cs="Calibri"/>
          <w:color w:val="333333"/>
          <w:sz w:val="20"/>
          <w:szCs w:val="20"/>
        </w:rPr>
        <w:t>is the branch of statistics that involves drawing conclusions about a population based on information contained in a sample taken from that population.</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measurement made on each element of a sample need not be numerical. Inthe case of automobiles, what is noted about each car could be its color, its make, its body type, and so on. Such data are</w:t>
      </w:r>
      <w:r>
        <w:rPr>
          <w:rStyle w:val="apple-converted-space"/>
          <w:rFonts w:ascii="Georgia" w:hAnsi="Georgia"/>
          <w:color w:val="333333"/>
          <w:sz w:val="21"/>
          <w:szCs w:val="21"/>
        </w:rPr>
        <w:t> </w:t>
      </w:r>
      <w:r>
        <w:rPr>
          <w:rStyle w:val="Emphasis"/>
          <w:rFonts w:ascii="Georgia" w:hAnsi="Georgia"/>
          <w:color w:val="333333"/>
          <w:sz w:val="20"/>
          <w:szCs w:val="20"/>
        </w:rPr>
        <w:t>categorical</w:t>
      </w:r>
      <w:r>
        <w:rPr>
          <w:rStyle w:val="apple-converted-space"/>
          <w:rFonts w:ascii="Georgia" w:hAnsi="Georgia"/>
          <w:color w:val="333333"/>
          <w:sz w:val="21"/>
          <w:szCs w:val="21"/>
        </w:rPr>
        <w:t> </w:t>
      </w:r>
      <w:r>
        <w:rPr>
          <w:rFonts w:ascii="Georgia" w:hAnsi="Georgia"/>
          <w:color w:val="333333"/>
          <w:sz w:val="21"/>
          <w:szCs w:val="21"/>
        </w:rPr>
        <w:t>or</w:t>
      </w:r>
      <w:r>
        <w:rPr>
          <w:rStyle w:val="apple-converted-space"/>
          <w:rFonts w:ascii="Georgia" w:hAnsi="Georgia"/>
          <w:color w:val="333333"/>
          <w:sz w:val="21"/>
          <w:szCs w:val="21"/>
        </w:rPr>
        <w:t> </w:t>
      </w:r>
      <w:r>
        <w:rPr>
          <w:rStyle w:val="Emphasis"/>
          <w:rFonts w:ascii="Georgia" w:hAnsi="Georgia"/>
          <w:color w:val="333333"/>
          <w:sz w:val="20"/>
          <w:szCs w:val="20"/>
        </w:rPr>
        <w:t>qualitative</w:t>
      </w:r>
      <w:r>
        <w:rPr>
          <w:rFonts w:ascii="Georgia" w:hAnsi="Georgia"/>
          <w:color w:val="333333"/>
          <w:sz w:val="21"/>
          <w:szCs w:val="21"/>
        </w:rPr>
        <w:t>, as opposed to</w:t>
      </w:r>
      <w:r>
        <w:rPr>
          <w:rStyle w:val="apple-converted-space"/>
          <w:rFonts w:ascii="Georgia" w:hAnsi="Georgia"/>
          <w:color w:val="333333"/>
          <w:sz w:val="21"/>
          <w:szCs w:val="21"/>
        </w:rPr>
        <w:t> </w:t>
      </w:r>
      <w:r>
        <w:rPr>
          <w:rStyle w:val="Emphasis"/>
          <w:rFonts w:ascii="Georgia" w:hAnsi="Georgia"/>
          <w:color w:val="333333"/>
          <w:sz w:val="20"/>
          <w:szCs w:val="20"/>
        </w:rPr>
        <w:t>numerical</w:t>
      </w:r>
      <w:r>
        <w:rPr>
          <w:rStyle w:val="apple-converted-space"/>
          <w:rFonts w:ascii="Georgia" w:hAnsi="Georgia"/>
          <w:color w:val="333333"/>
          <w:sz w:val="21"/>
          <w:szCs w:val="21"/>
        </w:rPr>
        <w:t> </w:t>
      </w:r>
      <w:r>
        <w:rPr>
          <w:rFonts w:ascii="Georgia" w:hAnsi="Georgia"/>
          <w:color w:val="333333"/>
          <w:sz w:val="21"/>
          <w:szCs w:val="21"/>
        </w:rPr>
        <w:t>or</w:t>
      </w:r>
      <w:r>
        <w:rPr>
          <w:rStyle w:val="apple-converted-space"/>
          <w:rFonts w:ascii="Georgia" w:hAnsi="Georgia"/>
          <w:color w:val="333333"/>
          <w:sz w:val="21"/>
          <w:szCs w:val="21"/>
        </w:rPr>
        <w:t> </w:t>
      </w:r>
      <w:r>
        <w:rPr>
          <w:rStyle w:val="Emphasis"/>
          <w:rFonts w:ascii="Georgia" w:hAnsi="Georgia"/>
          <w:color w:val="333333"/>
          <w:sz w:val="20"/>
          <w:szCs w:val="20"/>
        </w:rPr>
        <w:t>quantitative</w:t>
      </w:r>
      <w:r>
        <w:rPr>
          <w:rStyle w:val="apple-converted-space"/>
          <w:rFonts w:ascii="Georgia" w:hAnsi="Georgia"/>
          <w:color w:val="333333"/>
          <w:sz w:val="21"/>
          <w:szCs w:val="21"/>
        </w:rPr>
        <w:t> </w:t>
      </w:r>
      <w:r>
        <w:rPr>
          <w:rFonts w:ascii="Georgia" w:hAnsi="Georgia"/>
          <w:color w:val="333333"/>
          <w:sz w:val="21"/>
          <w:szCs w:val="21"/>
        </w:rPr>
        <w:t>data such as value or age. This is a general distinction.</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Heading3"/>
        <w:shd w:val="clear" w:color="auto" w:fill="F4F4F4"/>
        <w:spacing w:before="0" w:beforeAutospacing="0" w:after="0" w:afterAutospacing="0" w:line="360" w:lineRule="auto"/>
        <w:textAlignment w:val="baseline"/>
        <w:rPr>
          <w:rFonts w:ascii="Calibri" w:hAnsi="Calibri" w:cs="Calibri"/>
          <w:color w:val="333333"/>
          <w:sz w:val="30"/>
          <w:szCs w:val="30"/>
        </w:rPr>
      </w:pPr>
      <w:r>
        <w:rPr>
          <w:rFonts w:ascii="Calibri" w:hAnsi="Calibri" w:cs="Calibri"/>
          <w:color w:val="333333"/>
          <w:sz w:val="30"/>
          <w:szCs w:val="30"/>
        </w:rPr>
        <w:t>Definition</w:t>
      </w:r>
    </w:p>
    <w:p w:rsidR="00AD77BB" w:rsidRDefault="00B45BA0">
      <w:pPr>
        <w:pStyle w:val="para"/>
        <w:shd w:val="clear" w:color="auto" w:fill="F4F4F4"/>
        <w:spacing w:before="0" w:beforeAutospacing="0" w:after="0" w:afterAutospacing="0" w:line="360" w:lineRule="auto"/>
        <w:textAlignment w:val="baseline"/>
        <w:rPr>
          <w:rStyle w:val="Emphasis"/>
          <w:rFonts w:ascii="Georgia" w:hAnsi="Georgia"/>
          <w:sz w:val="20"/>
          <w:szCs w:val="20"/>
        </w:rPr>
      </w:pPr>
      <w:r>
        <w:rPr>
          <w:rStyle w:val="marginterm"/>
          <w:rFonts w:ascii="Georgia" w:eastAsiaTheme="majorEastAsia" w:hAnsi="Georgia" w:cs="Calibri"/>
          <w:b/>
          <w:color w:val="333333"/>
          <w:sz w:val="20"/>
          <w:szCs w:val="20"/>
        </w:rPr>
        <w:lastRenderedPageBreak/>
        <w:t>Qualitative data</w:t>
      </w:r>
      <w:r>
        <w:rPr>
          <w:rStyle w:val="apple-converted-space"/>
          <w:rFonts w:ascii="Georgia" w:hAnsi="Georgia" w:cs="Calibri"/>
          <w:color w:val="333333"/>
          <w:sz w:val="20"/>
          <w:szCs w:val="20"/>
        </w:rPr>
        <w:t> </w:t>
      </w:r>
      <w:r>
        <w:rPr>
          <w:rStyle w:val="Emphasis"/>
          <w:rFonts w:ascii="Georgia" w:hAnsi="Georgia" w:cs="Calibri"/>
          <w:color w:val="333333"/>
          <w:sz w:val="20"/>
          <w:szCs w:val="20"/>
        </w:rPr>
        <w:t>are measurements for which there is no natural numerical scale, but which consist of attributes, labels, or other nonnumerical characteristics.</w:t>
      </w:r>
    </w:p>
    <w:p w:rsidR="00AD77BB" w:rsidRDefault="00AD77BB">
      <w:pPr>
        <w:pStyle w:val="para"/>
        <w:shd w:val="clear" w:color="auto" w:fill="F4F4F4"/>
        <w:spacing w:before="0" w:beforeAutospacing="0" w:after="0" w:afterAutospacing="0" w:line="360" w:lineRule="auto"/>
        <w:textAlignment w:val="baseline"/>
      </w:pPr>
    </w:p>
    <w:p w:rsidR="00AD77BB" w:rsidRDefault="00B45BA0">
      <w:pPr>
        <w:pStyle w:val="Heading3"/>
        <w:shd w:val="clear" w:color="auto" w:fill="F4F4F4"/>
        <w:spacing w:before="0" w:beforeAutospacing="0" w:after="0" w:afterAutospacing="0" w:line="360" w:lineRule="auto"/>
        <w:textAlignment w:val="baseline"/>
        <w:rPr>
          <w:rFonts w:ascii="Calibri" w:hAnsi="Calibri" w:cs="Calibri"/>
          <w:color w:val="333333"/>
          <w:sz w:val="30"/>
          <w:szCs w:val="30"/>
        </w:rPr>
      </w:pPr>
      <w:r>
        <w:rPr>
          <w:rFonts w:ascii="Calibri" w:hAnsi="Calibri" w:cs="Calibri"/>
          <w:color w:val="333333"/>
          <w:sz w:val="30"/>
          <w:szCs w:val="30"/>
        </w:rPr>
        <w:t>Definition</w:t>
      </w:r>
    </w:p>
    <w:p w:rsidR="00AD77BB" w:rsidRDefault="00B45BA0">
      <w:pPr>
        <w:pStyle w:val="para"/>
        <w:shd w:val="clear" w:color="auto" w:fill="F4F4F4"/>
        <w:spacing w:before="0" w:beforeAutospacing="0" w:after="0" w:afterAutospacing="0" w:line="360" w:lineRule="auto"/>
        <w:textAlignment w:val="baseline"/>
        <w:rPr>
          <w:rFonts w:ascii="Georgia" w:hAnsi="Georgia" w:cs="Calibri"/>
          <w:color w:val="333333"/>
          <w:sz w:val="20"/>
          <w:szCs w:val="20"/>
        </w:rPr>
      </w:pPr>
      <w:r>
        <w:rPr>
          <w:rStyle w:val="marginterm"/>
          <w:rFonts w:ascii="Georgia" w:eastAsiaTheme="majorEastAsia" w:hAnsi="Georgia" w:cs="Calibri"/>
          <w:b/>
          <w:color w:val="333333"/>
          <w:sz w:val="20"/>
          <w:szCs w:val="20"/>
        </w:rPr>
        <w:t>Quantitative data</w:t>
      </w:r>
      <w:r>
        <w:rPr>
          <w:rStyle w:val="apple-converted-space"/>
          <w:rFonts w:ascii="Georgia" w:hAnsi="Georgia" w:cs="Calibri"/>
          <w:color w:val="333333"/>
          <w:sz w:val="20"/>
          <w:szCs w:val="20"/>
        </w:rPr>
        <w:t> </w:t>
      </w:r>
      <w:r>
        <w:rPr>
          <w:rStyle w:val="Emphasis"/>
          <w:rFonts w:ascii="Georgia" w:hAnsi="Georgia" w:cs="Calibri"/>
          <w:color w:val="333333"/>
          <w:sz w:val="20"/>
          <w:szCs w:val="20"/>
        </w:rPr>
        <w:t>are numerical measurements that arise from a natural numerical scale.</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Qualitative data can generate numerical sample statistics. In the automobile example, for instance, we might be interested in the proportion of all cars that are less than six years old. In our same sample of 200 cars we could note for each car whether it is less than six years old or not, which is a qualitative measurement. If 172 cars in the sample are less than six years old, which is 0.86 or 86%, then we would estimate the parameter of interest, the population proportion, to be about the same as the sample statistic, the sample proportion, that is, about 0.86.</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relationship between a population of interest and a sample drawn from that population is perhaps the most important concept in statistics, since everything else rests on it. This relationship is illustrated graphically in</w:t>
      </w:r>
      <w:r>
        <w:rPr>
          <w:rStyle w:val="apple-converted-space"/>
          <w:rFonts w:ascii="Georgia" w:hAnsi="Georgia"/>
          <w:color w:val="333333"/>
          <w:sz w:val="21"/>
          <w:szCs w:val="21"/>
        </w:rPr>
        <w:t> </w:t>
      </w:r>
      <w:r>
        <w:rPr>
          <w:rFonts w:ascii="Georgia" w:eastAsiaTheme="majorEastAsia" w:hAnsi="Georgia"/>
          <w:color w:val="2689C6"/>
          <w:sz w:val="21"/>
          <w:szCs w:val="21"/>
        </w:rPr>
        <w:t>Figure 1.1 "The Grand Picture of Statistics"</w:t>
      </w:r>
      <w:r>
        <w:rPr>
          <w:rFonts w:ascii="Georgia" w:hAnsi="Georgia"/>
          <w:color w:val="333333"/>
          <w:sz w:val="21"/>
          <w:szCs w:val="21"/>
        </w:rPr>
        <w:t>. The circles in the large box represent elements of the population. In the figure there was room for only a small number of them but in actual situations, like our automobile example, they could very well number in the millions. The solid black circles represent the elements of the population that are selected at random and that together form the sample. For each element of the sample there is a measurement of interest, denoted by a lower case</w:t>
      </w:r>
      <w:r>
        <w:rPr>
          <w:rStyle w:val="apple-converted-space"/>
          <w:rFonts w:ascii="Georgia" w:hAnsi="Georgia"/>
          <w:color w:val="333333"/>
          <w:sz w:val="21"/>
          <w:szCs w:val="21"/>
        </w:rPr>
        <w:t> </w:t>
      </w:r>
      <w:r>
        <w:rPr>
          <w:rStyle w:val="Emphasis"/>
          <w:rFonts w:ascii="Georgia" w:hAnsi="Georgia"/>
          <w:color w:val="333333"/>
          <w:sz w:val="20"/>
          <w:szCs w:val="20"/>
        </w:rPr>
        <w:t xml:space="preserve">x </w:t>
      </w:r>
      <w:r>
        <w:rPr>
          <w:rFonts w:ascii="Georgia" w:hAnsi="Georgia"/>
          <w:color w:val="333333"/>
          <w:sz w:val="21"/>
          <w:szCs w:val="21"/>
        </w:rPr>
        <w:t>(which we have indexed as</w:t>
      </w:r>
      <w:r>
        <w:rPr>
          <w:rStyle w:val="apple-converted-space"/>
          <w:rFonts w:ascii="Georgia" w:hAnsi="Georgia"/>
          <w:color w:val="333333"/>
          <w:sz w:val="21"/>
          <w:szCs w:val="21"/>
        </w:rPr>
        <w:t> </w:t>
      </w:r>
      <w:r>
        <w:rPr>
          <w:rStyle w:val="mi"/>
          <w:rFonts w:ascii="MathJax_Math" w:hAnsi="MathJax_Math"/>
          <w:i/>
          <w:iCs/>
          <w:color w:val="333333"/>
          <w:sz w:val="18"/>
          <w:szCs w:val="18"/>
        </w:rPr>
        <w:t>x</w:t>
      </w:r>
      <w:r>
        <w:rPr>
          <w:rStyle w:val="mn"/>
          <w:rFonts w:ascii="MathJax_Main" w:hAnsi="MathJax_Main"/>
          <w:color w:val="333333"/>
          <w:sz w:val="14"/>
          <w:szCs w:val="14"/>
        </w:rPr>
        <w:t>1</w:t>
      </w:r>
      <w:r>
        <w:rPr>
          <w:rStyle w:val="mo"/>
          <w:rFonts w:ascii="MathJax_Main" w:hAnsi="MathJax_Main"/>
          <w:color w:val="333333"/>
          <w:sz w:val="18"/>
          <w:szCs w:val="18"/>
        </w:rPr>
        <w:t>,…,</w:t>
      </w:r>
      <w:r>
        <w:rPr>
          <w:rStyle w:val="mi"/>
          <w:rFonts w:ascii="MathJax_Math" w:hAnsi="MathJax_Math"/>
          <w:i/>
          <w:iCs/>
          <w:color w:val="333333"/>
          <w:sz w:val="18"/>
          <w:szCs w:val="18"/>
        </w:rPr>
        <w:t>x</w:t>
      </w:r>
      <w:r>
        <w:rPr>
          <w:rStyle w:val="mi"/>
          <w:rFonts w:ascii="MathJax_Math" w:hAnsi="MathJax_Math"/>
          <w:i/>
          <w:iCs/>
          <w:color w:val="333333"/>
          <w:sz w:val="14"/>
          <w:szCs w:val="14"/>
        </w:rPr>
        <w:t>n</w:t>
      </w:r>
      <w:r>
        <w:rPr>
          <w:rStyle w:val="apple-converted-space"/>
          <w:rFonts w:ascii="Georgia" w:hAnsi="Georgia"/>
          <w:color w:val="333333"/>
          <w:sz w:val="21"/>
          <w:szCs w:val="21"/>
        </w:rPr>
        <w:t> </w:t>
      </w:r>
      <w:r>
        <w:rPr>
          <w:rFonts w:ascii="Georgia" w:hAnsi="Georgia"/>
          <w:color w:val="333333"/>
          <w:sz w:val="21"/>
          <w:szCs w:val="21"/>
        </w:rPr>
        <w:t>to tell them apart); these measurements collectively form the sample data set. From the data we may calculate various statistics. To anticipate the notation that will be used later, we might compute the sample mean</w:t>
      </w:r>
      <w:r>
        <w:rPr>
          <w:rStyle w:val="apple-converted-space"/>
          <w:rFonts w:ascii="Georgia" w:hAnsi="Georgia"/>
          <w:color w:val="333333"/>
          <w:sz w:val="21"/>
          <w:szCs w:val="21"/>
        </w:rPr>
        <w:t> </w:t>
      </w:r>
      <w:r>
        <w:rPr>
          <w:rStyle w:val="mi"/>
          <w:rFonts w:ascii="MathJax_Math" w:hAnsi="MathJax_Math"/>
          <w:i/>
          <w:iCs/>
          <w:color w:val="333333"/>
          <w:sz w:val="18"/>
          <w:szCs w:val="18"/>
        </w:rPr>
        <w:t>x</w:t>
      </w:r>
      <w:r>
        <w:rPr>
          <w:rStyle w:val="mo"/>
          <w:rFonts w:ascii="MathJax_Main" w:hAnsi="MathJax_Main"/>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and the sample proportion</w:t>
      </w:r>
      <w:r>
        <w:rPr>
          <w:rStyle w:val="apple-converted-space"/>
          <w:rFonts w:ascii="Georgia" w:hAnsi="Georgia"/>
          <w:color w:val="333333"/>
          <w:sz w:val="21"/>
          <w:szCs w:val="21"/>
        </w:rPr>
        <w:t> </w:t>
      </w:r>
      <w:r>
        <w:rPr>
          <w:rStyle w:val="mi"/>
          <w:rFonts w:ascii="MathJax_Math" w:hAnsi="MathJax_Math"/>
          <w:i/>
          <w:iCs/>
          <w:color w:val="333333"/>
          <w:sz w:val="18"/>
          <w:szCs w:val="18"/>
        </w:rPr>
        <w:t>p</w:t>
      </w:r>
      <w:r>
        <w:rPr>
          <w:rStyle w:val="mo"/>
          <w:rFonts w:ascii="MathJax_Main" w:hAnsi="MathJax_Main"/>
          <w:color w:val="333333"/>
          <w:sz w:val="18"/>
          <w:szCs w:val="18"/>
        </w:rPr>
        <w:t>ˆ</w:t>
      </w:r>
      <w:r>
        <w:rPr>
          <w:rFonts w:ascii="Georgia" w:hAnsi="Georgia"/>
          <w:color w:val="333333"/>
          <w:sz w:val="21"/>
          <w:szCs w:val="21"/>
        </w:rPr>
        <w:t>, and take them as approximations to the population mean</w:t>
      </w:r>
      <w:r>
        <w:rPr>
          <w:rStyle w:val="apple-converted-space"/>
          <w:rFonts w:ascii="Georgia" w:hAnsi="Georgia"/>
          <w:color w:val="333333"/>
          <w:sz w:val="21"/>
          <w:szCs w:val="21"/>
        </w:rPr>
        <w:t> </w:t>
      </w:r>
      <w:r>
        <w:rPr>
          <w:rStyle w:val="Emphasis"/>
          <w:rFonts w:ascii="Georgia" w:hAnsi="Georgia"/>
          <w:color w:val="333333"/>
          <w:sz w:val="20"/>
          <w:szCs w:val="20"/>
        </w:rPr>
        <w:t>μ</w:t>
      </w:r>
      <w:r>
        <w:rPr>
          <w:rStyle w:val="apple-converted-space"/>
          <w:rFonts w:ascii="Georgia" w:hAnsi="Georgia"/>
          <w:color w:val="333333"/>
          <w:sz w:val="21"/>
          <w:szCs w:val="21"/>
        </w:rPr>
        <w:t> </w:t>
      </w:r>
      <w:r>
        <w:rPr>
          <w:rFonts w:ascii="Georgia" w:hAnsi="Georgia"/>
          <w:color w:val="333333"/>
          <w:sz w:val="21"/>
          <w:szCs w:val="21"/>
        </w:rPr>
        <w:t>(this is the lower case Greek letter mu, the traditional symbol for this parameter) and the population proportion</w:t>
      </w:r>
      <w:r>
        <w:rPr>
          <w:rStyle w:val="apple-converted-space"/>
          <w:rFonts w:ascii="Georgia" w:hAnsi="Georgia"/>
          <w:color w:val="333333"/>
          <w:sz w:val="21"/>
          <w:szCs w:val="21"/>
        </w:rPr>
        <w:t> </w:t>
      </w:r>
      <w:r>
        <w:rPr>
          <w:rStyle w:val="Emphasis"/>
          <w:rFonts w:ascii="Georgia" w:hAnsi="Georgia"/>
          <w:color w:val="333333"/>
          <w:sz w:val="20"/>
          <w:szCs w:val="20"/>
        </w:rPr>
        <w:t>p</w:t>
      </w:r>
      <w:r>
        <w:rPr>
          <w:rFonts w:ascii="Georgia" w:hAnsi="Georgia"/>
          <w:color w:val="333333"/>
          <w:sz w:val="21"/>
          <w:szCs w:val="21"/>
        </w:rPr>
        <w:t>, respectively. The other symbols in the figure stand for other parameters and statistics that we will encounter.</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lastRenderedPageBreak/>
        <w:t>Figure 1.1</w:t>
      </w:r>
      <w:r>
        <w:rPr>
          <w:rFonts w:ascii="Georgia" w:eastAsia="Times New Roman" w:hAnsi="Georgia" w:cs="Times New Roman"/>
          <w:i/>
          <w:iCs/>
          <w:color w:val="BB9966"/>
          <w:sz w:val="19"/>
          <w:szCs w:val="19"/>
        </w:rPr>
        <w:t> The Grand Picture of Statistics</w:t>
      </w:r>
    </w:p>
    <w:p w:rsidR="00AD77BB" w:rsidRDefault="00B45BA0">
      <w:r>
        <w:rPr>
          <w:rFonts w:ascii="Calibri" w:eastAsia="Times New Roman" w:hAnsi="Calibri" w:cs="Calibri"/>
          <w:noProof/>
          <w:color w:val="2689C6"/>
          <w:sz w:val="26"/>
          <w:szCs w:val="26"/>
          <w:shd w:val="clear" w:color="auto" w:fill="FFFFFF"/>
        </w:rPr>
        <w:drawing>
          <wp:inline distT="0" distB="0" distL="0" distR="0">
            <wp:extent cx="4229100" cy="4019550"/>
            <wp:effectExtent l="0" t="0" r="0" b="0"/>
            <wp:docPr id="40" name="Picture 2" descr="http://images.flatworldknowledge.com/shafer/shafer-fig0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shafer/shafer-fig01_00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29100" cy="4019550"/>
                    </a:xfrm>
                    <a:prstGeom prst="rect">
                      <a:avLst/>
                    </a:prstGeom>
                    <a:noFill/>
                    <a:ln>
                      <a:noFill/>
                    </a:ln>
                  </pic:spPr>
                </pic:pic>
              </a:graphicData>
            </a:graphic>
          </wp:inline>
        </w:drawing>
      </w:r>
    </w:p>
    <w:p w:rsidR="00AD77BB" w:rsidRDefault="00B45BA0">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AD77BB" w:rsidRDefault="00B45BA0">
      <w:pPr>
        <w:numPr>
          <w:ilvl w:val="0"/>
          <w:numId w:val="3"/>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Statistics is a study of data: describing properties of data (descriptive statistics) and drawing conclusions about a population based on information in a sample (inferential statistics).</w:t>
      </w:r>
    </w:p>
    <w:p w:rsidR="00AD77BB" w:rsidRDefault="00B45BA0">
      <w:pPr>
        <w:numPr>
          <w:ilvl w:val="0"/>
          <w:numId w:val="3"/>
        </w:numPr>
        <w:shd w:val="clear" w:color="auto" w:fill="ECF9EA"/>
        <w:spacing w:after="0"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The distinction between a population together with its parameters and a sample together with its statistics is a fundamental concept in inferential statistics.</w:t>
      </w:r>
    </w:p>
    <w:p w:rsidR="00AD77BB" w:rsidRDefault="00B45BA0">
      <w:pPr>
        <w:numPr>
          <w:ilvl w:val="0"/>
          <w:numId w:val="3"/>
        </w:numPr>
        <w:shd w:val="clear" w:color="auto" w:fill="ECF9EA"/>
        <w:spacing w:line="439" w:lineRule="atLeast"/>
        <w:ind w:left="360" w:right="375"/>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Information in a sample is used to make inferences about the population from which the sample was drawn.</w:t>
      </w:r>
    </w:p>
    <w:p w:rsidR="00AD77BB" w:rsidRDefault="00B45BA0">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EXERCISES</w:t>
      </w:r>
    </w:p>
    <w:p w:rsidR="00AD77BB" w:rsidRDefault="00B45BA0">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Explain what is meant by the term </w:t>
      </w:r>
      <w:r>
        <w:rPr>
          <w:rFonts w:ascii="Calibri" w:eastAsia="Times New Roman" w:hAnsi="Calibri" w:cs="Calibri"/>
          <w:i/>
          <w:iCs/>
          <w:color w:val="333333"/>
          <w:sz w:val="20"/>
          <w:szCs w:val="20"/>
        </w:rPr>
        <w:t>population</w:t>
      </w:r>
      <w:r>
        <w:rPr>
          <w:rFonts w:ascii="Calibri" w:eastAsia="Times New Roman" w:hAnsi="Calibri" w:cs="Calibri"/>
          <w:color w:val="333333"/>
          <w:sz w:val="20"/>
          <w:szCs w:val="20"/>
        </w:rPr>
        <w:t>.</w:t>
      </w:r>
    </w:p>
    <w:p w:rsidR="00AD77BB" w:rsidRDefault="00B45BA0">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Explain what is meant by the term </w:t>
      </w:r>
      <w:r>
        <w:rPr>
          <w:rFonts w:ascii="Calibri" w:eastAsia="Times New Roman" w:hAnsi="Calibri" w:cs="Calibri"/>
          <w:i/>
          <w:iCs/>
          <w:color w:val="333333"/>
          <w:sz w:val="20"/>
          <w:szCs w:val="20"/>
        </w:rPr>
        <w:t>sample</w:t>
      </w:r>
      <w:r>
        <w:rPr>
          <w:rFonts w:ascii="Calibri" w:eastAsia="Times New Roman" w:hAnsi="Calibri" w:cs="Calibri"/>
          <w:color w:val="333333"/>
          <w:sz w:val="20"/>
          <w:szCs w:val="20"/>
        </w:rPr>
        <w:t>.</w:t>
      </w:r>
    </w:p>
    <w:p w:rsidR="00AD77BB" w:rsidRDefault="00B45BA0">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Explain how a sample differs from a population.</w:t>
      </w:r>
    </w:p>
    <w:p w:rsidR="00AD77BB" w:rsidRDefault="00B45BA0">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Explain what is meant by the term </w:t>
      </w:r>
      <w:r>
        <w:rPr>
          <w:rFonts w:ascii="Calibri" w:eastAsia="Times New Roman" w:hAnsi="Calibri" w:cs="Calibri"/>
          <w:i/>
          <w:iCs/>
          <w:color w:val="333333"/>
          <w:sz w:val="20"/>
          <w:szCs w:val="20"/>
        </w:rPr>
        <w:t>sample data</w:t>
      </w:r>
      <w:r>
        <w:rPr>
          <w:rFonts w:ascii="Calibri" w:eastAsia="Times New Roman" w:hAnsi="Calibri" w:cs="Calibri"/>
          <w:color w:val="333333"/>
          <w:sz w:val="20"/>
          <w:szCs w:val="20"/>
        </w:rPr>
        <w:t>.</w:t>
      </w:r>
    </w:p>
    <w:p w:rsidR="00AD77BB" w:rsidRDefault="00B45BA0">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Explain what a </w:t>
      </w:r>
      <w:r>
        <w:rPr>
          <w:rFonts w:ascii="Calibri" w:eastAsia="Times New Roman" w:hAnsi="Calibri" w:cs="Calibri"/>
          <w:i/>
          <w:iCs/>
          <w:color w:val="333333"/>
          <w:sz w:val="20"/>
          <w:szCs w:val="20"/>
        </w:rPr>
        <w:t>parameter</w:t>
      </w:r>
      <w:r>
        <w:rPr>
          <w:rFonts w:ascii="Calibri" w:eastAsia="Times New Roman" w:hAnsi="Calibri" w:cs="Calibri"/>
          <w:color w:val="333333"/>
          <w:sz w:val="20"/>
          <w:szCs w:val="20"/>
        </w:rPr>
        <w:t> is.</w:t>
      </w:r>
    </w:p>
    <w:p w:rsidR="00AD77BB" w:rsidRDefault="00B45BA0">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lastRenderedPageBreak/>
        <w:t>Explain what a </w:t>
      </w:r>
      <w:r>
        <w:rPr>
          <w:rFonts w:ascii="Calibri" w:eastAsia="Times New Roman" w:hAnsi="Calibri" w:cs="Calibri"/>
          <w:i/>
          <w:iCs/>
          <w:color w:val="333333"/>
          <w:sz w:val="20"/>
          <w:szCs w:val="20"/>
        </w:rPr>
        <w:t>statistic</w:t>
      </w:r>
      <w:r>
        <w:rPr>
          <w:rFonts w:ascii="Calibri" w:eastAsia="Times New Roman" w:hAnsi="Calibri" w:cs="Calibri"/>
          <w:color w:val="333333"/>
          <w:sz w:val="20"/>
          <w:szCs w:val="20"/>
        </w:rPr>
        <w:t> is.</w:t>
      </w:r>
    </w:p>
    <w:p w:rsidR="00AD77BB" w:rsidRDefault="00B45BA0">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Give an example of a population and two different characteristics that may be of interest.</w:t>
      </w:r>
    </w:p>
    <w:p w:rsidR="00AD77BB" w:rsidRDefault="00B45BA0">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Describe the difference between </w:t>
      </w:r>
      <w:r>
        <w:rPr>
          <w:rFonts w:ascii="Calibri" w:eastAsia="Times New Roman" w:hAnsi="Calibri" w:cs="Calibri"/>
          <w:i/>
          <w:iCs/>
          <w:color w:val="333333"/>
          <w:sz w:val="20"/>
          <w:szCs w:val="20"/>
        </w:rPr>
        <w:t>descriptive statistics</w:t>
      </w:r>
      <w:r>
        <w:rPr>
          <w:rFonts w:ascii="Calibri" w:eastAsia="Times New Roman" w:hAnsi="Calibri" w:cs="Calibri"/>
          <w:color w:val="333333"/>
          <w:sz w:val="20"/>
          <w:szCs w:val="20"/>
        </w:rPr>
        <w:t> and </w:t>
      </w:r>
      <w:r>
        <w:rPr>
          <w:rFonts w:ascii="Calibri" w:eastAsia="Times New Roman" w:hAnsi="Calibri" w:cs="Calibri"/>
          <w:i/>
          <w:iCs/>
          <w:color w:val="333333"/>
          <w:sz w:val="20"/>
          <w:szCs w:val="20"/>
        </w:rPr>
        <w:t>inferential statistics</w:t>
      </w:r>
      <w:r>
        <w:rPr>
          <w:rFonts w:ascii="Calibri" w:eastAsia="Times New Roman" w:hAnsi="Calibri" w:cs="Calibri"/>
          <w:color w:val="333333"/>
          <w:sz w:val="20"/>
          <w:szCs w:val="20"/>
        </w:rPr>
        <w:t>. Illustrate with an example.</w:t>
      </w:r>
    </w:p>
    <w:p w:rsidR="00AD77BB" w:rsidRDefault="00B45BA0">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Identify each of the following data sets as either a population or a sample:</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The grade point averages (GPAs) of all students at a college.</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The GPAs of a randomly selected group of students on a college campus.</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The ages of the nine Supreme Court Justices of the United States on January 1, 1842.</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The gender of every second customer who enters a movie theater.</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The lengths of Atlantic croakers caught on a fishing trip to the beach.</w:t>
      </w:r>
    </w:p>
    <w:p w:rsidR="00AD77BB" w:rsidRDefault="00B45BA0">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Identify the following measures as either quantitative or qualitative:</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The 30 high-temperature readings of the last 30 days.</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The scores of 40 students on an English test.</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The blood types of 120 teachers in a middle school.</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The last four digits of social security numbers of all students in a class.</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The numbers on the jerseys of 53 football players on a team.</w:t>
      </w:r>
    </w:p>
    <w:p w:rsidR="00AD77BB" w:rsidRDefault="00B45BA0">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Identify the following measures as either quantitative or qualitative:</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The genders of the first 40 newborns in a hospital one year.</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The natural hair color of 20 randomly selected fashion models.</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The ages of 20 randomly selected fashion models.</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The fuel economy in miles per gallon of 20 new cars purchased last month.</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The political affiliation of 500 randomly selected voters.</w:t>
      </w:r>
    </w:p>
    <w:p w:rsidR="00AD77BB" w:rsidRDefault="00B45BA0">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A researcher wishes to estimate the average amount spent per person by visitors to a theme park. He takes a random sample of forty visitors and obtains an average of $28 per person.</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What is the population of interest?</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What is the parameter of interest?</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Based on this sample, do we know the average amount spent per person by visitors to the park? Explain fully.</w:t>
      </w:r>
    </w:p>
    <w:p w:rsidR="00AD77BB" w:rsidRDefault="00B45BA0">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A researcher wishes to estimate the average weight of newborns in South America in the last five years. He takes a random sample of 235 newborns and obtains an average of 3.27 kilograms.</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lastRenderedPageBreak/>
        <w:t>What is the population of interest?</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What is the parameter of interest?</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Based on this sample, do we know the average weight of newborns in South America? Explain fully.</w:t>
      </w:r>
    </w:p>
    <w:p w:rsidR="00AD77BB" w:rsidRDefault="00B45BA0">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A researcher wishes to estimate the proportion of all adults who own a cell phone. He takes a random sample of 1,572 adults; 1,298 of them own a cell phone, hence 1298∕1572 ≈ .83 or about 83% own a cell phone.</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What is the population of interest?</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What is the parameter of interest?</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What is the statistic involved?</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Based on this sample, do we know the proportion of all adults who own a cell phone? Explain fully.</w:t>
      </w:r>
    </w:p>
    <w:p w:rsidR="00AD77BB" w:rsidRDefault="00B45BA0">
      <w:pPr>
        <w:numPr>
          <w:ilvl w:val="0"/>
          <w:numId w:val="4"/>
        </w:numPr>
        <w:shd w:val="clear" w:color="auto" w:fill="E3EFF7"/>
        <w:spacing w:after="0" w:line="439" w:lineRule="atLeast"/>
        <w:ind w:left="450"/>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A sociologist wishes to estimate the proportion of all adults in a certain region who have never married. In a random sample of 1,320 adults, 145 have never married, hence 145∕1320 ≈ .11 or about 11% have never married.</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What is the population of interest?</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What is the parameter of interest?</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What is the statistic involved?</w:t>
      </w:r>
    </w:p>
    <w:p w:rsidR="00AD77BB" w:rsidRDefault="00B45BA0">
      <w:pPr>
        <w:numPr>
          <w:ilvl w:val="1"/>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Based on this sample, do we know the proportion of all adults who have never married? Explain fully.</w:t>
      </w:r>
    </w:p>
    <w:p w:rsidR="00AD77BB" w:rsidRDefault="00B45BA0">
      <w:pPr>
        <w:numPr>
          <w:ilvl w:val="0"/>
          <w:numId w:val="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        a.  What must be true of a sample if it is to give a reliable estimate of the value of a particular    </w:t>
      </w:r>
    </w:p>
    <w:p w:rsidR="00AD77BB" w:rsidRDefault="00B45BA0">
      <w:pPr>
        <w:shd w:val="clear" w:color="auto" w:fill="E3EFF7"/>
        <w:spacing w:after="0" w:line="439" w:lineRule="atLeast"/>
        <w:ind w:left="360"/>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                population parameter?</w:t>
      </w:r>
    </w:p>
    <w:p w:rsidR="00AD77BB" w:rsidRDefault="00B45BA0">
      <w:pPr>
        <w:shd w:val="clear" w:color="auto" w:fill="E3EFF7"/>
        <w:spacing w:after="0" w:line="439" w:lineRule="atLeast"/>
        <w:ind w:left="360"/>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                b.  What must be true of a sample if it is to give </w:t>
      </w:r>
      <w:r>
        <w:rPr>
          <w:rFonts w:ascii="Calibri" w:eastAsia="Times New Roman" w:hAnsi="Calibri" w:cs="Calibri"/>
          <w:i/>
          <w:iCs/>
          <w:color w:val="333333"/>
          <w:sz w:val="20"/>
          <w:szCs w:val="20"/>
        </w:rPr>
        <w:t>certain</w:t>
      </w:r>
      <w:r>
        <w:rPr>
          <w:rFonts w:ascii="Calibri" w:eastAsia="Times New Roman" w:hAnsi="Calibri" w:cs="Calibri"/>
          <w:color w:val="333333"/>
          <w:sz w:val="20"/>
          <w:szCs w:val="20"/>
        </w:rPr>
        <w:t xml:space="preserve"> knowledge of the value of a particular                                                                                 </w:t>
      </w:r>
    </w:p>
    <w:p w:rsidR="00AD77BB" w:rsidRDefault="00B45BA0">
      <w:pPr>
        <w:shd w:val="clear" w:color="auto" w:fill="E3EFF7"/>
        <w:spacing w:after="0" w:line="439" w:lineRule="atLeast"/>
        <w:ind w:left="360"/>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                population parameter?</w:t>
      </w:r>
    </w:p>
    <w:p w:rsidR="00AD77BB" w:rsidRDefault="00B45BA0">
      <w:pPr>
        <w:shd w:val="clear" w:color="auto" w:fill="08629A"/>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ANSWERS</w:t>
      </w:r>
    </w:p>
    <w:p w:rsidR="00AD77BB" w:rsidRDefault="00B45BA0">
      <w:pPr>
        <w:numPr>
          <w:ilvl w:val="0"/>
          <w:numId w:val="5"/>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A population is the total collection of objects that are of interest in a statistical study.</w:t>
      </w:r>
    </w:p>
    <w:p w:rsidR="00AD77BB" w:rsidRDefault="00AD77BB">
      <w:pPr>
        <w:shd w:val="clear" w:color="auto" w:fill="E3EFF7"/>
        <w:spacing w:after="0" w:line="439" w:lineRule="atLeast"/>
        <w:ind w:left="450"/>
        <w:textAlignment w:val="baseline"/>
        <w:rPr>
          <w:rFonts w:ascii="Calibri" w:eastAsia="Times New Roman" w:hAnsi="Calibri" w:cs="Calibri"/>
          <w:color w:val="333333"/>
          <w:sz w:val="20"/>
          <w:szCs w:val="20"/>
        </w:rPr>
      </w:pPr>
    </w:p>
    <w:p w:rsidR="00AD77BB" w:rsidRDefault="00B45BA0">
      <w:pPr>
        <w:numPr>
          <w:ilvl w:val="0"/>
          <w:numId w:val="6"/>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A sample, being a subset, is typically smaller than the population. In a statistical study, all elements of a sample are available for observation, which is not typically the case for a population.</w:t>
      </w:r>
    </w:p>
    <w:p w:rsidR="00AD77BB" w:rsidRDefault="00AD77BB">
      <w:pPr>
        <w:shd w:val="clear" w:color="auto" w:fill="E3EFF7"/>
        <w:spacing w:after="0" w:line="439" w:lineRule="atLeast"/>
        <w:ind w:left="450"/>
        <w:textAlignment w:val="baseline"/>
        <w:rPr>
          <w:rFonts w:ascii="Calibri" w:eastAsia="Times New Roman" w:hAnsi="Calibri" w:cs="Calibri"/>
          <w:color w:val="333333"/>
          <w:sz w:val="20"/>
          <w:szCs w:val="20"/>
        </w:rPr>
      </w:pPr>
    </w:p>
    <w:p w:rsidR="00AD77BB" w:rsidRDefault="00B45BA0">
      <w:pPr>
        <w:numPr>
          <w:ilvl w:val="0"/>
          <w:numId w:val="7"/>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A parameter is a value describing a characteristic of a population. In a statistical study the value of a parameter is typically unknown.</w:t>
      </w:r>
    </w:p>
    <w:p w:rsidR="00AD77BB" w:rsidRDefault="00AD77BB">
      <w:pPr>
        <w:shd w:val="clear" w:color="auto" w:fill="E3EFF7"/>
        <w:spacing w:after="0" w:line="439" w:lineRule="atLeast"/>
        <w:ind w:left="450"/>
        <w:textAlignment w:val="baseline"/>
        <w:rPr>
          <w:rFonts w:ascii="Calibri" w:eastAsia="Times New Roman" w:hAnsi="Calibri" w:cs="Calibri"/>
          <w:color w:val="333333"/>
          <w:sz w:val="20"/>
          <w:szCs w:val="20"/>
        </w:rPr>
      </w:pPr>
    </w:p>
    <w:p w:rsidR="00AD77BB" w:rsidRDefault="00B45BA0">
      <w:pPr>
        <w:numPr>
          <w:ilvl w:val="0"/>
          <w:numId w:val="8"/>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All currently registered students at a particular college form a population. Two population characteristics of interest could be the average GPA and the proportion of students over 23 years.</w:t>
      </w:r>
    </w:p>
    <w:p w:rsidR="00AD77BB" w:rsidRDefault="00AD77BB">
      <w:pPr>
        <w:shd w:val="clear" w:color="auto" w:fill="E3EFF7"/>
        <w:spacing w:after="0" w:line="439" w:lineRule="atLeast"/>
        <w:ind w:left="450"/>
        <w:textAlignment w:val="baseline"/>
        <w:rPr>
          <w:rFonts w:ascii="Calibri" w:eastAsia="Times New Roman" w:hAnsi="Calibri" w:cs="Calibri"/>
          <w:color w:val="333333"/>
          <w:sz w:val="20"/>
          <w:szCs w:val="20"/>
        </w:rPr>
      </w:pPr>
    </w:p>
    <w:p w:rsidR="00AD77BB" w:rsidRDefault="00B45BA0">
      <w:pPr>
        <w:pStyle w:val="ListParagraph"/>
        <w:numPr>
          <w:ilvl w:val="0"/>
          <w:numId w:val="9"/>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 a.     Population.</w:t>
      </w:r>
    </w:p>
    <w:p w:rsidR="00AD77BB" w:rsidRDefault="00B45BA0">
      <w:p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             b.     Sample.</w:t>
      </w:r>
    </w:p>
    <w:p w:rsidR="00AD77BB" w:rsidRDefault="00B45BA0">
      <w:pPr>
        <w:pStyle w:val="ListParagraph"/>
        <w:numPr>
          <w:ilvl w:val="0"/>
          <w:numId w:val="10"/>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Population.</w:t>
      </w:r>
    </w:p>
    <w:p w:rsidR="00AD77BB" w:rsidRDefault="00B45BA0">
      <w:pPr>
        <w:pStyle w:val="ListParagraph"/>
        <w:numPr>
          <w:ilvl w:val="0"/>
          <w:numId w:val="10"/>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Sample.</w:t>
      </w:r>
    </w:p>
    <w:p w:rsidR="00AD77BB" w:rsidRDefault="00B45BA0">
      <w:pPr>
        <w:pStyle w:val="ListParagraph"/>
        <w:numPr>
          <w:ilvl w:val="0"/>
          <w:numId w:val="10"/>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Sample.</w:t>
      </w:r>
    </w:p>
    <w:p w:rsidR="00AD77BB" w:rsidRDefault="00AD77BB">
      <w:pPr>
        <w:pStyle w:val="ListParagraph"/>
        <w:shd w:val="clear" w:color="auto" w:fill="E3EFF7"/>
        <w:spacing w:after="0" w:line="439" w:lineRule="atLeast"/>
        <w:ind w:left="948"/>
        <w:textAlignment w:val="baseline"/>
        <w:rPr>
          <w:rFonts w:ascii="Calibri" w:eastAsia="Times New Roman" w:hAnsi="Calibri" w:cs="Calibri"/>
          <w:color w:val="333333"/>
          <w:sz w:val="20"/>
          <w:szCs w:val="20"/>
        </w:rPr>
      </w:pPr>
    </w:p>
    <w:p w:rsidR="00AD77BB" w:rsidRDefault="00B45BA0">
      <w:pPr>
        <w:pStyle w:val="ListParagraph"/>
        <w:numPr>
          <w:ilvl w:val="0"/>
          <w:numId w:val="11"/>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 a.    Qualitative.</w:t>
      </w:r>
    </w:p>
    <w:p w:rsidR="00AD77BB" w:rsidRDefault="00B45BA0">
      <w:p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             b.    Qualitative.</w:t>
      </w:r>
    </w:p>
    <w:p w:rsidR="00AD77BB" w:rsidRDefault="00B45BA0">
      <w:pPr>
        <w:pStyle w:val="ListParagraph"/>
        <w:numPr>
          <w:ilvl w:val="0"/>
          <w:numId w:val="12"/>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 Quantitative.</w:t>
      </w:r>
    </w:p>
    <w:p w:rsidR="00AD77BB" w:rsidRDefault="00B45BA0">
      <w:pPr>
        <w:pStyle w:val="ListParagraph"/>
        <w:numPr>
          <w:ilvl w:val="0"/>
          <w:numId w:val="12"/>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 Quantitative.</w:t>
      </w:r>
    </w:p>
    <w:p w:rsidR="00AD77BB" w:rsidRDefault="00B45BA0">
      <w:pPr>
        <w:pStyle w:val="ListParagraph"/>
        <w:numPr>
          <w:ilvl w:val="0"/>
          <w:numId w:val="12"/>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 xml:space="preserve"> Qualitative.</w:t>
      </w:r>
    </w:p>
    <w:p w:rsidR="00AD77BB" w:rsidRDefault="00AD77BB">
      <w:pPr>
        <w:shd w:val="clear" w:color="auto" w:fill="E3EFF7"/>
        <w:spacing w:after="0" w:line="439" w:lineRule="atLeast"/>
        <w:ind w:left="450"/>
        <w:textAlignment w:val="baseline"/>
        <w:rPr>
          <w:rFonts w:ascii="Calibri" w:eastAsia="Times New Roman" w:hAnsi="Calibri" w:cs="Calibri"/>
          <w:color w:val="333333"/>
          <w:sz w:val="20"/>
          <w:szCs w:val="20"/>
        </w:rPr>
      </w:pPr>
    </w:p>
    <w:p w:rsidR="00AD77BB" w:rsidRDefault="00B45BA0">
      <w:pPr>
        <w:pStyle w:val="ListParagraph"/>
        <w:numPr>
          <w:ilvl w:val="0"/>
          <w:numId w:val="13"/>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a.    All newborn babies in South America in the last five years.                                                                                    b.   The average birth weight of all newborn babies in South America in the last five years.                                 c.   No, not exactly, but we know the approximate value of the average.</w:t>
      </w:r>
    </w:p>
    <w:p w:rsidR="00AD77BB" w:rsidRDefault="00AD77BB">
      <w:pPr>
        <w:shd w:val="clear" w:color="auto" w:fill="E3EFF7"/>
        <w:spacing w:after="0" w:line="439" w:lineRule="atLeast"/>
        <w:ind w:left="450"/>
        <w:textAlignment w:val="baseline"/>
        <w:rPr>
          <w:rFonts w:ascii="Calibri" w:eastAsia="Times New Roman" w:hAnsi="Calibri" w:cs="Calibri"/>
          <w:color w:val="333333"/>
          <w:sz w:val="20"/>
          <w:szCs w:val="20"/>
        </w:rPr>
      </w:pPr>
    </w:p>
    <w:p w:rsidR="00AD77BB" w:rsidRDefault="00B45BA0">
      <w:pPr>
        <w:pStyle w:val="ListParagraph"/>
        <w:numPr>
          <w:ilvl w:val="0"/>
          <w:numId w:val="14"/>
        </w:numPr>
        <w:shd w:val="clear" w:color="auto" w:fill="E3EFF7"/>
        <w:spacing w:after="0" w:line="439" w:lineRule="atLeast"/>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a.    All adults in the region.                                                                                                                                                            b.   The proportion of the adults in the region who have never married.                                                                 c.   The proportion computed from the sample, 0.1.                                                                                                    d.   No, not exactly, but we know the approximate value of the proportion.</w:t>
      </w:r>
    </w:p>
    <w:p w:rsidR="00AD77BB" w:rsidRDefault="00AD77BB">
      <w:pPr>
        <w:shd w:val="clear" w:color="auto" w:fill="E3EFF7"/>
        <w:spacing w:line="439" w:lineRule="atLeast"/>
        <w:ind w:left="450"/>
        <w:textAlignment w:val="baseline"/>
        <w:rPr>
          <w:rFonts w:ascii="Calibri" w:eastAsia="Times New Roman" w:hAnsi="Calibri" w:cs="Calibri"/>
          <w:color w:val="333333"/>
          <w:sz w:val="20"/>
          <w:szCs w:val="20"/>
        </w:rPr>
      </w:pPr>
    </w:p>
    <w:p w:rsidR="00AD77BB" w:rsidRDefault="00AD77BB"/>
    <w:p w:rsidR="00AD77BB" w:rsidRDefault="00B45BA0">
      <w:pPr>
        <w:pStyle w:val="Heading2"/>
        <w:numPr>
          <w:ilvl w:val="1"/>
          <w:numId w:val="1"/>
        </w:numPr>
        <w:shd w:val="clear" w:color="auto" w:fill="FFFFFF"/>
        <w:spacing w:before="0" w:line="439" w:lineRule="atLeast"/>
        <w:textAlignment w:val="baseline"/>
        <w:rPr>
          <w:rFonts w:ascii="Calibri" w:hAnsi="Calibri" w:cs="Calibri"/>
          <w:color w:val="333333"/>
        </w:rPr>
      </w:pPr>
      <w:r>
        <w:rPr>
          <w:rFonts w:ascii="Calibri" w:hAnsi="Calibri" w:cs="Calibri"/>
          <w:color w:val="333333"/>
        </w:rPr>
        <w:lastRenderedPageBreak/>
        <w:t>Overview</w:t>
      </w:r>
    </w:p>
    <w:p w:rsidR="00AD77BB" w:rsidRDefault="00AD77BB">
      <w:pPr>
        <w:pStyle w:val="ListParagraph"/>
        <w:ind w:left="504"/>
      </w:pPr>
    </w:p>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AD77BB" w:rsidRDefault="00B45BA0">
      <w:pPr>
        <w:numPr>
          <w:ilvl w:val="0"/>
          <w:numId w:val="15"/>
        </w:numPr>
        <w:shd w:val="clear" w:color="auto" w:fill="EAE9DC"/>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To obtain an overview of the material in the text.</w:t>
      </w:r>
    </w:p>
    <w:p w:rsidR="00AD77BB" w:rsidRDefault="00AD77BB">
      <w:pPr>
        <w:shd w:val="clear" w:color="auto" w:fill="EAE9DC"/>
        <w:spacing w:after="0" w:line="439" w:lineRule="atLeast"/>
        <w:ind w:left="300" w:right="375"/>
        <w:textAlignment w:val="baseline"/>
        <w:rPr>
          <w:rFonts w:ascii="Calibri" w:hAnsi="Calibri" w:cs="Calibri"/>
          <w:color w:val="333333"/>
          <w:sz w:val="20"/>
          <w:szCs w:val="20"/>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example we have given in the first section seems fairly simple, but there are some significant problems that it illustrates. We have supposed that the 200 cars of the sample had an average value of $8,357 (a number that is precisely known), and concluded that the population has an average of about the same amount, although its precise value is still unknown. What would happen if someone were to take another sample of exactly the same size from exactly the same population? Would he get the same sample average as we did, $8,357? Almost surely not. In fact, if the investigator who took the second sample were to report precisely the same value, we would immediately become suspicious of his result. The sample average is an example of what is called a</w:t>
      </w:r>
      <w:r>
        <w:rPr>
          <w:rStyle w:val="apple-converted-space"/>
          <w:rFonts w:ascii="Georgia" w:hAnsi="Georgia"/>
          <w:color w:val="333333"/>
          <w:sz w:val="21"/>
          <w:szCs w:val="21"/>
        </w:rPr>
        <w:t> </w:t>
      </w:r>
      <w:r>
        <w:rPr>
          <w:rStyle w:val="Emphasis"/>
          <w:rFonts w:ascii="Georgia" w:hAnsi="Georgia"/>
          <w:color w:val="333333"/>
          <w:sz w:val="20"/>
          <w:szCs w:val="20"/>
        </w:rPr>
        <w:t>random variable</w:t>
      </w:r>
      <w:r>
        <w:rPr>
          <w:rFonts w:ascii="Georgia" w:hAnsi="Georgia"/>
          <w:color w:val="333333"/>
          <w:sz w:val="21"/>
          <w:szCs w:val="21"/>
        </w:rPr>
        <w:t>: a number that varies from trial to trial of an experiment (in this case, from sample to sample), and does so in a way that cannot be predicted precisely. Random variables will be a central object of study for us, beginning in</w:t>
      </w:r>
      <w:r>
        <w:rPr>
          <w:rStyle w:val="apple-converted-space"/>
          <w:rFonts w:ascii="Georgia" w:hAnsi="Georgia"/>
          <w:color w:val="333333"/>
          <w:sz w:val="21"/>
          <w:szCs w:val="21"/>
        </w:rPr>
        <w:t> </w:t>
      </w:r>
      <w:r>
        <w:rPr>
          <w:rFonts w:ascii="Georgia" w:eastAsiaTheme="majorEastAsia" w:hAnsi="Georgia"/>
          <w:color w:val="2689C6"/>
          <w:sz w:val="21"/>
          <w:szCs w:val="21"/>
        </w:rPr>
        <w:t>Chapter 4 "Discrete Random Variables"</w:t>
      </w:r>
      <w:r>
        <w:rPr>
          <w:rFonts w:ascii="Georgia" w:hAnsi="Georgia"/>
          <w:color w:val="333333"/>
          <w:sz w:val="21"/>
          <w:szCs w:val="21"/>
        </w:rPr>
        <w:t>.</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Another issue that arises is that different samples have different levels of reliability. We have supposed that our sample of size 200 had an average of $8,357. If a sample of size 1,000 yielded an average value of $7,832, then we would naturally regard this latter number as likely to be a better estimate of the average value of all cars. How can this be expressed? An important idea that we will develop in</w:t>
      </w:r>
      <w:r>
        <w:rPr>
          <w:rStyle w:val="apple-converted-space"/>
          <w:rFonts w:ascii="Georgia" w:hAnsi="Georgia"/>
          <w:color w:val="333333"/>
          <w:sz w:val="21"/>
          <w:szCs w:val="21"/>
        </w:rPr>
        <w:t> </w:t>
      </w:r>
      <w:r>
        <w:rPr>
          <w:rFonts w:ascii="Georgia" w:eastAsiaTheme="majorEastAsia" w:hAnsi="Georgia"/>
          <w:color w:val="2689C6"/>
          <w:sz w:val="21"/>
          <w:szCs w:val="21"/>
        </w:rPr>
        <w:t>Chapter 7 "Estimation"</w:t>
      </w:r>
      <w:r>
        <w:rPr>
          <w:rStyle w:val="apple-converted-space"/>
          <w:rFonts w:ascii="Georgia" w:hAnsi="Georgia"/>
          <w:color w:val="333333"/>
          <w:sz w:val="21"/>
          <w:szCs w:val="21"/>
        </w:rPr>
        <w:t> </w:t>
      </w:r>
      <w:r>
        <w:rPr>
          <w:rFonts w:ascii="Georgia" w:hAnsi="Georgia"/>
          <w:color w:val="333333"/>
          <w:sz w:val="21"/>
          <w:szCs w:val="21"/>
        </w:rPr>
        <w:t>is that of the</w:t>
      </w:r>
      <w:r>
        <w:rPr>
          <w:rStyle w:val="apple-converted-space"/>
          <w:rFonts w:ascii="Georgia" w:hAnsi="Georgia"/>
          <w:color w:val="333333"/>
          <w:sz w:val="21"/>
          <w:szCs w:val="21"/>
        </w:rPr>
        <w:t> </w:t>
      </w:r>
      <w:r>
        <w:rPr>
          <w:rStyle w:val="Emphasis"/>
          <w:rFonts w:ascii="Georgia" w:hAnsi="Georgia"/>
          <w:color w:val="333333"/>
          <w:sz w:val="20"/>
          <w:szCs w:val="20"/>
        </w:rPr>
        <w:t>confidence interval</w:t>
      </w:r>
      <w:r>
        <w:rPr>
          <w:rFonts w:ascii="Georgia" w:hAnsi="Georgia"/>
          <w:color w:val="333333"/>
          <w:sz w:val="21"/>
          <w:szCs w:val="21"/>
        </w:rPr>
        <w:t>: from the data we will construct an interval of values so that the process has a certain chance, say a 95% chance, of generating an interval that contains the actual population average. Thus instead of reporting a single estimate, $8,357, for the population mean, we would say that we are 95% certain that the true average is within $100 of our sample mean, that is, between $8,257 and $8,457, the number $100 having been computed from the sample data just like the sample mean $8,357 was. This will automatically indicate the reliability of the sample, since to obtain the same chance of containing the unknown parameter a large sample will typically produce a shorter interval than a small one will. But unless we perform a census, we can never be completely sure of the true average value of the population; the best that we can do is to make statements of</w:t>
      </w:r>
      <w:r>
        <w:rPr>
          <w:rStyle w:val="apple-converted-space"/>
          <w:rFonts w:ascii="Georgia" w:hAnsi="Georgia"/>
          <w:color w:val="333333"/>
          <w:sz w:val="21"/>
          <w:szCs w:val="21"/>
        </w:rPr>
        <w:t> </w:t>
      </w:r>
      <w:r>
        <w:rPr>
          <w:rStyle w:val="Emphasis"/>
          <w:rFonts w:ascii="Georgia" w:hAnsi="Georgia"/>
          <w:color w:val="333333"/>
          <w:sz w:val="20"/>
          <w:szCs w:val="20"/>
        </w:rPr>
        <w:t>probability</w:t>
      </w:r>
      <w:r>
        <w:rPr>
          <w:rFonts w:ascii="Georgia" w:hAnsi="Georgia"/>
          <w:color w:val="333333"/>
          <w:sz w:val="21"/>
          <w:szCs w:val="21"/>
        </w:rPr>
        <w:t>, an important concept that we will begin to study formally in</w:t>
      </w:r>
      <w:r>
        <w:rPr>
          <w:rStyle w:val="apple-converted-space"/>
          <w:rFonts w:ascii="Georgia" w:hAnsi="Georgia"/>
          <w:color w:val="333333"/>
          <w:sz w:val="21"/>
          <w:szCs w:val="21"/>
        </w:rPr>
        <w:t> </w:t>
      </w:r>
      <w:r>
        <w:rPr>
          <w:rFonts w:ascii="Georgia" w:eastAsiaTheme="majorEastAsia" w:hAnsi="Georgia"/>
          <w:color w:val="2689C6"/>
          <w:sz w:val="21"/>
          <w:szCs w:val="21"/>
        </w:rPr>
        <w:t>Chapter 3 "Basic Concepts of Probability"</w:t>
      </w:r>
      <w:r>
        <w:rPr>
          <w:rFonts w:ascii="Georgia" w:hAnsi="Georgia"/>
          <w:color w:val="333333"/>
          <w:sz w:val="21"/>
          <w:szCs w:val="21"/>
        </w:rPr>
        <w:t>.</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lastRenderedPageBreak/>
        <w:t>Sampling may be done not only to estimate a population parameter, but to test a claim that is made about that parameter. Suppose a food package asserts that the amount of sugar in one serving of the product is 14 grams. A consumer group might suspect that it is more. How would they test the competing claims about the amount of sugar, 14 grams versus more than 14 grams? They might take a random sample of perhaps 20 food packages, measure the amount of sugar in one serving of each one, and average those amounts. They are not interested in the true amount of sugar in one serving in itself; their interest is simply whether the claim about the true amount is accurate. Stated another way, they are sampling not in order to estimate the average amount of sugar in one serving, but to see whether that amount, whatever it may be, is larger than 14 grams. Again because one can have certain knowledge only by taking a census, ideas of probability enter into the analysis. We will examine tests of hypotheses beginning in</w:t>
      </w:r>
      <w:r>
        <w:rPr>
          <w:rStyle w:val="apple-converted-space"/>
          <w:rFonts w:ascii="Georgia" w:hAnsi="Georgia"/>
          <w:color w:val="333333"/>
          <w:sz w:val="21"/>
          <w:szCs w:val="21"/>
        </w:rPr>
        <w:t> </w:t>
      </w:r>
      <w:r>
        <w:rPr>
          <w:rFonts w:ascii="Georgia" w:eastAsiaTheme="majorEastAsia" w:hAnsi="Georgia"/>
          <w:color w:val="2689C6"/>
          <w:sz w:val="21"/>
          <w:szCs w:val="21"/>
        </w:rPr>
        <w:t>Chapter 8 "Testing Hypotheses"</w:t>
      </w:r>
      <w:r>
        <w:rPr>
          <w:rFonts w:ascii="Georgia" w:hAnsi="Georgia"/>
          <w:color w:val="333333"/>
          <w:sz w:val="21"/>
          <w:szCs w:val="21"/>
        </w:rPr>
        <w:t>.</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Several times in this introduction we have used the term “random sample.” Generally the value of our data is only as good as the sample that produced it. For example, suppose we wish to estimate the proportion of all students at a large university who are females, which we denote by</w:t>
      </w:r>
      <w:r>
        <w:rPr>
          <w:rStyle w:val="apple-converted-space"/>
          <w:rFonts w:ascii="Georgia" w:hAnsi="Georgia"/>
          <w:color w:val="333333"/>
          <w:sz w:val="21"/>
          <w:szCs w:val="21"/>
        </w:rPr>
        <w:t> </w:t>
      </w:r>
      <w:r>
        <w:rPr>
          <w:rStyle w:val="Emphasis"/>
          <w:rFonts w:ascii="Georgia" w:hAnsi="Georgia"/>
          <w:color w:val="333333"/>
          <w:sz w:val="20"/>
          <w:szCs w:val="20"/>
        </w:rPr>
        <w:t>p</w:t>
      </w:r>
      <w:r>
        <w:rPr>
          <w:rFonts w:ascii="Georgia" w:hAnsi="Georgia"/>
          <w:color w:val="333333"/>
          <w:sz w:val="21"/>
          <w:szCs w:val="21"/>
        </w:rPr>
        <w:t>. If we select 50 students at random and 27 of them are female, then a natural estimate is</w:t>
      </w:r>
      <w:r>
        <w:rPr>
          <w:rStyle w:val="apple-converted-space"/>
          <w:rFonts w:ascii="Georgia" w:hAnsi="Georgia"/>
          <w:color w:val="333333"/>
          <w:sz w:val="21"/>
          <w:szCs w:val="21"/>
        </w:rPr>
        <w:t> </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p</w:t>
      </w:r>
      <w:r>
        <w:rPr>
          <w:rStyle w:val="mo"/>
          <w:rFonts w:ascii="MathJax_Main" w:hAnsi="MathJax_Main"/>
          <w:b/>
          <w:color w:val="333333"/>
          <w:sz w:val="18"/>
          <w:szCs w:val="18"/>
        </w:rPr>
        <w:t>ˆ-</w:t>
      </w:r>
      <w:r>
        <w:rPr>
          <w:rStyle w:val="mn"/>
          <w:rFonts w:ascii="MathJax_Main" w:hAnsi="MathJax_Main"/>
          <w:b/>
          <w:color w:val="333333"/>
          <w:sz w:val="18"/>
          <w:szCs w:val="18"/>
        </w:rPr>
        <w:t>27</w:t>
      </w:r>
      <w:r>
        <w:rPr>
          <w:rStyle w:val="mo"/>
          <w:rFonts w:ascii="MathJax_Size1" w:hAnsi="MathJax_Size1"/>
          <w:b/>
          <w:color w:val="333333"/>
          <w:sz w:val="18"/>
          <w:szCs w:val="18"/>
        </w:rPr>
        <w:t>/</w:t>
      </w:r>
      <w:r>
        <w:rPr>
          <w:rStyle w:val="mn"/>
          <w:rFonts w:ascii="MathJax_Main" w:hAnsi="MathJax_Main"/>
          <w:b/>
          <w:color w:val="333333"/>
          <w:sz w:val="18"/>
          <w:szCs w:val="18"/>
        </w:rPr>
        <w:t>50</w:t>
      </w:r>
      <w:r>
        <w:rPr>
          <w:rStyle w:val="mo"/>
          <w:rFonts w:ascii="MathJax_Main" w:hAnsi="MathJax_Main"/>
          <w:b/>
          <w:color w:val="333333"/>
          <w:sz w:val="18"/>
          <w:szCs w:val="18"/>
        </w:rPr>
        <w:t>-</w:t>
      </w:r>
      <w:r>
        <w:rPr>
          <w:rStyle w:val="mn"/>
          <w:rFonts w:ascii="MathJax_Main" w:hAnsi="MathJax_Main"/>
          <w:b/>
          <w:color w:val="333333"/>
          <w:sz w:val="18"/>
          <w:szCs w:val="18"/>
        </w:rPr>
        <w:t>0.54</w:t>
      </w:r>
      <w:r>
        <w:rPr>
          <w:rStyle w:val="apple-converted-space"/>
          <w:rFonts w:ascii="Georgia" w:hAnsi="Georgia"/>
          <w:color w:val="333333"/>
          <w:sz w:val="21"/>
          <w:szCs w:val="21"/>
        </w:rPr>
        <w:t> </w:t>
      </w:r>
      <w:r>
        <w:rPr>
          <w:rFonts w:ascii="Georgia" w:hAnsi="Georgia"/>
          <w:color w:val="333333"/>
          <w:sz w:val="21"/>
          <w:szCs w:val="21"/>
        </w:rPr>
        <w:t>or 54%. How much confidence we can place in this estimate depends not only on the size of the sample, but on its quality, whether or not it is truly random, or at least truly representative of the whole population. If all 50 students in our sample were drawn from a College of Nursing, then the proportion of female students in the sample is likely higher than that of the entire campus. If all 50 students were selected from a College of Engineering Sciences, then the proportion of students in the entire student body who are females could be underestimated. In either case, the estimate would be distorted or biased. In statistical practice an unbiased sampling scheme is important but in most cases not easy to produce. For this introductory course we will assume that all samples are either random or at least representative.</w:t>
      </w:r>
    </w:p>
    <w:p w:rsidR="00AD77BB" w:rsidRDefault="00B45BA0">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w:t>
      </w:r>
    </w:p>
    <w:p w:rsidR="00AD77BB" w:rsidRDefault="00B45BA0">
      <w:pPr>
        <w:numPr>
          <w:ilvl w:val="0"/>
          <w:numId w:val="16"/>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Statistics computed from samples vary randomly from sample to sample. Conclusions made about population parameters are statements of probability.</w:t>
      </w:r>
    </w:p>
    <w:p w:rsidR="00AD77BB" w:rsidRDefault="00AD77BB"/>
    <w:p w:rsidR="00AD77BB" w:rsidRDefault="00AD77BB"/>
    <w:p w:rsidR="00AD77BB" w:rsidRDefault="00AD77BB"/>
    <w:p w:rsidR="00AD77BB" w:rsidRDefault="00AD77BB"/>
    <w:p w:rsidR="00AD77BB" w:rsidRDefault="00AD77BB"/>
    <w:p w:rsidR="00AD77BB" w:rsidRDefault="00B45BA0">
      <w:pPr>
        <w:pStyle w:val="Heading2"/>
        <w:numPr>
          <w:ilvl w:val="1"/>
          <w:numId w:val="1"/>
        </w:numPr>
        <w:shd w:val="clear" w:color="auto" w:fill="FFFFFF"/>
        <w:spacing w:before="0" w:line="439" w:lineRule="atLeast"/>
        <w:textAlignment w:val="baseline"/>
        <w:rPr>
          <w:rFonts w:ascii="Calibri" w:hAnsi="Calibri" w:cs="Calibri"/>
          <w:color w:val="333333"/>
        </w:rPr>
      </w:pPr>
      <w:r>
        <w:rPr>
          <w:rFonts w:ascii="Calibri" w:hAnsi="Calibri" w:cs="Calibri"/>
          <w:color w:val="333333"/>
        </w:rPr>
        <w:lastRenderedPageBreak/>
        <w:t>Presentation of Data</w:t>
      </w:r>
    </w:p>
    <w:p w:rsidR="00AD77BB" w:rsidRDefault="00AD77BB"/>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AD77BB" w:rsidRDefault="00B45BA0">
      <w:pPr>
        <w:numPr>
          <w:ilvl w:val="0"/>
          <w:numId w:val="17"/>
        </w:numPr>
        <w:shd w:val="clear" w:color="auto" w:fill="EAE9DC"/>
        <w:spacing w:after="0" w:line="360" w:lineRule="auto"/>
        <w:ind w:left="360" w:right="375"/>
        <w:textAlignment w:val="baseline"/>
        <w:rPr>
          <w:rFonts w:ascii="Calibri" w:hAnsi="Calibri" w:cs="Calibri"/>
          <w:color w:val="333333"/>
          <w:sz w:val="20"/>
          <w:szCs w:val="20"/>
        </w:rPr>
      </w:pPr>
      <w:r>
        <w:rPr>
          <w:rFonts w:ascii="Calibri" w:hAnsi="Calibri" w:cs="Calibri"/>
          <w:color w:val="333333"/>
          <w:sz w:val="20"/>
          <w:szCs w:val="20"/>
        </w:rPr>
        <w:t>To learn two ways that data will be presented in the text.</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 xml:space="preserve">In this book we will use two formats for presenting data sets. The first is a </w:t>
      </w:r>
      <w:r>
        <w:rPr>
          <w:rStyle w:val="marginterm"/>
          <w:rFonts w:ascii="Georgia" w:hAnsi="Georgia"/>
          <w:b/>
          <w:color w:val="333333"/>
          <w:sz w:val="20"/>
          <w:szCs w:val="20"/>
        </w:rPr>
        <w:t>data list</w:t>
      </w:r>
      <w:r>
        <w:rPr>
          <w:rFonts w:ascii="Georgia" w:hAnsi="Georgia"/>
          <w:color w:val="333333"/>
          <w:sz w:val="21"/>
          <w:szCs w:val="21"/>
        </w:rPr>
        <w:t>, which is an explicit listing of all the individual measurements, either as a display with space between the individual measurements, or in set notation with individual measurements separated by commas.</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EXAMPLE 1</w:t>
      </w:r>
    </w:p>
    <w:p w:rsidR="00AD77BB" w:rsidRDefault="00B45BA0">
      <w:pPr>
        <w:pStyle w:val="para"/>
        <w:shd w:val="clear" w:color="auto" w:fill="E3EFF7"/>
        <w:spacing w:before="150" w:beforeAutospacing="0" w:after="0" w:afterAutospacing="0" w:line="360" w:lineRule="auto"/>
        <w:ind w:left="302" w:right="374"/>
        <w:textAlignment w:val="baseline"/>
        <w:rPr>
          <w:rFonts w:ascii="Calibri" w:hAnsi="Calibri" w:cs="Calibri"/>
          <w:color w:val="333333"/>
          <w:sz w:val="20"/>
          <w:szCs w:val="20"/>
        </w:rPr>
      </w:pPr>
      <w:r>
        <w:rPr>
          <w:rFonts w:ascii="Calibri" w:hAnsi="Calibri" w:cs="Calibri"/>
          <w:color w:val="333333"/>
          <w:sz w:val="20"/>
          <w:szCs w:val="20"/>
        </w:rPr>
        <w:t>The data obtained by measuring the age of 21 randomly selected students enrolled in freshman courses at a university could be presented as the data list</w:t>
      </w:r>
    </w:p>
    <w:p w:rsidR="00AD77BB" w:rsidRDefault="00AD77BB">
      <w:pPr>
        <w:shd w:val="clear" w:color="auto" w:fill="E3EFF7"/>
        <w:spacing w:line="240" w:lineRule="auto"/>
        <w:textAlignment w:val="baseline"/>
        <w:rPr>
          <w:rStyle w:val="mn"/>
          <w:rFonts w:ascii="MathJax_Main" w:hAnsi="MathJax_Main"/>
          <w:color w:val="555555"/>
          <w:sz w:val="18"/>
          <w:szCs w:val="18"/>
        </w:rPr>
      </w:pPr>
    </w:p>
    <w:p w:rsidR="00AD77BB" w:rsidRDefault="00B45BA0">
      <w:pPr>
        <w:shd w:val="clear" w:color="auto" w:fill="E3EFF7"/>
        <w:spacing w:after="0" w:line="240" w:lineRule="auto"/>
        <w:jc w:val="center"/>
        <w:textAlignment w:val="baseline"/>
        <w:rPr>
          <w:rStyle w:val="mn"/>
          <w:rFonts w:ascii="MathJax_Main" w:hAnsi="MathJax_Main" w:cs="Calibri"/>
          <w:color w:val="555555"/>
          <w:sz w:val="18"/>
          <w:szCs w:val="18"/>
        </w:rPr>
      </w:pPr>
      <w:r>
        <w:rPr>
          <w:rStyle w:val="mn"/>
          <w:rFonts w:ascii="MathJax_Main" w:hAnsi="MathJax_Main" w:cs="Calibri"/>
          <w:color w:val="555555"/>
          <w:sz w:val="18"/>
          <w:szCs w:val="18"/>
        </w:rPr>
        <w:t xml:space="preserve">18 18 19 19 19 18 22 20 18 18 17 </w:t>
      </w:r>
    </w:p>
    <w:p w:rsidR="00AD77BB" w:rsidRDefault="00B45BA0">
      <w:pPr>
        <w:shd w:val="clear" w:color="auto" w:fill="E3EFF7"/>
        <w:spacing w:after="0" w:line="240" w:lineRule="auto"/>
        <w:textAlignment w:val="baseline"/>
        <w:rPr>
          <w:rStyle w:val="mn"/>
          <w:rFonts w:ascii="MathJax_Main" w:hAnsi="MathJax_Main" w:cs="Calibri"/>
          <w:color w:val="555555"/>
          <w:sz w:val="18"/>
          <w:szCs w:val="18"/>
        </w:rPr>
      </w:pPr>
      <w:r>
        <w:rPr>
          <w:rStyle w:val="mn"/>
          <w:rFonts w:ascii="MathJax_Main" w:hAnsi="MathJax_Main" w:cs="Calibri"/>
          <w:color w:val="555555"/>
          <w:sz w:val="18"/>
          <w:szCs w:val="18"/>
        </w:rPr>
        <w:t xml:space="preserve">                                                                           19 18  24 18 20 18  21 20 17 19</w:t>
      </w:r>
    </w:p>
    <w:p w:rsidR="00AD77BB" w:rsidRDefault="00AD77BB">
      <w:pPr>
        <w:shd w:val="clear" w:color="auto" w:fill="E3EFF7"/>
        <w:spacing w:after="0" w:line="240" w:lineRule="auto"/>
        <w:jc w:val="center"/>
        <w:textAlignment w:val="baseline"/>
        <w:rPr>
          <w:rStyle w:val="mn"/>
          <w:rFonts w:ascii="MathJax_Main" w:hAnsi="MathJax_Main" w:cs="Calibri"/>
          <w:color w:val="555555"/>
          <w:sz w:val="18"/>
          <w:szCs w:val="18"/>
        </w:rPr>
      </w:pPr>
    </w:p>
    <w:p w:rsidR="00AD77BB" w:rsidRDefault="00B45BA0">
      <w:pPr>
        <w:shd w:val="clear" w:color="auto" w:fill="E3EFF7"/>
        <w:spacing w:line="270" w:lineRule="atLeast"/>
        <w:textAlignment w:val="baseline"/>
        <w:rPr>
          <w:rFonts w:ascii="Calibri" w:hAnsi="Calibri"/>
          <w:color w:val="333333"/>
          <w:sz w:val="20"/>
          <w:szCs w:val="20"/>
        </w:rPr>
      </w:pPr>
      <w:r>
        <w:rPr>
          <w:rStyle w:val="mn"/>
          <w:rFonts w:ascii="MathJax_Main" w:hAnsi="MathJax_Main" w:cs="Calibri"/>
          <w:color w:val="555555"/>
          <w:sz w:val="18"/>
          <w:szCs w:val="18"/>
        </w:rPr>
        <w:t xml:space="preserve">       </w:t>
      </w:r>
      <w:r>
        <w:rPr>
          <w:rFonts w:ascii="Calibri" w:hAnsi="Calibri" w:cs="Calibri"/>
          <w:color w:val="333333"/>
          <w:sz w:val="20"/>
          <w:szCs w:val="20"/>
        </w:rPr>
        <w:t>or in set notation as</w:t>
      </w:r>
    </w:p>
    <w:p w:rsidR="00AD77BB" w:rsidRDefault="00B45BA0">
      <w:pPr>
        <w:shd w:val="clear" w:color="auto" w:fill="E3EFF7"/>
        <w:spacing w:line="270" w:lineRule="atLeast"/>
        <w:jc w:val="center"/>
        <w:textAlignment w:val="baseline"/>
        <w:rPr>
          <w:rFonts w:ascii="Calibri" w:hAnsi="Calibri" w:cs="Calibri"/>
          <w:color w:val="333333"/>
          <w:sz w:val="20"/>
          <w:szCs w:val="20"/>
        </w:rPr>
      </w:pPr>
      <w:r>
        <w:rPr>
          <w:rStyle w:val="mo"/>
          <w:rFonts w:ascii="MathJax_Main" w:hAnsi="MathJax_Main" w:cs="Calibri"/>
          <w:color w:val="555555"/>
          <w:sz w:val="18"/>
          <w:szCs w:val="18"/>
        </w:rPr>
        <w:t>{</w:t>
      </w:r>
      <w:r>
        <w:rPr>
          <w:rStyle w:val="mn"/>
          <w:rFonts w:ascii="MathJax_Main" w:hAnsi="MathJax_Main" w:cs="Calibri"/>
          <w:color w:val="555555"/>
          <w:sz w:val="18"/>
          <w:szCs w:val="18"/>
        </w:rPr>
        <w:t>18,18,19,19,19,18,22,20,18,18,17,19,18,24,18,20,18,21,20,17,19</w:t>
      </w:r>
      <w:r>
        <w:rPr>
          <w:rStyle w:val="mo"/>
          <w:rFonts w:ascii="MathJax_Main" w:hAnsi="MathJax_Main" w:cs="Calibri"/>
          <w:color w:val="555555"/>
          <w:sz w:val="18"/>
          <w:szCs w:val="18"/>
        </w:rPr>
        <w:t>}</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 data set can also be presented by means of a</w:t>
      </w:r>
      <w:r>
        <w:rPr>
          <w:rStyle w:val="apple-converted-space"/>
          <w:rFonts w:ascii="Georgia" w:hAnsi="Georgia"/>
          <w:b/>
          <w:color w:val="333333"/>
          <w:sz w:val="21"/>
          <w:szCs w:val="21"/>
        </w:rPr>
        <w:t> </w:t>
      </w:r>
      <w:r>
        <w:rPr>
          <w:rStyle w:val="marginterm"/>
          <w:rFonts w:ascii="Georgia" w:hAnsi="Georgia"/>
          <w:b/>
          <w:color w:val="333333"/>
          <w:sz w:val="20"/>
          <w:szCs w:val="20"/>
        </w:rPr>
        <w:t>data frequency table</w:t>
      </w:r>
      <w:r>
        <w:rPr>
          <w:rFonts w:ascii="Georgia" w:hAnsi="Georgia"/>
          <w:color w:val="333333"/>
          <w:sz w:val="21"/>
          <w:szCs w:val="21"/>
        </w:rPr>
        <w:t>, a table in which each</w:t>
      </w:r>
      <w:r>
        <w:rPr>
          <w:rStyle w:val="apple-converted-space"/>
          <w:rFonts w:ascii="Georgia" w:hAnsi="Georgia"/>
          <w:color w:val="333333"/>
          <w:sz w:val="21"/>
          <w:szCs w:val="21"/>
        </w:rPr>
        <w:t> </w:t>
      </w:r>
      <w:r>
        <w:rPr>
          <w:rStyle w:val="Emphasis"/>
          <w:rFonts w:ascii="Georgia" w:hAnsi="Georgia"/>
          <w:color w:val="333333"/>
          <w:sz w:val="20"/>
          <w:szCs w:val="20"/>
        </w:rPr>
        <w:t>distinct</w:t>
      </w:r>
      <w:r>
        <w:rPr>
          <w:rStyle w:val="apple-converted-space"/>
          <w:rFonts w:ascii="Georgia" w:hAnsi="Georgia"/>
          <w:color w:val="333333"/>
          <w:sz w:val="21"/>
          <w:szCs w:val="21"/>
        </w:rPr>
        <w:t> </w:t>
      </w:r>
      <w:r>
        <w:rPr>
          <w:rFonts w:ascii="Georgia" w:hAnsi="Georgia"/>
          <w:color w:val="333333"/>
          <w:sz w:val="21"/>
          <w:szCs w:val="21"/>
        </w:rPr>
        <w:t>value</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is listed in the first row and its</w:t>
      </w:r>
      <w:r>
        <w:rPr>
          <w:rStyle w:val="apple-converted-space"/>
          <w:rFonts w:ascii="Georgia" w:hAnsi="Georgia"/>
          <w:color w:val="333333"/>
          <w:sz w:val="21"/>
          <w:szCs w:val="21"/>
        </w:rPr>
        <w:t> </w:t>
      </w:r>
      <w:r>
        <w:rPr>
          <w:rStyle w:val="marginterm"/>
          <w:rFonts w:ascii="Georgia" w:hAnsi="Georgia"/>
          <w:b/>
          <w:color w:val="333333"/>
          <w:sz w:val="20"/>
          <w:szCs w:val="20"/>
        </w:rPr>
        <w:t>frequency</w:t>
      </w:r>
      <w:r>
        <w:rPr>
          <w:rStyle w:val="apple-converted-space"/>
          <w:rFonts w:ascii="Georgia" w:hAnsi="Georgia"/>
          <w:color w:val="333333"/>
          <w:sz w:val="21"/>
          <w:szCs w:val="21"/>
        </w:rPr>
        <w:t> </w:t>
      </w:r>
      <w:r>
        <w:rPr>
          <w:rStyle w:val="Emphasis"/>
          <w:rFonts w:ascii="Georgia" w:hAnsi="Georgia"/>
          <w:color w:val="333333"/>
          <w:sz w:val="20"/>
          <w:szCs w:val="20"/>
        </w:rPr>
        <w:t>f</w:t>
      </w:r>
      <w:r>
        <w:rPr>
          <w:rFonts w:ascii="Georgia" w:hAnsi="Georgia"/>
          <w:color w:val="333333"/>
          <w:sz w:val="21"/>
          <w:szCs w:val="21"/>
        </w:rPr>
        <w:t>, which is the number of times the value</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appears in the data set, is listed below it in the second row.</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EXAMPLE 2</w:t>
      </w:r>
    </w:p>
    <w:p w:rsidR="00AD77BB" w:rsidRDefault="00B45BA0">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data set of the previous example is represented by the data frequency table</w:t>
      </w:r>
    </w:p>
    <w:p w:rsidR="00AD77BB" w:rsidRDefault="00B45BA0">
      <w:pPr>
        <w:pStyle w:val="para"/>
        <w:shd w:val="clear" w:color="auto" w:fill="E3EFF7"/>
        <w:spacing w:before="0" w:beforeAutospacing="0" w:after="0" w:afterAutospacing="0" w:line="439" w:lineRule="atLeast"/>
        <w:ind w:left="302" w:right="374"/>
        <w:textAlignment w:val="baseline"/>
        <w:rPr>
          <w:rFonts w:ascii="Vivaldi" w:hAnsi="Vivaldi" w:cs="Calibri"/>
          <w:b/>
          <w:color w:val="333333"/>
          <w:sz w:val="16"/>
          <w:szCs w:val="16"/>
        </w:rPr>
      </w:pPr>
      <w:r>
        <w:rPr>
          <w:noProof/>
        </w:rPr>
        <mc:AlternateContent>
          <mc:Choice Requires="wps">
            <w:drawing>
              <wp:anchor distT="0" distB="0" distL="114299" distR="114299" simplePos="0" relativeHeight="251661312" behindDoc="0" locked="0" layoutInCell="1" allowOverlap="1">
                <wp:simplePos x="0" y="0"/>
                <wp:positionH relativeFrom="column">
                  <wp:posOffset>2385059</wp:posOffset>
                </wp:positionH>
                <wp:positionV relativeFrom="paragraph">
                  <wp:posOffset>127000</wp:posOffset>
                </wp:positionV>
                <wp:extent cx="0" cy="426720"/>
                <wp:effectExtent l="0" t="0" r="19050" b="11430"/>
                <wp:wrapNone/>
                <wp:docPr id="497"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67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id="Straight Connector 3" o:spid="_x0000_s1026" style="position:absolute;z-index:2516613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187.8pt,10pt" to="187.8pt,4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" strokecolor="#4579b8 [3044]">
                <o:lock v:ext="edit" shapetype="f"/>
              </v:line>
            </w:pict>
          </mc:Fallback>
        </mc:AlternateContent>
      </w:r>
      <w:r>
        <w:rPr>
          <w:noProof/>
        </w:rPr>
        <mc:AlternateContent>
          <mc:Choice Requires="wps">
            <w:drawing>
              <wp:anchor distT="4294967295" distB="4294967295" distL="114300" distR="114300" simplePos="0" relativeHeight="251660288" behindDoc="0" locked="0" layoutInCell="1" allowOverlap="1">
                <wp:simplePos x="0" y="0"/>
                <wp:positionH relativeFrom="column">
                  <wp:posOffset>2171700</wp:posOffset>
                </wp:positionH>
                <wp:positionV relativeFrom="paragraph">
                  <wp:posOffset>363219</wp:posOffset>
                </wp:positionV>
                <wp:extent cx="1432560" cy="0"/>
                <wp:effectExtent l="0" t="0" r="15240" b="19050"/>
                <wp:wrapNone/>
                <wp:docPr id="49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325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Straight Connector 1"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71pt,28.6pt" to="283.8pt,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" strokecolor="#4579b8 [3044]">
                <o:lock v:ext="edit" shapetype="f"/>
              </v:line>
            </w:pict>
          </mc:Fallback>
        </mc:AlternateContent>
      </w:r>
      <w:r>
        <w:rPr>
          <w:rFonts w:ascii="Calibri" w:hAnsi="Calibri" w:cs="Calibri"/>
          <w:color w:val="333333"/>
          <w:sz w:val="20"/>
          <w:szCs w:val="20"/>
        </w:rPr>
        <w:t xml:space="preserve">                                                                         </w:t>
      </w:r>
      <w:r>
        <w:rPr>
          <w:rFonts w:ascii="Vivaldi" w:hAnsi="Vivaldi" w:cs="Calibri"/>
          <w:color w:val="333333"/>
          <w:sz w:val="20"/>
          <w:szCs w:val="20"/>
        </w:rPr>
        <w:t xml:space="preserve"> </w:t>
      </w:r>
      <w:r>
        <w:rPr>
          <w:rFonts w:ascii="Vivaldi" w:hAnsi="Vivaldi" w:cs="Calibri"/>
          <w:b/>
          <w:color w:val="333333"/>
          <w:sz w:val="16"/>
          <w:szCs w:val="16"/>
        </w:rPr>
        <w:t>x  17  18  19  20  21  22  24</w:t>
      </w:r>
    </w:p>
    <w:p w:rsidR="00AD77BB" w:rsidRDefault="00B45BA0">
      <w:pPr>
        <w:pStyle w:val="para"/>
        <w:shd w:val="clear" w:color="auto" w:fill="E3EFF7"/>
        <w:spacing w:before="0" w:beforeAutospacing="0" w:after="0" w:afterAutospacing="0" w:line="439" w:lineRule="atLeast"/>
        <w:ind w:left="302" w:right="374"/>
        <w:textAlignment w:val="baseline"/>
        <w:rPr>
          <w:rFonts w:ascii="Vivaldi" w:hAnsi="Vivaldi" w:cs="Calibri"/>
          <w:b/>
          <w:color w:val="333333"/>
          <w:sz w:val="16"/>
          <w:szCs w:val="16"/>
        </w:rPr>
      </w:pPr>
      <w:r>
        <w:rPr>
          <w:rFonts w:ascii="Calibri" w:hAnsi="Calibri" w:cs="Calibri"/>
          <w:color w:val="333333"/>
          <w:sz w:val="20"/>
          <w:szCs w:val="20"/>
        </w:rPr>
        <w:t xml:space="preserve">                                                                          </w:t>
      </w:r>
      <w:r>
        <w:rPr>
          <w:rFonts w:ascii="Vivaldi" w:hAnsi="Vivaldi" w:cs="Calibri"/>
          <w:b/>
          <w:color w:val="333333"/>
          <w:sz w:val="16"/>
          <w:szCs w:val="16"/>
        </w:rPr>
        <w:t>f    2    8    5   3   1    1   1</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data frequency table is especially convenient when data sets are large and the number of distinct values is not too large.</w:t>
      </w:r>
    </w:p>
    <w:p w:rsidR="00AD77BB" w:rsidRDefault="00B45BA0">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w:t>
      </w:r>
    </w:p>
    <w:p w:rsidR="00AD77BB" w:rsidRDefault="00B45BA0">
      <w:pPr>
        <w:numPr>
          <w:ilvl w:val="0"/>
          <w:numId w:val="18"/>
        </w:numPr>
        <w:shd w:val="clear" w:color="auto" w:fill="ECF9EA"/>
        <w:spacing w:after="0" w:line="439" w:lineRule="atLeast"/>
        <w:ind w:left="360" w:right="375"/>
        <w:textAlignment w:val="baseline"/>
        <w:rPr>
          <w:rFonts w:ascii="Calibri" w:hAnsi="Calibri" w:cs="Calibri"/>
          <w:color w:val="333333"/>
          <w:sz w:val="20"/>
          <w:szCs w:val="20"/>
        </w:rPr>
      </w:pPr>
      <w:r>
        <w:rPr>
          <w:rFonts w:ascii="Calibri" w:hAnsi="Calibri" w:cs="Calibri"/>
          <w:color w:val="333333"/>
          <w:sz w:val="20"/>
          <w:szCs w:val="20"/>
        </w:rPr>
        <w:t>Data sets can be presented either by listing all the elements or by giving a table of values and frequencies.</w:t>
      </w:r>
    </w:p>
    <w:p w:rsidR="00AD77BB" w:rsidRDefault="00AD77BB">
      <w:pPr>
        <w:shd w:val="clear" w:color="auto" w:fill="ECF9EA"/>
        <w:spacing w:after="0" w:line="439" w:lineRule="atLeast"/>
        <w:ind w:left="300" w:right="375"/>
        <w:textAlignment w:val="baseline"/>
        <w:rPr>
          <w:rFonts w:ascii="Calibri" w:hAnsi="Calibri" w:cs="Calibri"/>
          <w:color w:val="333333"/>
          <w:sz w:val="20"/>
          <w:szCs w:val="20"/>
        </w:rPr>
      </w:pP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AD77BB" w:rsidRDefault="00AD77BB">
      <w:pPr>
        <w:pStyle w:val="para"/>
        <w:shd w:val="clear" w:color="auto" w:fill="E3EFF7"/>
        <w:spacing w:before="0" w:beforeAutospacing="0" w:after="0" w:afterAutospacing="0" w:line="439" w:lineRule="atLeast"/>
        <w:ind w:left="450"/>
        <w:textAlignment w:val="baseline"/>
        <w:rPr>
          <w:rFonts w:ascii="Calibri" w:hAnsi="Calibri" w:cs="Calibri"/>
          <w:color w:val="333333"/>
          <w:sz w:val="20"/>
          <w:szCs w:val="20"/>
        </w:rPr>
      </w:pPr>
    </w:p>
    <w:p w:rsidR="00AD77BB" w:rsidRDefault="00B45BA0">
      <w:pPr>
        <w:pStyle w:val="para"/>
        <w:numPr>
          <w:ilvl w:val="0"/>
          <w:numId w:val="19"/>
        </w:numPr>
        <w:shd w:val="clear" w:color="auto" w:fill="E3EFF7"/>
        <w:spacing w:before="0" w:beforeAutospacing="0" w:after="0" w:afterAutospacing="0" w:line="439" w:lineRule="atLeast"/>
        <w:ind w:left="450"/>
        <w:textAlignment w:val="baseline"/>
        <w:rPr>
          <w:rFonts w:ascii="Calibri" w:hAnsi="Calibri" w:cs="Calibri"/>
          <w:color w:val="333333"/>
          <w:sz w:val="20"/>
          <w:szCs w:val="20"/>
        </w:rPr>
      </w:pPr>
      <w:r>
        <w:rPr>
          <w:rFonts w:ascii="Calibri" w:hAnsi="Calibri" w:cs="Calibri"/>
          <w:color w:val="333333"/>
          <w:sz w:val="20"/>
          <w:szCs w:val="20"/>
        </w:rPr>
        <w:t>List all the measurements for the data set represented by the following data frequency table.</w:t>
      </w:r>
    </w:p>
    <w:p w:rsidR="00AD77BB" w:rsidRDefault="00B45BA0">
      <w:pPr>
        <w:pStyle w:val="para"/>
        <w:shd w:val="clear" w:color="auto" w:fill="E3EFF7"/>
        <w:spacing w:before="0" w:beforeAutospacing="0" w:after="0" w:afterAutospacing="0" w:line="439" w:lineRule="atLeast"/>
        <w:ind w:left="720" w:right="374"/>
        <w:textAlignment w:val="baseline"/>
        <w:rPr>
          <w:rFonts w:ascii="Vivaldi" w:hAnsi="Vivaldi" w:cs="Calibri"/>
          <w:b/>
          <w:color w:val="333333"/>
          <w:sz w:val="16"/>
          <w:szCs w:val="16"/>
        </w:rPr>
      </w:pPr>
      <w:r>
        <w:rPr>
          <w:noProof/>
        </w:rPr>
        <mc:AlternateContent>
          <mc:Choice Requires="wps">
            <w:drawing>
              <wp:anchor distT="0" distB="0" distL="114299" distR="114299" simplePos="0" relativeHeight="251663360" behindDoc="0" locked="0" layoutInCell="1" allowOverlap="1">
                <wp:simplePos x="0" y="0"/>
                <wp:positionH relativeFrom="column">
                  <wp:posOffset>2674619</wp:posOffset>
                </wp:positionH>
                <wp:positionV relativeFrom="paragraph">
                  <wp:posOffset>135890</wp:posOffset>
                </wp:positionV>
                <wp:extent cx="0" cy="434340"/>
                <wp:effectExtent l="0" t="0" r="19050" b="22860"/>
                <wp:wrapNone/>
                <wp:docPr id="495"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343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8" o:spid="_x0000_s1026" style="position:absolute;z-index:2516633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10.6pt,10.7pt" to="210.6pt,4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" strokecolor="#4579b8 [3044]">
                <o:lock v:ext="edit" shapetype="f"/>
              </v:line>
            </w:pict>
          </mc:Fallback>
        </mc:AlternateContent>
      </w:r>
      <w:r>
        <w:rPr>
          <w:rFonts w:ascii="Vivaldi" w:hAnsi="Vivaldi" w:cs="Calibri"/>
          <w:b/>
          <w:color w:val="333333"/>
          <w:sz w:val="16"/>
          <w:szCs w:val="16"/>
        </w:rPr>
        <w:t xml:space="preserve">                                                                                   x  21 22  22  24  25</w:t>
      </w:r>
    </w:p>
    <w:p w:rsidR="00AD77BB" w:rsidRDefault="00B45BA0">
      <w:pPr>
        <w:pStyle w:val="para"/>
        <w:shd w:val="clear" w:color="auto" w:fill="E3EFF7"/>
        <w:spacing w:before="0" w:beforeAutospacing="0" w:after="0" w:afterAutospacing="0" w:line="439" w:lineRule="atLeast"/>
        <w:ind w:left="720" w:right="374"/>
        <w:textAlignment w:val="baseline"/>
        <w:rPr>
          <w:rFonts w:ascii="Vivaldi" w:hAnsi="Vivaldi" w:cs="Calibri"/>
          <w:b/>
          <w:color w:val="333333"/>
          <w:sz w:val="16"/>
          <w:szCs w:val="16"/>
        </w:rPr>
      </w:pPr>
      <w:r>
        <w:rPr>
          <w:noProof/>
        </w:rPr>
        <mc:AlternateContent>
          <mc:Choice Requires="wps">
            <w:drawing>
              <wp:anchor distT="0" distB="0" distL="114300" distR="114300" simplePos="0" relativeHeight="251662336" behindDoc="0" locked="0" layoutInCell="1" allowOverlap="1">
                <wp:simplePos x="0" y="0"/>
                <wp:positionH relativeFrom="column">
                  <wp:posOffset>2438400</wp:posOffset>
                </wp:positionH>
                <wp:positionV relativeFrom="paragraph">
                  <wp:posOffset>62865</wp:posOffset>
                </wp:positionV>
                <wp:extent cx="982980" cy="7620"/>
                <wp:effectExtent l="0" t="0" r="26670" b="30480"/>
                <wp:wrapNone/>
                <wp:docPr id="49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8298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4"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pt,4.95pt" to="269.4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" strokecolor="#4579b8 [3044]">
                <o:lock v:ext="edit" shapetype="f"/>
              </v:line>
            </w:pict>
          </mc:Fallback>
        </mc:AlternateContent>
      </w:r>
      <w:r>
        <w:rPr>
          <w:rFonts w:ascii="Calibri" w:hAnsi="Calibri" w:cs="Calibri"/>
          <w:color w:val="333333"/>
          <w:sz w:val="20"/>
          <w:szCs w:val="20"/>
        </w:rPr>
        <w:t xml:space="preserve">                                                                          </w:t>
      </w:r>
      <w:r>
        <w:rPr>
          <w:rFonts w:ascii="Vivaldi" w:hAnsi="Vivaldi" w:cs="Calibri"/>
          <w:b/>
          <w:color w:val="333333"/>
          <w:sz w:val="16"/>
          <w:szCs w:val="16"/>
        </w:rPr>
        <w:t>f   1   5    6    4   2</w:t>
      </w:r>
    </w:p>
    <w:p w:rsidR="00AD77BB" w:rsidRDefault="00AD77BB">
      <w:pPr>
        <w:pStyle w:val="para"/>
        <w:shd w:val="clear" w:color="auto" w:fill="E3EFF7"/>
        <w:spacing w:before="0" w:beforeAutospacing="0" w:after="0" w:afterAutospacing="0" w:line="439" w:lineRule="atLeast"/>
        <w:ind w:left="450"/>
        <w:textAlignment w:val="baseline"/>
        <w:rPr>
          <w:rFonts w:ascii="Calibri" w:hAnsi="Calibri" w:cs="Calibri"/>
          <w:color w:val="333333"/>
          <w:sz w:val="20"/>
          <w:szCs w:val="20"/>
        </w:rPr>
      </w:pPr>
    </w:p>
    <w:p w:rsidR="00AD77BB" w:rsidRDefault="00B45BA0">
      <w:pPr>
        <w:pStyle w:val="para"/>
        <w:numPr>
          <w:ilvl w:val="0"/>
          <w:numId w:val="19"/>
        </w:numPr>
        <w:shd w:val="clear" w:color="auto" w:fill="E3EFF7"/>
        <w:spacing w:before="0" w:beforeAutospacing="0" w:after="0" w:afterAutospacing="0" w:line="439" w:lineRule="atLeast"/>
        <w:ind w:left="450"/>
        <w:textAlignment w:val="baseline"/>
        <w:rPr>
          <w:rFonts w:ascii="Calibri" w:hAnsi="Calibri" w:cs="Calibri"/>
          <w:color w:val="333333"/>
          <w:sz w:val="20"/>
          <w:szCs w:val="20"/>
        </w:rPr>
      </w:pPr>
      <w:r>
        <w:rPr>
          <w:rFonts w:ascii="Calibri" w:hAnsi="Calibri" w:cs="Calibri"/>
          <w:color w:val="333333"/>
          <w:sz w:val="20"/>
          <w:szCs w:val="20"/>
        </w:rPr>
        <w:t>List all the measurements for the data set represented by the following data frequency table.</w:t>
      </w:r>
    </w:p>
    <w:p w:rsidR="00AD77BB" w:rsidRDefault="00B45BA0">
      <w:pPr>
        <w:pStyle w:val="para"/>
        <w:shd w:val="clear" w:color="auto" w:fill="E3EFF7"/>
        <w:spacing w:before="0" w:beforeAutospacing="0" w:after="0" w:afterAutospacing="0" w:line="439" w:lineRule="atLeast"/>
        <w:ind w:left="720" w:right="374"/>
        <w:textAlignment w:val="baseline"/>
        <w:rPr>
          <w:rFonts w:ascii="Vivaldi" w:hAnsi="Vivaldi" w:cs="Calibri"/>
          <w:b/>
          <w:color w:val="333333"/>
          <w:sz w:val="16"/>
          <w:szCs w:val="16"/>
        </w:rPr>
      </w:pPr>
      <w:r>
        <w:rPr>
          <w:noProof/>
        </w:rPr>
        <mc:AlternateContent>
          <mc:Choice Requires="wps">
            <w:drawing>
              <wp:anchor distT="0" distB="0" distL="114299" distR="114299" simplePos="0" relativeHeight="251666432" behindDoc="0" locked="0" layoutInCell="1" allowOverlap="1">
                <wp:simplePos x="0" y="0"/>
                <wp:positionH relativeFrom="column">
                  <wp:posOffset>2674619</wp:posOffset>
                </wp:positionH>
                <wp:positionV relativeFrom="paragraph">
                  <wp:posOffset>95250</wp:posOffset>
                </wp:positionV>
                <wp:extent cx="0" cy="480060"/>
                <wp:effectExtent l="0" t="0" r="19050" b="15240"/>
                <wp:wrapNone/>
                <wp:docPr id="493"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800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id="Straight Connector 11" o:spid="_x0000_s1026" style="position:absolute;z-index:251666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210.6pt,7.5pt" to="210.6pt,4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" strokecolor="#4579b8 [3044]">
                <o:lock v:ext="edit" shapetype="f"/>
              </v:line>
            </w:pict>
          </mc:Fallback>
        </mc:AlternateContent>
      </w:r>
      <w:r>
        <w:rPr>
          <w:rFonts w:ascii="Vivaldi" w:hAnsi="Vivaldi" w:cs="Calibri"/>
          <w:b/>
          <w:color w:val="333333"/>
          <w:sz w:val="16"/>
          <w:szCs w:val="16"/>
        </w:rPr>
        <w:t xml:space="preserve">                                                                                    x  97 98 99 100 101 102 102 105</w:t>
      </w:r>
    </w:p>
    <w:p w:rsidR="00AD77BB" w:rsidRDefault="00B45BA0">
      <w:pPr>
        <w:pStyle w:val="para"/>
        <w:shd w:val="clear" w:color="auto" w:fill="E3EFF7"/>
        <w:spacing w:before="0" w:beforeAutospacing="0" w:after="0" w:afterAutospacing="0" w:line="439" w:lineRule="atLeast"/>
        <w:ind w:left="720" w:right="374"/>
        <w:textAlignment w:val="baseline"/>
        <w:rPr>
          <w:rFonts w:ascii="Vivaldi" w:hAnsi="Vivaldi" w:cs="Calibri"/>
          <w:b/>
          <w:color w:val="333333"/>
          <w:sz w:val="16"/>
          <w:szCs w:val="16"/>
        </w:rPr>
      </w:pPr>
      <w:r>
        <w:rPr>
          <w:noProof/>
        </w:rPr>
        <mc:AlternateContent>
          <mc:Choice Requires="wps">
            <w:drawing>
              <wp:anchor distT="0" distB="0" distL="114300" distR="114300" simplePos="0" relativeHeight="251665408" behindDoc="0" locked="0" layoutInCell="1" allowOverlap="1">
                <wp:simplePos x="0" y="0"/>
                <wp:positionH relativeFrom="column">
                  <wp:posOffset>2438400</wp:posOffset>
                </wp:positionH>
                <wp:positionV relativeFrom="paragraph">
                  <wp:posOffset>60325</wp:posOffset>
                </wp:positionV>
                <wp:extent cx="1485900" cy="7620"/>
                <wp:effectExtent l="0" t="0" r="19050" b="30480"/>
                <wp:wrapNone/>
                <wp:docPr id="492"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8590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Straight Connector 10"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92pt,4.75pt" to="309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" strokecolor="#4579b8 [3044]">
                <o:lock v:ext="edit" shapetype="f"/>
              </v:line>
            </w:pict>
          </mc:Fallback>
        </mc:AlternateContent>
      </w:r>
      <w:r>
        <w:rPr>
          <w:rFonts w:ascii="Calibri" w:hAnsi="Calibri" w:cs="Calibri"/>
          <w:color w:val="333333"/>
          <w:sz w:val="20"/>
          <w:szCs w:val="20"/>
        </w:rPr>
        <w:t xml:space="preserve">                                                                          </w:t>
      </w:r>
      <w:r>
        <w:rPr>
          <w:rFonts w:ascii="Vivaldi" w:hAnsi="Vivaldi" w:cs="Calibri"/>
          <w:b/>
          <w:color w:val="333333"/>
          <w:sz w:val="16"/>
          <w:szCs w:val="16"/>
        </w:rPr>
        <w:t xml:space="preserve">f    7   5   2    4    2    2    1     1  </w:t>
      </w:r>
    </w:p>
    <w:p w:rsidR="00AD77BB" w:rsidRDefault="00AD77BB">
      <w:pPr>
        <w:pStyle w:val="para"/>
        <w:shd w:val="clear" w:color="auto" w:fill="E3EFF7"/>
        <w:spacing w:before="0" w:beforeAutospacing="0" w:after="0" w:afterAutospacing="0" w:line="439" w:lineRule="atLeast"/>
        <w:ind w:left="450"/>
        <w:textAlignment w:val="baseline"/>
        <w:rPr>
          <w:rFonts w:ascii="Calibri" w:hAnsi="Calibri" w:cs="Calibri"/>
          <w:color w:val="333333"/>
          <w:sz w:val="20"/>
          <w:szCs w:val="20"/>
        </w:rPr>
      </w:pPr>
    </w:p>
    <w:p w:rsidR="00AD77BB" w:rsidRDefault="00B45BA0">
      <w:pPr>
        <w:pStyle w:val="para"/>
        <w:numPr>
          <w:ilvl w:val="0"/>
          <w:numId w:val="19"/>
        </w:numPr>
        <w:shd w:val="clear" w:color="auto" w:fill="E3EFF7"/>
        <w:spacing w:before="0" w:beforeAutospacing="0" w:after="0" w:afterAutospacing="0" w:line="439" w:lineRule="atLeast"/>
        <w:ind w:left="450"/>
        <w:textAlignment w:val="baseline"/>
        <w:rPr>
          <w:rFonts w:ascii="Calibri" w:hAnsi="Calibri" w:cs="Calibri"/>
          <w:color w:val="333333"/>
          <w:sz w:val="20"/>
          <w:szCs w:val="20"/>
        </w:rPr>
      </w:pPr>
      <w:r>
        <w:rPr>
          <w:rFonts w:ascii="Calibri" w:hAnsi="Calibri" w:cs="Calibri"/>
          <w:color w:val="333333"/>
          <w:sz w:val="20"/>
          <w:szCs w:val="20"/>
        </w:rPr>
        <w:t>Construct the data frequency table for the following data set.</w:t>
      </w:r>
    </w:p>
    <w:p w:rsidR="00AD77BB" w:rsidRDefault="00AD77BB">
      <w:pPr>
        <w:pStyle w:val="para"/>
        <w:shd w:val="clear" w:color="auto" w:fill="E3EFF7"/>
        <w:spacing w:before="0" w:beforeAutospacing="0" w:after="0" w:afterAutospacing="0" w:line="439" w:lineRule="atLeast"/>
        <w:ind w:left="450"/>
        <w:textAlignment w:val="baseline"/>
        <w:rPr>
          <w:rFonts w:ascii="Calibri" w:hAnsi="Calibri" w:cs="Calibri"/>
          <w:color w:val="333333"/>
          <w:sz w:val="20"/>
          <w:szCs w:val="20"/>
        </w:rPr>
      </w:pPr>
    </w:p>
    <w:p w:rsidR="00AD77BB" w:rsidRDefault="00B45BA0">
      <w:pPr>
        <w:shd w:val="clear" w:color="auto" w:fill="E3EFF7"/>
        <w:spacing w:after="0" w:line="240" w:lineRule="auto"/>
        <w:ind w:left="446"/>
        <w:jc w:val="center"/>
        <w:textAlignment w:val="baseline"/>
        <w:rPr>
          <w:rStyle w:val="mn"/>
          <w:rFonts w:ascii="MathJax_Main" w:hAnsi="MathJax_Main"/>
          <w:sz w:val="15"/>
          <w:szCs w:val="15"/>
        </w:rPr>
      </w:pPr>
      <w:r>
        <w:rPr>
          <w:rStyle w:val="mn"/>
          <w:rFonts w:ascii="MathJax_Main" w:hAnsi="MathJax_Main" w:cs="Calibri"/>
          <w:color w:val="333333"/>
          <w:sz w:val="15"/>
          <w:szCs w:val="15"/>
        </w:rPr>
        <w:t>22 25 22 27 24 23</w:t>
      </w:r>
    </w:p>
    <w:p w:rsidR="00AD77BB" w:rsidRDefault="00B45BA0">
      <w:pPr>
        <w:shd w:val="clear" w:color="auto" w:fill="E3EFF7"/>
        <w:spacing w:after="0" w:line="240" w:lineRule="auto"/>
        <w:ind w:left="446"/>
        <w:textAlignment w:val="baseline"/>
        <w:rPr>
          <w:rFonts w:ascii="Calibri" w:hAnsi="Calibri"/>
          <w:sz w:val="20"/>
          <w:szCs w:val="20"/>
        </w:rPr>
      </w:pPr>
      <w:r>
        <w:rPr>
          <w:rStyle w:val="mn"/>
          <w:rFonts w:ascii="MathJax_Main" w:hAnsi="MathJax_Main" w:cs="Calibri"/>
          <w:color w:val="333333"/>
          <w:sz w:val="15"/>
          <w:szCs w:val="15"/>
        </w:rPr>
        <w:t xml:space="preserve">                                                                                                       26 24 22 24  26</w:t>
      </w:r>
    </w:p>
    <w:p w:rsidR="00AD77BB" w:rsidRDefault="00B45BA0">
      <w:pPr>
        <w:pStyle w:val="para"/>
        <w:numPr>
          <w:ilvl w:val="0"/>
          <w:numId w:val="19"/>
        </w:numPr>
        <w:shd w:val="clear" w:color="auto" w:fill="E3EFF7"/>
        <w:spacing w:before="0" w:beforeAutospacing="0" w:after="0" w:afterAutospacing="0" w:line="439" w:lineRule="atLeast"/>
        <w:ind w:left="450"/>
        <w:textAlignment w:val="baseline"/>
        <w:rPr>
          <w:rFonts w:ascii="Calibri" w:hAnsi="Calibri" w:cs="Calibri"/>
          <w:color w:val="333333"/>
          <w:sz w:val="20"/>
          <w:szCs w:val="20"/>
        </w:rPr>
      </w:pPr>
      <w:r>
        <w:rPr>
          <w:rFonts w:ascii="Calibri" w:hAnsi="Calibri" w:cs="Calibri"/>
          <w:color w:val="333333"/>
          <w:sz w:val="20"/>
          <w:szCs w:val="20"/>
        </w:rPr>
        <w:t>Construct the data frequency table for the following data set.</w:t>
      </w:r>
    </w:p>
    <w:p w:rsidR="00AD77BB" w:rsidRDefault="00AD77BB">
      <w:pPr>
        <w:pStyle w:val="para"/>
        <w:shd w:val="clear" w:color="auto" w:fill="E3EFF7"/>
        <w:spacing w:before="0" w:beforeAutospacing="0" w:after="0" w:afterAutospacing="0" w:line="360" w:lineRule="auto"/>
        <w:ind w:left="450"/>
        <w:textAlignment w:val="baseline"/>
        <w:rPr>
          <w:rFonts w:ascii="Calibri" w:hAnsi="Calibri" w:cs="Calibri"/>
          <w:color w:val="333333"/>
          <w:sz w:val="20"/>
          <w:szCs w:val="20"/>
        </w:rPr>
      </w:pPr>
    </w:p>
    <w:p w:rsidR="00AD77BB" w:rsidRDefault="00B45BA0">
      <w:pPr>
        <w:shd w:val="clear" w:color="auto" w:fill="E3EFF7"/>
        <w:spacing w:after="0" w:line="360" w:lineRule="auto"/>
        <w:ind w:left="446"/>
        <w:jc w:val="center"/>
        <w:textAlignment w:val="baseline"/>
        <w:rPr>
          <w:rStyle w:val="mo"/>
          <w:rFonts w:ascii="MathJax_Main" w:hAnsi="MathJax_Main"/>
          <w:sz w:val="15"/>
          <w:szCs w:val="15"/>
        </w:rPr>
      </w:pPr>
      <w:r>
        <w:rPr>
          <w:rStyle w:val="mo"/>
          <w:rFonts w:ascii="MathJax_Main" w:hAnsi="MathJax_Main" w:cs="Calibri"/>
          <w:color w:val="333333"/>
          <w:sz w:val="15"/>
          <w:szCs w:val="15"/>
        </w:rPr>
        <w:t>{</w:t>
      </w:r>
      <w:r>
        <w:rPr>
          <w:rStyle w:val="mn"/>
          <w:rFonts w:ascii="MathJax_Main" w:hAnsi="MathJax_Main" w:cs="Calibri"/>
          <w:color w:val="333333"/>
          <w:sz w:val="15"/>
          <w:szCs w:val="15"/>
        </w:rPr>
        <w:t>1,5,2,3,5,1,4,4,4,3,2,5,1,3,2</w:t>
      </w:r>
      <w:r>
        <w:rPr>
          <w:rStyle w:val="mo"/>
          <w:rFonts w:ascii="MathJax_Main" w:hAnsi="MathJax_Main" w:cs="Calibri"/>
          <w:color w:val="333333"/>
          <w:sz w:val="15"/>
          <w:szCs w:val="15"/>
        </w:rPr>
        <w:t>,</w:t>
      </w:r>
    </w:p>
    <w:p w:rsidR="00AD77BB" w:rsidRDefault="00B45BA0">
      <w:pPr>
        <w:shd w:val="clear" w:color="auto" w:fill="E3EFF7"/>
        <w:spacing w:after="0" w:line="360" w:lineRule="auto"/>
        <w:ind w:left="446"/>
        <w:jc w:val="center"/>
        <w:textAlignment w:val="baseline"/>
        <w:rPr>
          <w:rStyle w:val="mo"/>
          <w:rFonts w:ascii="MathJax_Main" w:hAnsi="MathJax_Main" w:cs="Calibri"/>
          <w:color w:val="333333"/>
          <w:sz w:val="15"/>
          <w:szCs w:val="15"/>
        </w:rPr>
      </w:pPr>
      <w:r>
        <w:rPr>
          <w:rStyle w:val="mn"/>
          <w:rFonts w:ascii="MathJax_Main" w:hAnsi="MathJax_Main" w:cs="Calibri"/>
          <w:color w:val="333333"/>
          <w:sz w:val="15"/>
          <w:szCs w:val="15"/>
        </w:rPr>
        <w:t xml:space="preserve">                                      1,1,1,2</w:t>
      </w:r>
      <w:r>
        <w:rPr>
          <w:rStyle w:val="mo"/>
          <w:rFonts w:ascii="MathJax_Main" w:hAnsi="MathJax_Main" w:cs="Calibri"/>
          <w:color w:val="333333"/>
          <w:sz w:val="15"/>
          <w:szCs w:val="15"/>
        </w:rPr>
        <w:t>}</w:t>
      </w:r>
    </w:p>
    <w:p w:rsidR="00AD77BB" w:rsidRDefault="00AD77BB">
      <w:pPr>
        <w:shd w:val="clear" w:color="auto" w:fill="E3EFF7"/>
        <w:spacing w:after="0" w:line="360" w:lineRule="auto"/>
        <w:ind w:left="446"/>
        <w:jc w:val="center"/>
        <w:textAlignment w:val="baseline"/>
        <w:rPr>
          <w:rFonts w:ascii="Calibri" w:hAnsi="Calibri"/>
          <w:sz w:val="20"/>
          <w:szCs w:val="20"/>
        </w:rPr>
      </w:pP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w:t>
      </w:r>
    </w:p>
    <w:p w:rsidR="00AD77BB" w:rsidRDefault="00B45BA0">
      <w:pPr>
        <w:pStyle w:val="para"/>
        <w:numPr>
          <w:ilvl w:val="0"/>
          <w:numId w:val="20"/>
        </w:numPr>
        <w:shd w:val="clear" w:color="auto" w:fill="E3EFF7"/>
        <w:spacing w:before="0" w:beforeAutospacing="0" w:after="0" w:afterAutospacing="0" w:line="439" w:lineRule="atLeast"/>
        <w:ind w:left="450"/>
        <w:textAlignment w:val="baseline"/>
        <w:rPr>
          <w:rFonts w:ascii="Calibri" w:hAnsi="Calibri" w:cs="Calibri"/>
          <w:color w:val="333333"/>
          <w:sz w:val="20"/>
          <w:szCs w:val="20"/>
        </w:rPr>
      </w:pPr>
      <w:r>
        <w:rPr>
          <w:rFonts w:ascii="Calibri" w:hAnsi="Calibri" w:cs="Calibri"/>
          <w:color w:val="333333"/>
          <w:sz w:val="20"/>
          <w:szCs w:val="20"/>
        </w:rPr>
        <w:t>{31,32,32,32,32,32,33,33,33,33,33,33,34,34,34,34,35,35}.</w:t>
      </w:r>
    </w:p>
    <w:p w:rsidR="00AD77BB" w:rsidRDefault="00AD77BB">
      <w:pPr>
        <w:shd w:val="clear" w:color="auto" w:fill="E3EFF7"/>
        <w:spacing w:after="0" w:line="439" w:lineRule="atLeast"/>
        <w:ind w:left="450"/>
        <w:textAlignment w:val="baseline"/>
        <w:rPr>
          <w:rFonts w:ascii="Calibri" w:hAnsi="Calibri" w:cs="Calibri"/>
          <w:color w:val="333333"/>
          <w:sz w:val="20"/>
          <w:szCs w:val="20"/>
        </w:rPr>
      </w:pPr>
    </w:p>
    <w:p w:rsidR="00AD77BB" w:rsidRDefault="00B45BA0">
      <w:pPr>
        <w:pStyle w:val="para"/>
        <w:numPr>
          <w:ilvl w:val="0"/>
          <w:numId w:val="21"/>
        </w:numPr>
        <w:shd w:val="clear" w:color="auto" w:fill="E3EFF7"/>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333333"/>
          <w:sz w:val="20"/>
          <w:szCs w:val="20"/>
        </w:rPr>
        <w:t> </w:t>
      </w:r>
    </w:p>
    <w:p w:rsidR="00AD77BB" w:rsidRDefault="00B45BA0">
      <w:pPr>
        <w:pStyle w:val="para"/>
        <w:shd w:val="clear" w:color="auto" w:fill="E3EFF7"/>
        <w:spacing w:before="0" w:beforeAutospacing="0" w:after="0" w:afterAutospacing="0" w:line="439" w:lineRule="atLeast"/>
        <w:ind w:left="450" w:right="374"/>
        <w:textAlignment w:val="baseline"/>
        <w:rPr>
          <w:rFonts w:ascii="Vivaldi" w:hAnsi="Vivaldi" w:cs="Calibri"/>
          <w:b/>
          <w:color w:val="333333"/>
          <w:sz w:val="16"/>
          <w:szCs w:val="16"/>
        </w:rPr>
      </w:pPr>
      <w:r>
        <w:rPr>
          <w:noProof/>
        </w:rPr>
        <mc:AlternateContent>
          <mc:Choice Requires="wps">
            <w:drawing>
              <wp:anchor distT="0" distB="0" distL="114299" distR="114299" simplePos="0" relativeHeight="251669504" behindDoc="0" locked="0" layoutInCell="1" allowOverlap="1">
                <wp:simplePos x="0" y="0"/>
                <wp:positionH relativeFrom="column">
                  <wp:posOffset>457199</wp:posOffset>
                </wp:positionH>
                <wp:positionV relativeFrom="paragraph">
                  <wp:posOffset>95250</wp:posOffset>
                </wp:positionV>
                <wp:extent cx="0" cy="480060"/>
                <wp:effectExtent l="0" t="0" r="19050" b="15240"/>
                <wp:wrapNone/>
                <wp:docPr id="491"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800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id="Straight Connector 12" o:spid="_x0000_s1026" style="position:absolute;z-index:2516695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6pt,7.5pt" to="36pt,4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" strokecolor="#4579b8 [3044]">
                <o:lock v:ext="edit" shapetype="f"/>
              </v:line>
            </w:pict>
          </mc:Fallback>
        </mc:AlternateContent>
      </w:r>
      <w:r>
        <w:rPr>
          <w:rFonts w:ascii="Vivaldi" w:hAnsi="Vivaldi" w:cs="Calibri"/>
          <w:b/>
          <w:color w:val="333333"/>
          <w:sz w:val="16"/>
          <w:szCs w:val="16"/>
        </w:rPr>
        <w:t xml:space="preserve">   x  22  23  24  25  26  27</w:t>
      </w:r>
    </w:p>
    <w:p w:rsidR="00AD77BB" w:rsidRDefault="00B45BA0">
      <w:pPr>
        <w:pStyle w:val="para"/>
        <w:shd w:val="clear" w:color="auto" w:fill="E3EFF7"/>
        <w:spacing w:before="0" w:beforeAutospacing="0" w:after="0" w:afterAutospacing="0" w:line="439" w:lineRule="atLeast"/>
        <w:ind w:left="450" w:right="374"/>
        <w:textAlignment w:val="baseline"/>
        <w:rPr>
          <w:rFonts w:ascii="Vivaldi" w:hAnsi="Vivaldi" w:cs="Calibri"/>
          <w:b/>
          <w:color w:val="333333"/>
          <w:sz w:val="16"/>
          <w:szCs w:val="16"/>
        </w:rPr>
      </w:pPr>
      <w:r>
        <w:rPr>
          <w:noProof/>
        </w:rPr>
        <mc:AlternateContent>
          <mc:Choice Requires="wps">
            <w:drawing>
              <wp:anchor distT="4294967295" distB="4294967295" distL="114300" distR="114300" simplePos="0" relativeHeight="251668480" behindDoc="0" locked="0" layoutInCell="1" allowOverlap="1">
                <wp:simplePos x="0" y="0"/>
                <wp:positionH relativeFrom="column">
                  <wp:posOffset>335280</wp:posOffset>
                </wp:positionH>
                <wp:positionV relativeFrom="paragraph">
                  <wp:posOffset>67309</wp:posOffset>
                </wp:positionV>
                <wp:extent cx="944880" cy="0"/>
                <wp:effectExtent l="0" t="0" r="26670" b="19050"/>
                <wp:wrapNone/>
                <wp:docPr id="490"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448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6.4pt,5.3pt" to="100.8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" strokecolor="#4579b8 [3044]">
                <o:lock v:ext="edit" shapetype="f"/>
              </v:line>
            </w:pict>
          </mc:Fallback>
        </mc:AlternateContent>
      </w:r>
      <w:r>
        <w:rPr>
          <w:rFonts w:ascii="Calibri" w:hAnsi="Calibri" w:cs="Calibri"/>
          <w:color w:val="333333"/>
          <w:sz w:val="20"/>
          <w:szCs w:val="20"/>
        </w:rPr>
        <w:t xml:space="preserve">  </w:t>
      </w:r>
      <w:r>
        <w:rPr>
          <w:rFonts w:ascii="Vivaldi" w:hAnsi="Vivaldi" w:cs="Calibri"/>
          <w:b/>
          <w:color w:val="333333"/>
          <w:sz w:val="16"/>
          <w:szCs w:val="16"/>
        </w:rPr>
        <w:t xml:space="preserve">f     3   1   3    1    2    1   </w:t>
      </w:r>
    </w:p>
    <w:p w:rsidR="00AD77BB" w:rsidRDefault="00AD77BB"/>
    <w:p w:rsidR="00AD77BB" w:rsidRDefault="00AD77BB"/>
    <w:p w:rsidR="00AD77BB" w:rsidRDefault="00AD77BB"/>
    <w:p w:rsidR="00AD77BB" w:rsidRDefault="00AD77BB"/>
    <w:p w:rsidR="00AD77BB" w:rsidRDefault="00AD77BB"/>
    <w:p w:rsidR="00AD77BB" w:rsidRDefault="00AD77BB"/>
    <w:p w:rsidR="00AD77BB" w:rsidRDefault="00AD77BB"/>
    <w:p w:rsidR="00AD77BB" w:rsidRDefault="00AD77BB"/>
    <w:p w:rsidR="00AD77BB" w:rsidRDefault="00B45BA0">
      <w:pPr>
        <w:shd w:val="clear" w:color="auto" w:fill="FFFFFF"/>
        <w:spacing w:after="0" w:line="240" w:lineRule="atLeast"/>
        <w:jc w:val="center"/>
        <w:textAlignment w:val="baseline"/>
        <w:outlineLvl w:val="0"/>
        <w:rPr>
          <w:rFonts w:ascii="Calibri" w:eastAsia="Times New Roman" w:hAnsi="Calibri" w:cs="Calibri"/>
          <w:b/>
          <w:bCs/>
          <w:color w:val="000000"/>
          <w:kern w:val="36"/>
          <w:sz w:val="31"/>
          <w:szCs w:val="31"/>
        </w:rPr>
      </w:pPr>
      <w:r>
        <w:rPr>
          <w:rFonts w:ascii="Calibri" w:eastAsia="Times New Roman" w:hAnsi="Calibri" w:cs="Calibri"/>
          <w:b/>
          <w:bCs/>
          <w:color w:val="000000"/>
          <w:kern w:val="36"/>
          <w:sz w:val="31"/>
          <w:szCs w:val="31"/>
        </w:rPr>
        <w:t>Chapter 2</w:t>
      </w:r>
    </w:p>
    <w:p w:rsidR="00AD77BB" w:rsidRDefault="00B45BA0">
      <w:pPr>
        <w:shd w:val="clear" w:color="auto" w:fill="FFFFFF"/>
        <w:spacing w:after="0" w:line="240" w:lineRule="atLeast"/>
        <w:jc w:val="center"/>
        <w:textAlignment w:val="baseline"/>
        <w:outlineLvl w:val="0"/>
        <w:rPr>
          <w:rFonts w:ascii="Calibri" w:eastAsia="Times New Roman" w:hAnsi="Calibri" w:cs="Calibri"/>
          <w:b/>
          <w:bCs/>
          <w:color w:val="08629A"/>
          <w:kern w:val="36"/>
          <w:sz w:val="31"/>
          <w:szCs w:val="31"/>
        </w:rPr>
      </w:pPr>
      <w:r>
        <w:rPr>
          <w:rFonts w:ascii="Calibri" w:eastAsia="Times New Roman" w:hAnsi="Calibri" w:cs="Calibri"/>
          <w:b/>
          <w:bCs/>
          <w:color w:val="08629A"/>
          <w:kern w:val="36"/>
          <w:sz w:val="31"/>
          <w:szCs w:val="31"/>
        </w:rPr>
        <w:t>Descriptive Statistics</w:t>
      </w:r>
    </w:p>
    <w:p w:rsidR="00AD77BB" w:rsidRDefault="00AD77BB">
      <w:pPr>
        <w:shd w:val="clear" w:color="auto" w:fill="FFFFFF"/>
        <w:spacing w:after="0" w:line="240" w:lineRule="atLeast"/>
        <w:jc w:val="center"/>
        <w:textAlignment w:val="baseline"/>
        <w:outlineLvl w:val="0"/>
        <w:rPr>
          <w:rFonts w:ascii="Calibri" w:eastAsia="Times New Roman" w:hAnsi="Calibri" w:cs="Calibri"/>
          <w:b/>
          <w:bCs/>
          <w:color w:val="08629A"/>
          <w:kern w:val="36"/>
          <w:sz w:val="31"/>
          <w:szCs w:val="3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As described in </w:t>
      </w:r>
      <w:r>
        <w:rPr>
          <w:rFonts w:ascii="Georgia" w:eastAsia="Times New Roman" w:hAnsi="Georgia" w:cs="Times New Roman"/>
          <w:color w:val="2689C6"/>
          <w:sz w:val="21"/>
          <w:szCs w:val="21"/>
        </w:rPr>
        <w:t>Chapter 1 "Introduction"</w:t>
      </w:r>
      <w:r>
        <w:rPr>
          <w:rFonts w:ascii="Georgia" w:eastAsia="Times New Roman" w:hAnsi="Georgia" w:cs="Times New Roman"/>
          <w:color w:val="333333"/>
          <w:sz w:val="21"/>
          <w:szCs w:val="21"/>
        </w:rPr>
        <w:t>, statistics naturally divides into two branches, descriptive statistics and inferential statistics. Our main interest is in inferential statistics, as shown in </w:t>
      </w:r>
      <w:r>
        <w:rPr>
          <w:rFonts w:ascii="Georgia" w:eastAsia="Times New Roman" w:hAnsi="Georgia" w:cs="Times New Roman"/>
          <w:color w:val="2689C6"/>
          <w:sz w:val="21"/>
          <w:szCs w:val="21"/>
        </w:rPr>
        <w:t>Figure 1.1 "The Grand Picture of Statistics"</w:t>
      </w:r>
      <w:r>
        <w:rPr>
          <w:rFonts w:ascii="Georgia" w:eastAsia="Times New Roman" w:hAnsi="Georgia" w:cs="Times New Roman"/>
          <w:color w:val="333333"/>
          <w:sz w:val="21"/>
          <w:szCs w:val="21"/>
        </w:rPr>
        <w:t xml:space="preserve"> in </w:t>
      </w:r>
      <w:r>
        <w:rPr>
          <w:rFonts w:ascii="Georgia" w:eastAsia="Times New Roman" w:hAnsi="Georgia" w:cs="Times New Roman"/>
          <w:color w:val="2689C6"/>
          <w:sz w:val="21"/>
          <w:szCs w:val="21"/>
        </w:rPr>
        <w:t>Chapter 1 "Introduction"</w:t>
      </w:r>
      <w:r>
        <w:rPr>
          <w:rFonts w:ascii="Georgia" w:eastAsia="Times New Roman" w:hAnsi="Georgia" w:cs="Times New Roman"/>
          <w:color w:val="333333"/>
          <w:sz w:val="21"/>
          <w:szCs w:val="21"/>
        </w:rPr>
        <w:t>. Nevertheless, the starting point for dealing with a collection of data is to organize, display, and summarize it effectively. These are the objectives of descriptive statistics, the topic of this chapter.</w:t>
      </w:r>
    </w:p>
    <w:p w:rsidR="00AD77BB" w:rsidRDefault="00AD77BB"/>
    <w:p w:rsidR="00AD77BB" w:rsidRDefault="00AD77BB"/>
    <w:p w:rsidR="00AD77BB" w:rsidRDefault="00AD77BB"/>
    <w:p w:rsidR="00AD77BB" w:rsidRDefault="00AD77BB"/>
    <w:p w:rsidR="00AD77BB" w:rsidRDefault="00AD77BB"/>
    <w:p w:rsidR="00AD77BB" w:rsidRDefault="00AD77BB"/>
    <w:p w:rsidR="00AD77BB" w:rsidRDefault="00AD77BB"/>
    <w:p w:rsidR="00AD77BB" w:rsidRDefault="00AD77BB"/>
    <w:p w:rsidR="00AD77BB" w:rsidRDefault="00AD77BB"/>
    <w:p w:rsidR="00AD77BB" w:rsidRDefault="00AD77BB"/>
    <w:p w:rsidR="00AD77BB" w:rsidRDefault="00AD77BB"/>
    <w:p w:rsidR="00AD77BB" w:rsidRDefault="00AD77BB"/>
    <w:p w:rsidR="00AD77BB" w:rsidRDefault="00AD77BB"/>
    <w:p w:rsidR="00AD77BB" w:rsidRDefault="00AD77BB"/>
    <w:p w:rsidR="00AD77BB" w:rsidRDefault="00AD77BB"/>
    <w:p w:rsidR="00AD77BB" w:rsidRDefault="00AD77BB"/>
    <w:p w:rsidR="00AD77BB" w:rsidRDefault="00AD77BB"/>
    <w:p w:rsidR="00AD77BB" w:rsidRDefault="00AD77BB"/>
    <w:p w:rsidR="00AD77BB" w:rsidRDefault="00AD77BB"/>
    <w:p w:rsidR="00AD77BB" w:rsidRDefault="00AD77BB"/>
    <w:p w:rsidR="00AD77BB" w:rsidRDefault="00B45BA0">
      <w:pPr>
        <w:shd w:val="clear" w:color="auto" w:fill="FFFFFF"/>
        <w:spacing w:after="0" w:line="439" w:lineRule="atLeast"/>
        <w:textAlignment w:val="baseline"/>
        <w:outlineLvl w:val="1"/>
        <w:rPr>
          <w:rFonts w:ascii="Calibri" w:eastAsia="Times New Roman" w:hAnsi="Calibri" w:cs="Calibri"/>
          <w:b/>
          <w:bCs/>
          <w:color w:val="333333"/>
          <w:sz w:val="36"/>
          <w:szCs w:val="36"/>
        </w:rPr>
      </w:pPr>
      <w:r>
        <w:rPr>
          <w:rFonts w:ascii="Calibri" w:eastAsia="Times New Roman" w:hAnsi="Calibri" w:cs="Calibri"/>
          <w:b/>
          <w:bCs/>
          <w:color w:val="333333"/>
          <w:sz w:val="34"/>
          <w:szCs w:val="34"/>
        </w:rPr>
        <w:t>2.1</w:t>
      </w:r>
      <w:r>
        <w:rPr>
          <w:rFonts w:ascii="Calibri" w:eastAsia="Times New Roman" w:hAnsi="Calibri" w:cs="Calibri"/>
          <w:b/>
          <w:bCs/>
          <w:color w:val="333333"/>
          <w:sz w:val="36"/>
          <w:szCs w:val="36"/>
        </w:rPr>
        <w:t> Three Popular Data Displays</w:t>
      </w:r>
    </w:p>
    <w:p w:rsidR="00AD77BB" w:rsidRDefault="00AD77BB">
      <w:pPr>
        <w:shd w:val="clear" w:color="auto" w:fill="FFFFFF"/>
        <w:spacing w:after="0" w:line="439" w:lineRule="atLeast"/>
        <w:textAlignment w:val="baseline"/>
        <w:outlineLvl w:val="1"/>
        <w:rPr>
          <w:rFonts w:ascii="Calibri" w:eastAsia="Times New Roman" w:hAnsi="Calibri" w:cs="Calibri"/>
          <w:b/>
          <w:bCs/>
          <w:color w:val="333333"/>
          <w:sz w:val="36"/>
          <w:szCs w:val="36"/>
        </w:rPr>
      </w:pPr>
    </w:p>
    <w:p w:rsidR="00AD77BB" w:rsidRDefault="00B45BA0">
      <w:pPr>
        <w:shd w:val="clear" w:color="auto" w:fill="D2D1C2"/>
        <w:spacing w:after="150" w:line="264" w:lineRule="atLeast"/>
        <w:jc w:val="center"/>
        <w:textAlignment w:val="baseline"/>
        <w:outlineLvl w:val="2"/>
        <w:rPr>
          <w:rFonts w:ascii="Calibri" w:eastAsia="Times New Roman" w:hAnsi="Calibri" w:cs="Calibri"/>
          <w:b/>
          <w:bCs/>
          <w:caps/>
          <w:color w:val="333333"/>
          <w:spacing w:val="30"/>
          <w:sz w:val="25"/>
          <w:szCs w:val="25"/>
        </w:rPr>
      </w:pPr>
      <w:r>
        <w:rPr>
          <w:rFonts w:ascii="Calibri" w:eastAsia="Times New Roman" w:hAnsi="Calibri" w:cs="Calibri"/>
          <w:b/>
          <w:bCs/>
          <w:caps/>
          <w:color w:val="333333"/>
          <w:spacing w:val="30"/>
          <w:sz w:val="25"/>
          <w:szCs w:val="25"/>
        </w:rPr>
        <w:t>LEARNING OBJECTIVE</w:t>
      </w:r>
    </w:p>
    <w:p w:rsidR="00AD77BB" w:rsidRDefault="00B45BA0">
      <w:pPr>
        <w:numPr>
          <w:ilvl w:val="0"/>
          <w:numId w:val="22"/>
        </w:numPr>
        <w:shd w:val="clear" w:color="auto" w:fill="EAE9DC"/>
        <w:spacing w:line="360" w:lineRule="auto"/>
        <w:ind w:left="360" w:right="374"/>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To learn to interpret the meaning of three graphical representations of sets of data: stem and leaf diagrams, frequency histograms, and relative frequency histograms.</w:t>
      </w:r>
    </w:p>
    <w:p w:rsidR="00AD77BB" w:rsidRDefault="00AD77BB">
      <w:pPr>
        <w:shd w:val="clear" w:color="auto" w:fill="EAE9DC"/>
        <w:spacing w:line="360" w:lineRule="auto"/>
        <w:ind w:right="374"/>
        <w:textAlignment w:val="baseline"/>
        <w:rPr>
          <w:rFonts w:ascii="Calibri" w:eastAsia="Times New Roman" w:hAnsi="Calibri" w:cs="Calibri"/>
          <w:color w:val="333333"/>
          <w:sz w:val="20"/>
          <w:szCs w:val="20"/>
        </w:rPr>
      </w:pP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A well-known adage is that “a picture is worth a thousand words.” This saying proves true when it comes to presenting statistical information in a data set. There are many effective ways to present data graphically. The three graphical tools that are introduced in this section are among the most commonly used and are relevant to the subsequent presentation of the material in this book.</w:t>
      </w:r>
    </w:p>
    <w:p w:rsidR="00AD77BB" w:rsidRDefault="00B45BA0">
      <w:pPr>
        <w:shd w:val="clear" w:color="auto" w:fill="FFFFFF"/>
        <w:spacing w:after="0" w:line="439" w:lineRule="atLeast"/>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Stem and Leaf Diagrams</w:t>
      </w:r>
    </w:p>
    <w:p w:rsidR="00AD77BB" w:rsidRDefault="00B45BA0">
      <w:pPr>
        <w:shd w:val="clear" w:color="auto" w:fill="FFFFFF"/>
        <w:spacing w:after="0" w:line="439" w:lineRule="atLeast"/>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Suppose 30 students in a statistics class took a test and made the following scores:</w:t>
      </w:r>
    </w:p>
    <w:p w:rsidR="00AD77BB" w:rsidRDefault="00B45BA0">
      <w:pPr>
        <w:shd w:val="clear" w:color="auto" w:fill="FFFFFF"/>
        <w:spacing w:after="0" w:line="270" w:lineRule="atLeast"/>
        <w:jc w:val="center"/>
        <w:textAlignment w:val="baseline"/>
        <w:rPr>
          <w:rFonts w:ascii="MathJax_Main" w:eastAsia="Times New Roman" w:hAnsi="MathJax_Main" w:cs="Calibri"/>
          <w:color w:val="555555"/>
          <w:sz w:val="19"/>
          <w:szCs w:val="19"/>
        </w:rPr>
      </w:pPr>
      <w:r>
        <w:rPr>
          <w:rFonts w:ascii="MathJax_Main" w:eastAsia="Times New Roman" w:hAnsi="MathJax_Main" w:cs="Calibri"/>
          <w:color w:val="555555"/>
          <w:sz w:val="19"/>
          <w:szCs w:val="19"/>
        </w:rPr>
        <w:t xml:space="preserve">  86 80 25 77 73 76 100 90 69 93</w:t>
      </w:r>
    </w:p>
    <w:p w:rsidR="00AD77BB" w:rsidRDefault="00B45BA0">
      <w:pPr>
        <w:shd w:val="clear" w:color="auto" w:fill="FFFFFF"/>
        <w:spacing w:after="0" w:line="270" w:lineRule="atLeast"/>
        <w:jc w:val="center"/>
        <w:textAlignment w:val="baseline"/>
        <w:rPr>
          <w:rFonts w:ascii="MathJax_Main" w:eastAsia="Times New Roman" w:hAnsi="MathJax_Main" w:cs="Calibri"/>
          <w:color w:val="555555"/>
          <w:sz w:val="19"/>
          <w:szCs w:val="19"/>
        </w:rPr>
      </w:pPr>
      <w:r>
        <w:rPr>
          <w:rFonts w:ascii="MathJax_Main" w:eastAsia="Times New Roman" w:hAnsi="MathJax_Main" w:cs="Calibri"/>
          <w:color w:val="555555"/>
          <w:sz w:val="19"/>
          <w:szCs w:val="19"/>
        </w:rPr>
        <w:t>90 83 70 73 73 70 90 83 71 95</w:t>
      </w:r>
    </w:p>
    <w:p w:rsidR="00AD77BB" w:rsidRDefault="00B45BA0">
      <w:pPr>
        <w:shd w:val="clear" w:color="auto" w:fill="FFFFFF"/>
        <w:spacing w:after="0" w:line="270" w:lineRule="atLeast"/>
        <w:jc w:val="center"/>
        <w:textAlignment w:val="baseline"/>
        <w:rPr>
          <w:rFonts w:ascii="Calibri" w:eastAsia="Times New Roman" w:hAnsi="Calibri" w:cs="Calibri"/>
          <w:color w:val="555555"/>
          <w:sz w:val="23"/>
          <w:szCs w:val="23"/>
        </w:rPr>
      </w:pPr>
      <w:r>
        <w:rPr>
          <w:rFonts w:ascii="MathJax_Main" w:eastAsia="Times New Roman" w:hAnsi="MathJax_Main" w:cs="Calibri"/>
          <w:color w:val="555555"/>
          <w:sz w:val="19"/>
          <w:szCs w:val="19"/>
        </w:rPr>
        <w:t xml:space="preserve"> 40 58 68 69 100 78 87 97 92 74</w:t>
      </w:r>
    </w:p>
    <w:p w:rsidR="00AD77BB" w:rsidRDefault="00AD77BB">
      <w:pPr>
        <w:shd w:val="clear" w:color="auto" w:fill="FFFFFF"/>
        <w:spacing w:after="0" w:line="360" w:lineRule="auto"/>
        <w:textAlignment w:val="baseline"/>
        <w:rPr>
          <w:rFonts w:ascii="Georgia" w:eastAsia="Times New Roman" w:hAnsi="Georgia" w:cs="Calibri"/>
          <w:color w:val="333333"/>
          <w:sz w:val="20"/>
          <w:szCs w:val="20"/>
        </w:rPr>
      </w:pPr>
    </w:p>
    <w:p w:rsidR="00AD77BB" w:rsidRDefault="00B45BA0">
      <w:pPr>
        <w:shd w:val="clear" w:color="auto" w:fill="FFFFFF"/>
        <w:spacing w:after="0" w:line="360" w:lineRule="auto"/>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How did the class do on the test? A quick glance at the set of 30 numbers does not immediately give a clear answer. However the data set may be reorganized and rewritten to make relevant information more visible. One way to do so is to construct a </w:t>
      </w:r>
      <w:r>
        <w:rPr>
          <w:rFonts w:ascii="Georgia" w:eastAsia="Times New Roman" w:hAnsi="Georgia" w:cs="Calibri"/>
          <w:b/>
          <w:bCs/>
          <w:color w:val="333333"/>
          <w:sz w:val="20"/>
          <w:szCs w:val="20"/>
        </w:rPr>
        <w:t>stem and leaf</w:t>
      </w:r>
      <w:r>
        <w:rPr>
          <w:rFonts w:ascii="Georgia" w:eastAsia="Times New Roman" w:hAnsi="Georgia" w:cs="Calibri"/>
          <w:color w:val="333333"/>
          <w:sz w:val="20"/>
          <w:szCs w:val="20"/>
        </w:rPr>
        <w:t> diagram as shown in . The numbers in the tens place, from 2 through 9, and additionally the number 10, are the “stems,” and are arranged in numerical order from top to bottom to the left of a vertical line. The number in the units place in each measurement is a “leaf,” and is placed in a row to the right of the corresponding stem, the number in the tens place of that measurement. Thus the three leaves 9, 8, and 9 in the row headed with the stem 6 correspond to the three exam scores in the 60s, 69 (in the first row of data), 68 (in the third row), and 69 (also in the third row). The display is made even more useful for some purposes by rearranging the leaves in numerical order, as shown in . Either way, with the data reorganized certain information of interest becomes apparent immediately. There are two perfect scores; three students made scores under 60; most students scored in the 70s, 80s and 90s; and the overall average is probably in the high 70s or low 80s.</w:t>
      </w:r>
    </w:p>
    <w:p w:rsidR="00AD77BB" w:rsidRDefault="00AD77BB"/>
    <w:p w:rsidR="00AD77BB" w:rsidRDefault="00AD77BB"/>
    <w:p w:rsidR="00AD77BB" w:rsidRDefault="00AD77BB"/>
    <w:p w:rsidR="00AD77BB" w:rsidRDefault="00B45BA0">
      <w:pPr>
        <w:shd w:val="clear" w:color="auto" w:fill="FFFFFF"/>
        <w:spacing w:after="0" w:line="439" w:lineRule="atLeast"/>
        <w:textAlignment w:val="baseline"/>
        <w:rPr>
          <w:rFonts w:ascii="Georgia" w:eastAsia="Times New Roman" w:hAnsi="Georgia" w:cs="Calibri"/>
          <w:i/>
          <w:iCs/>
          <w:color w:val="BB9966"/>
        </w:rPr>
      </w:pPr>
      <w:r>
        <w:rPr>
          <w:rFonts w:ascii="Georgia" w:eastAsia="Times New Roman" w:hAnsi="Georgia" w:cs="Calibri"/>
          <w:i/>
          <w:iCs/>
          <w:color w:val="000000"/>
          <w:sz w:val="20"/>
          <w:szCs w:val="20"/>
        </w:rPr>
        <w:lastRenderedPageBreak/>
        <w:t>igure 2.1</w:t>
      </w:r>
      <w:r>
        <w:rPr>
          <w:rFonts w:ascii="Georgia" w:eastAsia="Times New Roman" w:hAnsi="Georgia" w:cs="Calibri"/>
          <w:i/>
          <w:iCs/>
          <w:color w:val="BB9966"/>
        </w:rPr>
        <w:t> Stem and Leaf Diagram</w:t>
      </w:r>
    </w:p>
    <w:p w:rsidR="00AD77BB" w:rsidRDefault="00B45BA0">
      <w:pPr>
        <w:shd w:val="clear" w:color="auto" w:fill="FFFFFF"/>
        <w:spacing w:line="270" w:lineRule="atLeast"/>
        <w:textAlignment w:val="baseline"/>
        <w:rPr>
          <w:rFonts w:ascii="Calibri" w:eastAsia="Times New Roman" w:hAnsi="Calibri" w:cs="Calibri"/>
          <w:color w:val="555555"/>
          <w:sz w:val="27"/>
          <w:szCs w:val="27"/>
        </w:rPr>
      </w:pPr>
      <w:r>
        <w:rPr>
          <w:rFonts w:ascii="Calibri" w:eastAsia="Times New Roman" w:hAnsi="Calibri" w:cs="Calibri"/>
          <w:noProof/>
          <w:color w:val="2689C6"/>
          <w:sz w:val="27"/>
          <w:szCs w:val="27"/>
        </w:rPr>
        <w:drawing>
          <wp:inline distT="0" distB="0" distL="0" distR="0">
            <wp:extent cx="4610100" cy="3124200"/>
            <wp:effectExtent l="0" t="0" r="0" b="0"/>
            <wp:docPr id="2" name="Picture 15" descr="http://images.flatworldknowledge.com/shafer/shafer-fig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shafer/shafer-fig02_00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10100" cy="3124200"/>
                    </a:xfrm>
                    <a:prstGeom prst="rect">
                      <a:avLst/>
                    </a:prstGeom>
                    <a:noFill/>
                    <a:ln>
                      <a:noFill/>
                    </a:ln>
                  </pic:spPr>
                </pic:pic>
              </a:graphicData>
            </a:graphic>
          </wp:inline>
        </w:drawing>
      </w:r>
    </w:p>
    <w:p w:rsidR="00AD77BB" w:rsidRDefault="00B45BA0">
      <w:pPr>
        <w:shd w:val="clear" w:color="auto" w:fill="FFFFFF"/>
        <w:spacing w:after="0" w:line="439" w:lineRule="atLeast"/>
        <w:textAlignment w:val="baseline"/>
        <w:rPr>
          <w:rFonts w:ascii="Georgia" w:eastAsia="Times New Roman" w:hAnsi="Georgia" w:cs="Calibri"/>
          <w:i/>
          <w:iCs/>
          <w:color w:val="BB9966"/>
        </w:rPr>
      </w:pPr>
      <w:r>
        <w:rPr>
          <w:rFonts w:ascii="Georgia" w:eastAsia="Times New Roman" w:hAnsi="Georgia" w:cs="Calibri"/>
          <w:i/>
          <w:iCs/>
          <w:color w:val="000000"/>
          <w:sz w:val="20"/>
          <w:szCs w:val="20"/>
        </w:rPr>
        <w:t>Figure 2.2</w:t>
      </w:r>
      <w:r>
        <w:rPr>
          <w:rFonts w:ascii="Georgia" w:eastAsia="Times New Roman" w:hAnsi="Georgia" w:cs="Calibri"/>
          <w:i/>
          <w:iCs/>
          <w:color w:val="BB9966"/>
        </w:rPr>
        <w:t> Ordered Stem and Leaf Diagram</w:t>
      </w:r>
    </w:p>
    <w:p w:rsidR="00AD77BB" w:rsidRDefault="00B45BA0">
      <w:pPr>
        <w:shd w:val="clear" w:color="auto" w:fill="FFFFFF"/>
        <w:spacing w:line="270" w:lineRule="atLeast"/>
        <w:textAlignment w:val="baseline"/>
        <w:rPr>
          <w:rFonts w:ascii="Calibri" w:eastAsia="Times New Roman" w:hAnsi="Calibri" w:cs="Calibri"/>
          <w:color w:val="555555"/>
          <w:sz w:val="27"/>
          <w:szCs w:val="27"/>
        </w:rPr>
      </w:pPr>
      <w:r>
        <w:rPr>
          <w:rFonts w:ascii="Calibri" w:eastAsia="Times New Roman" w:hAnsi="Calibri" w:cs="Calibri"/>
          <w:noProof/>
          <w:color w:val="2689C6"/>
          <w:sz w:val="27"/>
          <w:szCs w:val="27"/>
        </w:rPr>
        <w:drawing>
          <wp:inline distT="0" distB="0" distL="0" distR="0">
            <wp:extent cx="4667250" cy="3162300"/>
            <wp:effectExtent l="0" t="0" r="0" b="0"/>
            <wp:docPr id="3" name="Picture 14" descr="http://images.flatworldknowledge.com/shafer/shafer-fig0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shafer/shafer-fig02_00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67250" cy="3162300"/>
                    </a:xfrm>
                    <a:prstGeom prst="rect">
                      <a:avLst/>
                    </a:prstGeom>
                    <a:noFill/>
                    <a:ln>
                      <a:noFill/>
                    </a:ln>
                  </pic:spPr>
                </pic:pic>
              </a:graphicData>
            </a:graphic>
          </wp:inline>
        </w:drawing>
      </w:r>
    </w:p>
    <w:p w:rsidR="00AD77BB" w:rsidRDefault="00AD77BB">
      <w:pPr>
        <w:spacing w:line="360" w:lineRule="auto"/>
        <w:rPr>
          <w:rFonts w:ascii="Georgia" w:hAnsi="Georgia"/>
          <w:color w:val="333333"/>
          <w:sz w:val="20"/>
          <w:szCs w:val="20"/>
          <w:shd w:val="clear" w:color="auto" w:fill="FFFFFF"/>
        </w:rPr>
      </w:pPr>
    </w:p>
    <w:p w:rsidR="00AD77BB" w:rsidRDefault="00B45BA0">
      <w:pPr>
        <w:spacing w:line="360" w:lineRule="auto"/>
        <w:rPr>
          <w:rFonts w:ascii="Georgia" w:hAnsi="Georgia"/>
          <w:color w:val="333333"/>
          <w:sz w:val="20"/>
          <w:szCs w:val="20"/>
          <w:shd w:val="clear" w:color="auto" w:fill="FFFFFF"/>
        </w:rPr>
      </w:pPr>
      <w:r>
        <w:rPr>
          <w:rFonts w:ascii="Georgia" w:hAnsi="Georgia"/>
          <w:color w:val="333333"/>
          <w:sz w:val="20"/>
          <w:szCs w:val="20"/>
          <w:shd w:val="clear" w:color="auto" w:fill="FFFFFF"/>
        </w:rPr>
        <w:t>In this example the scores have a natural stem (the tens place) and leaf (the ones place). One could spread the diagram out by splitting each tens place number into lower and upper categories. For example, all the scores in the 80s may be represented on two separate stems, lower 80s and upper 80s:</w:t>
      </w:r>
    </w:p>
    <w:p w:rsidR="00AD77BB" w:rsidRDefault="00B45BA0">
      <w:pPr>
        <w:pStyle w:val="para"/>
        <w:shd w:val="clear" w:color="auto" w:fill="FFFFFF"/>
        <w:spacing w:before="0" w:beforeAutospacing="0" w:after="0" w:afterAutospacing="0" w:line="360" w:lineRule="auto"/>
        <w:textAlignment w:val="baseline"/>
        <w:rPr>
          <w:rFonts w:ascii="Vivaldi" w:hAnsi="Vivaldi" w:cs="Calibri"/>
          <w:b/>
          <w:color w:val="333333"/>
          <w:sz w:val="20"/>
          <w:szCs w:val="20"/>
        </w:rPr>
      </w:pPr>
      <w:r>
        <w:rPr>
          <w:noProof/>
        </w:rPr>
        <w:lastRenderedPageBreak/>
        <mc:AlternateContent>
          <mc:Choice Requires="wps">
            <w:drawing>
              <wp:anchor distT="0" distB="0" distL="114300" distR="114300" simplePos="0" relativeHeight="251670528" behindDoc="0" locked="0" layoutInCell="1" allowOverlap="1">
                <wp:simplePos x="0" y="0"/>
                <wp:positionH relativeFrom="column">
                  <wp:posOffset>3040380</wp:posOffset>
                </wp:positionH>
                <wp:positionV relativeFrom="paragraph">
                  <wp:posOffset>-91440</wp:posOffset>
                </wp:positionV>
                <wp:extent cx="7620" cy="541020"/>
                <wp:effectExtent l="0" t="0" r="30480" b="11430"/>
                <wp:wrapNone/>
                <wp:docPr id="489"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620" cy="5410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8"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4pt,-7.2pt" to="240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" strokecolor="#4579b8 [3044]">
                <o:lock v:ext="edit" shapetype="f"/>
              </v:line>
            </w:pict>
          </mc:Fallback>
        </mc:AlternateContent>
      </w:r>
      <w:r>
        <w:rPr>
          <w:rFonts w:ascii="Vivaldi" w:hAnsi="Vivaldi" w:cs="Calibri"/>
          <w:b/>
          <w:color w:val="333333"/>
          <w:sz w:val="20"/>
          <w:szCs w:val="20"/>
        </w:rPr>
        <w:t xml:space="preserve">                                                                                             8  0 3 3</w:t>
      </w:r>
    </w:p>
    <w:p w:rsidR="00AD77BB" w:rsidRDefault="00B45BA0">
      <w:pPr>
        <w:pStyle w:val="para"/>
        <w:shd w:val="clear" w:color="auto" w:fill="FFFFFF"/>
        <w:spacing w:before="0" w:beforeAutospacing="0" w:after="0" w:afterAutospacing="0" w:line="360" w:lineRule="auto"/>
        <w:textAlignment w:val="baseline"/>
        <w:rPr>
          <w:rFonts w:ascii="Vivaldi" w:hAnsi="Vivaldi" w:cs="Calibri"/>
          <w:b/>
          <w:color w:val="333333"/>
          <w:sz w:val="20"/>
          <w:szCs w:val="20"/>
        </w:rPr>
      </w:pPr>
      <w:r>
        <w:rPr>
          <w:rFonts w:ascii="Vivaldi" w:hAnsi="Vivaldi" w:cs="Calibri"/>
          <w:b/>
          <w:color w:val="333333"/>
          <w:sz w:val="20"/>
          <w:szCs w:val="20"/>
        </w:rPr>
        <w:t xml:space="preserve">                                                                                            8  6 7  </w:t>
      </w:r>
    </w:p>
    <w:p w:rsidR="00AD77BB" w:rsidRDefault="00AD77BB">
      <w:pPr>
        <w:pStyle w:val="para"/>
        <w:shd w:val="clear" w:color="auto" w:fill="FFFFFF"/>
        <w:spacing w:before="0" w:beforeAutospacing="0" w:after="0" w:afterAutospacing="0" w:line="360" w:lineRule="auto"/>
        <w:textAlignment w:val="baseline"/>
        <w:rPr>
          <w:rFonts w:ascii="Georgia" w:hAnsi="Georgia" w:cs="Calibri"/>
          <w:color w:val="333333"/>
          <w:sz w:val="20"/>
          <w:szCs w:val="20"/>
        </w:rPr>
      </w:pPr>
    </w:p>
    <w:p w:rsidR="00AD77BB" w:rsidRDefault="00B45BA0">
      <w:pPr>
        <w:pStyle w:val="para"/>
        <w:shd w:val="clear" w:color="auto" w:fill="FFFFFF"/>
        <w:spacing w:before="0" w:beforeAutospacing="0" w:after="0" w:afterAutospacing="0" w:line="360" w:lineRule="auto"/>
        <w:textAlignment w:val="baseline"/>
        <w:rPr>
          <w:rFonts w:ascii="Georgia" w:hAnsi="Georgia" w:cs="Calibri"/>
          <w:color w:val="333333"/>
          <w:sz w:val="20"/>
          <w:szCs w:val="20"/>
        </w:rPr>
      </w:pPr>
      <w:r>
        <w:rPr>
          <w:rFonts w:ascii="Georgia" w:hAnsi="Georgia" w:cs="Calibri"/>
          <w:color w:val="333333"/>
          <w:sz w:val="20"/>
          <w:szCs w:val="20"/>
        </w:rPr>
        <w:t>The definitions of stems and leaves are flexible in practice. The general purpose of a stem and leaf diagram is to provide a quick display of how the data are distributed across the range of their values; some improvisation could be necessary to obtain a diagram that best meets that goal.</w:t>
      </w:r>
    </w:p>
    <w:p w:rsidR="00AD77BB" w:rsidRDefault="00B45BA0">
      <w:pPr>
        <w:pStyle w:val="para"/>
        <w:shd w:val="clear" w:color="auto" w:fill="FFFFFF"/>
        <w:spacing w:before="0" w:beforeAutospacing="0" w:after="0" w:afterAutospacing="0" w:line="360" w:lineRule="auto"/>
        <w:textAlignment w:val="baseline"/>
        <w:rPr>
          <w:rFonts w:ascii="Georgia" w:hAnsi="Georgia" w:cs="Calibri"/>
          <w:color w:val="333333"/>
          <w:sz w:val="20"/>
          <w:szCs w:val="20"/>
        </w:rPr>
      </w:pPr>
      <w:r>
        <w:rPr>
          <w:rFonts w:ascii="Georgia" w:hAnsi="Georgia" w:cs="Calibri"/>
          <w:color w:val="333333"/>
          <w:sz w:val="20"/>
          <w:szCs w:val="20"/>
        </w:rPr>
        <w:t>Note that all of the original data can be recovered from the stem and leaf diagram. This will not be true in the next two types of graphical displays.</w:t>
      </w:r>
    </w:p>
    <w:p w:rsidR="00AD77BB" w:rsidRDefault="00AD77BB">
      <w:pPr>
        <w:pStyle w:val="para"/>
        <w:shd w:val="clear" w:color="auto" w:fill="FFFFFF"/>
        <w:spacing w:before="0" w:beforeAutospacing="0" w:after="0" w:afterAutospacing="0" w:line="360" w:lineRule="auto"/>
        <w:textAlignment w:val="baseline"/>
        <w:rPr>
          <w:rFonts w:ascii="Georgia" w:hAnsi="Georgia" w:cs="Calibri"/>
          <w:color w:val="333333"/>
          <w:sz w:val="20"/>
          <w:szCs w:val="20"/>
        </w:rPr>
      </w:pPr>
    </w:p>
    <w:p w:rsidR="00AD77BB" w:rsidRDefault="00B45BA0">
      <w:pPr>
        <w:pStyle w:val="Heading2"/>
        <w:shd w:val="clear" w:color="auto" w:fill="FFFFFF"/>
        <w:spacing w:before="0" w:line="360" w:lineRule="auto"/>
        <w:textAlignment w:val="baseline"/>
        <w:rPr>
          <w:rFonts w:ascii="Calibri" w:hAnsi="Calibri" w:cs="Calibri"/>
          <w:color w:val="333333"/>
          <w:sz w:val="28"/>
          <w:szCs w:val="28"/>
        </w:rPr>
      </w:pPr>
      <w:r>
        <w:rPr>
          <w:rFonts w:ascii="Calibri" w:hAnsi="Calibri" w:cs="Calibri"/>
          <w:color w:val="333333"/>
          <w:sz w:val="28"/>
          <w:szCs w:val="28"/>
        </w:rPr>
        <w:t>Frequency Histograms</w:t>
      </w:r>
    </w:p>
    <w:p w:rsidR="00AD77BB" w:rsidRDefault="00B45BA0">
      <w:pPr>
        <w:pStyle w:val="para"/>
        <w:shd w:val="clear" w:color="auto" w:fill="FFFFFF"/>
        <w:spacing w:before="0" w:beforeAutospacing="0" w:after="0" w:afterAutospacing="0" w:line="360" w:lineRule="auto"/>
        <w:textAlignment w:val="baseline"/>
        <w:rPr>
          <w:rFonts w:ascii="Georgia" w:hAnsi="Georgia" w:cs="Calibri"/>
          <w:color w:val="333333"/>
          <w:sz w:val="20"/>
          <w:szCs w:val="20"/>
        </w:rPr>
      </w:pPr>
      <w:r>
        <w:rPr>
          <w:rFonts w:ascii="Georgia" w:hAnsi="Georgia" w:cs="Calibri"/>
          <w:color w:val="333333"/>
          <w:sz w:val="20"/>
          <w:szCs w:val="20"/>
        </w:rPr>
        <w:t>The stem and leaf diagram is not practical for large data sets, so we need a different, purely graphical way to represent data. A</w:t>
      </w:r>
      <w:r>
        <w:rPr>
          <w:rStyle w:val="apple-converted-space"/>
          <w:rFonts w:ascii="Georgia" w:hAnsi="Georgia" w:cs="Calibri"/>
          <w:color w:val="333333"/>
          <w:sz w:val="20"/>
          <w:szCs w:val="20"/>
        </w:rPr>
        <w:t> </w:t>
      </w:r>
      <w:r>
        <w:rPr>
          <w:rStyle w:val="marginterm"/>
          <w:rFonts w:ascii="Georgia" w:hAnsi="Georgia" w:cs="Calibri"/>
          <w:b/>
          <w:color w:val="333333"/>
          <w:sz w:val="20"/>
          <w:szCs w:val="20"/>
        </w:rPr>
        <w:t>frequency histogram</w:t>
      </w:r>
      <w:r>
        <w:rPr>
          <w:rStyle w:val="apple-converted-space"/>
          <w:rFonts w:ascii="Georgia" w:hAnsi="Georgia" w:cs="Calibri"/>
          <w:color w:val="333333"/>
          <w:sz w:val="20"/>
          <w:szCs w:val="20"/>
        </w:rPr>
        <w:t> </w:t>
      </w:r>
      <w:r>
        <w:rPr>
          <w:rFonts w:ascii="Georgia" w:hAnsi="Georgia" w:cs="Calibri"/>
          <w:color w:val="333333"/>
          <w:sz w:val="20"/>
          <w:szCs w:val="20"/>
        </w:rPr>
        <w:t>is such a device. We will illustrate it using the same data set from the previous subsection. For the 30 scores on the exam, it is natural to group the scores on the standard ten-point scale, and count the number of scores in each group. Thus there are two 100s, seven scores in the 90s, six in the 80s, and so on. We then construct the diagram shown in</w:t>
      </w:r>
      <w:r>
        <w:rPr>
          <w:rStyle w:val="apple-converted-space"/>
          <w:rFonts w:ascii="Georgia" w:hAnsi="Georgia" w:cs="Calibri"/>
          <w:color w:val="333333"/>
          <w:sz w:val="20"/>
          <w:szCs w:val="20"/>
        </w:rPr>
        <w:t> </w:t>
      </w:r>
      <w:r>
        <w:rPr>
          <w:rFonts w:ascii="Georgia" w:hAnsi="Georgia" w:cs="Calibri"/>
          <w:color w:val="333333"/>
          <w:sz w:val="20"/>
          <w:szCs w:val="20"/>
        </w:rPr>
        <w:t xml:space="preserve">by drawing for each group, or class, a vertical bar whose length is the number of observations in that group. In our example, the bar labeled 100 is 2 units long, the bar labeled 90 is 7 units long, and so on. While the individual data values are lost, we know the number in each class. This number is called the </w:t>
      </w:r>
      <w:r>
        <w:rPr>
          <w:rStyle w:val="marginterm"/>
          <w:rFonts w:ascii="Georgia" w:hAnsi="Georgia" w:cs="Calibri"/>
          <w:b/>
          <w:color w:val="333333"/>
          <w:sz w:val="20"/>
          <w:szCs w:val="20"/>
        </w:rPr>
        <w:t>frequency</w:t>
      </w:r>
      <w:r>
        <w:rPr>
          <w:rStyle w:val="apple-converted-space"/>
          <w:rFonts w:ascii="Georgia" w:hAnsi="Georgia" w:cs="Calibri"/>
          <w:color w:val="333333"/>
          <w:sz w:val="20"/>
          <w:szCs w:val="20"/>
        </w:rPr>
        <w:t> </w:t>
      </w:r>
      <w:r>
        <w:rPr>
          <w:rFonts w:ascii="Georgia" w:hAnsi="Georgia" w:cs="Calibri"/>
          <w:color w:val="333333"/>
          <w:sz w:val="20"/>
          <w:szCs w:val="20"/>
        </w:rPr>
        <w:t>of the class, hence the name frequency histogram.</w:t>
      </w: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t>Figure 2.3</w:t>
      </w:r>
      <w:r>
        <w:rPr>
          <w:rFonts w:ascii="Georgia" w:eastAsia="Times New Roman" w:hAnsi="Georgia" w:cs="Times New Roman"/>
          <w:i/>
          <w:iCs/>
          <w:color w:val="BB9966"/>
          <w:sz w:val="19"/>
          <w:szCs w:val="19"/>
        </w:rPr>
        <w:t> Frequency Histogram</w:t>
      </w:r>
    </w:p>
    <w:p w:rsidR="00AD77BB" w:rsidRDefault="00B45BA0">
      <w:r>
        <w:rPr>
          <w:rFonts w:ascii="Calibri" w:eastAsia="Times New Roman" w:hAnsi="Calibri" w:cs="Calibri"/>
          <w:noProof/>
          <w:color w:val="2689C6"/>
          <w:sz w:val="25"/>
          <w:szCs w:val="25"/>
          <w:shd w:val="clear" w:color="auto" w:fill="FFFFFF"/>
        </w:rPr>
        <w:drawing>
          <wp:inline distT="0" distB="0" distL="0" distR="0">
            <wp:extent cx="4457700" cy="3581400"/>
            <wp:effectExtent l="0" t="0" r="0" b="0"/>
            <wp:docPr id="4" name="Picture 19" descr="http://images.flatworldknowledge.com/shafer/shafer-fig0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shafer/shafer-fig02_00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57700" cy="3581400"/>
                    </a:xfrm>
                    <a:prstGeom prst="rect">
                      <a:avLst/>
                    </a:prstGeom>
                    <a:noFill/>
                    <a:ln>
                      <a:noFill/>
                    </a:ln>
                  </pic:spPr>
                </pic:pic>
              </a:graphicData>
            </a:graphic>
          </wp:inline>
        </w:drawing>
      </w:r>
    </w:p>
    <w:p w:rsidR="00AD77BB" w:rsidRDefault="00B45BA0">
      <w:pPr>
        <w:shd w:val="clear" w:color="auto" w:fill="FFFFFF"/>
        <w:spacing w:after="0" w:line="360" w:lineRule="auto"/>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The same procedure can be applied to any collection of numerical data. Observations are grouped into several classes and the frequency (the number of observations) of each class is noted. These classes are arranged and indicated in order on the horizontal axis (called the </w:t>
      </w:r>
      <w:r>
        <w:rPr>
          <w:rFonts w:ascii="Georgia" w:eastAsia="Times New Roman" w:hAnsi="Georgia" w:cs="Calibri"/>
          <w:i/>
          <w:iCs/>
          <w:color w:val="333333"/>
          <w:sz w:val="20"/>
          <w:szCs w:val="20"/>
        </w:rPr>
        <w:t>x</w:t>
      </w:r>
      <w:r>
        <w:rPr>
          <w:rFonts w:ascii="Georgia" w:eastAsia="Times New Roman" w:hAnsi="Georgia" w:cs="Calibri"/>
          <w:color w:val="333333"/>
          <w:sz w:val="20"/>
          <w:szCs w:val="20"/>
        </w:rPr>
        <w:t>-axis), and for each group a vertical bar, whose length is the number of observations in that group, is drawn. The resulting display is a frequency histogram for the data. The similarity in and is apparent, particularly if you imagine turning the stem and leaf diagram on its side by rotating it a quarter turn counterclockwise.</w:t>
      </w:r>
    </w:p>
    <w:p w:rsidR="00AD77BB" w:rsidRDefault="00AD77BB">
      <w:pPr>
        <w:shd w:val="clear" w:color="auto" w:fill="FFFFFF"/>
        <w:spacing w:after="0" w:line="360" w:lineRule="auto"/>
        <w:textAlignment w:val="baseline"/>
        <w:rPr>
          <w:rFonts w:ascii="Georgia" w:eastAsia="Times New Roman" w:hAnsi="Georgia" w:cs="Calibri"/>
          <w:color w:val="333333"/>
          <w:sz w:val="20"/>
          <w:szCs w:val="20"/>
        </w:rPr>
      </w:pPr>
    </w:p>
    <w:p w:rsidR="00AD77BB" w:rsidRDefault="00B45BA0">
      <w:pPr>
        <w:shd w:val="clear" w:color="auto" w:fill="FFFFFF"/>
        <w:spacing w:after="0" w:line="360" w:lineRule="auto"/>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 general, the definition of the classes in the frequency histogram is flexible. The general purpose of a frequency histogram is very much the same as that of a stem and leaf diagram, to provide a graphical display that gives a sense of data distribution across the range of values that appear. We will not discuss the process of constructing a histogram from data since in actual practice it is done automatically with statistical software or even handheld calculators.</w:t>
      </w:r>
    </w:p>
    <w:p w:rsidR="00AD77BB" w:rsidRDefault="00AD77BB">
      <w:pPr>
        <w:shd w:val="clear" w:color="auto" w:fill="FFFFFF"/>
        <w:spacing w:after="0" w:line="360" w:lineRule="auto"/>
        <w:textAlignment w:val="baseline"/>
        <w:outlineLvl w:val="1"/>
        <w:rPr>
          <w:rFonts w:ascii="Calibri" w:eastAsia="Times New Roman" w:hAnsi="Calibri" w:cs="Calibri"/>
          <w:b/>
          <w:bCs/>
          <w:color w:val="333333"/>
          <w:sz w:val="28"/>
          <w:szCs w:val="28"/>
        </w:rPr>
      </w:pPr>
    </w:p>
    <w:p w:rsidR="00AD77BB" w:rsidRDefault="00B45BA0">
      <w:pPr>
        <w:shd w:val="clear" w:color="auto" w:fill="FFFFFF"/>
        <w:spacing w:after="0" w:line="360" w:lineRule="auto"/>
        <w:textAlignment w:val="baseline"/>
        <w:outlineLvl w:val="1"/>
        <w:rPr>
          <w:rFonts w:ascii="Calibri" w:eastAsia="Times New Roman" w:hAnsi="Calibri" w:cs="Calibri"/>
          <w:b/>
          <w:bCs/>
          <w:color w:val="333333"/>
          <w:sz w:val="28"/>
          <w:szCs w:val="28"/>
        </w:rPr>
      </w:pPr>
      <w:r>
        <w:rPr>
          <w:rFonts w:ascii="Calibri" w:eastAsia="Times New Roman" w:hAnsi="Calibri" w:cs="Calibri"/>
          <w:b/>
          <w:bCs/>
          <w:color w:val="333333"/>
          <w:sz w:val="28"/>
          <w:szCs w:val="28"/>
        </w:rPr>
        <w:t>Relative Frequency Histograms</w:t>
      </w:r>
    </w:p>
    <w:p w:rsidR="00AD77BB" w:rsidRDefault="00B45BA0">
      <w:pPr>
        <w:shd w:val="clear" w:color="auto" w:fill="FFFFFF"/>
        <w:spacing w:after="0" w:line="360" w:lineRule="auto"/>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t>In our example of the exam scores in a statistics class, five students scored in the 80s. The number 5 is the </w:t>
      </w:r>
      <w:r>
        <w:rPr>
          <w:rFonts w:ascii="Georgia" w:eastAsia="Times New Roman" w:hAnsi="Georgia" w:cs="Calibri"/>
          <w:i/>
          <w:iCs/>
          <w:color w:val="333333"/>
          <w:sz w:val="20"/>
          <w:szCs w:val="20"/>
        </w:rPr>
        <w:t>frequency</w:t>
      </w:r>
      <w:r>
        <w:rPr>
          <w:rFonts w:ascii="Georgia" w:eastAsia="Times New Roman" w:hAnsi="Georgia" w:cs="Calibri"/>
          <w:color w:val="333333"/>
          <w:sz w:val="20"/>
          <w:szCs w:val="20"/>
        </w:rPr>
        <w:t> of the group labeled “80s.” Since there are 30 students in the entire statistics class, the proportion who scored in the 80s is 5/30. The number 5/30, which could also be expressed as </w:t>
      </w:r>
      <w:r>
        <w:rPr>
          <w:rFonts w:ascii="MathJax_Main" w:eastAsia="Times New Roman" w:hAnsi="MathJax_Main" w:cs="Calibri"/>
          <w:b/>
          <w:color w:val="333333"/>
          <w:sz w:val="16"/>
          <w:szCs w:val="16"/>
        </w:rPr>
        <w:t>0.16≈.1667</w:t>
      </w:r>
      <w:r>
        <w:rPr>
          <w:rFonts w:ascii="Georgia" w:eastAsia="Times New Roman" w:hAnsi="Georgia" w:cs="Calibri"/>
          <w:color w:val="333333"/>
          <w:sz w:val="20"/>
          <w:szCs w:val="20"/>
        </w:rPr>
        <w:t xml:space="preserve">, or as 16.67%, is </w:t>
      </w:r>
      <w:r>
        <w:rPr>
          <w:rFonts w:ascii="Georgia" w:eastAsia="Times New Roman" w:hAnsi="Georgia" w:cs="Calibri"/>
          <w:b/>
          <w:color w:val="333333"/>
          <w:sz w:val="20"/>
          <w:szCs w:val="20"/>
        </w:rPr>
        <w:t>the relative frequency</w:t>
      </w:r>
      <w:r>
        <w:rPr>
          <w:rFonts w:ascii="Georgia" w:eastAsia="Times New Roman" w:hAnsi="Georgia" w:cs="Calibri"/>
          <w:color w:val="333333"/>
          <w:sz w:val="20"/>
          <w:szCs w:val="20"/>
        </w:rPr>
        <w:t> of the group labeled “80s.” Every group (the 70s, the 80s, and so on) has a relative frequency. We can thus construct a diagram by drawing for each group, or class, a vertical bar whose length is the relative frequency of that group. For example, the bar for the 80s will have length 5/30 unit, not 5 units. The diagram is a </w:t>
      </w:r>
      <w:r>
        <w:rPr>
          <w:rFonts w:ascii="Georgia" w:eastAsia="Times New Roman" w:hAnsi="Georgia" w:cs="Calibri"/>
          <w:b/>
          <w:color w:val="333333"/>
          <w:sz w:val="20"/>
          <w:szCs w:val="20"/>
        </w:rPr>
        <w:t>relative frequency histogram</w:t>
      </w:r>
      <w:r>
        <w:rPr>
          <w:rFonts w:ascii="Georgia" w:eastAsia="Times New Roman" w:hAnsi="Georgia" w:cs="Calibri"/>
          <w:color w:val="333333"/>
          <w:sz w:val="20"/>
          <w:szCs w:val="20"/>
        </w:rPr>
        <w:t> for the data, and is shown in . It is exactly the same as the frequency histogram except that the vertical axis in the relative frequency histogram is not frequency but relative frequency.</w:t>
      </w:r>
    </w:p>
    <w:p w:rsidR="00AD77BB" w:rsidRDefault="00AD77BB">
      <w:pPr>
        <w:shd w:val="clear" w:color="auto" w:fill="FFFFFF"/>
        <w:spacing w:after="0" w:line="360" w:lineRule="auto"/>
        <w:textAlignment w:val="baseline"/>
        <w:rPr>
          <w:rFonts w:ascii="Georgia" w:eastAsia="Times New Roman" w:hAnsi="Georgia" w:cs="Calibri"/>
          <w:i/>
          <w:iCs/>
          <w:color w:val="000000"/>
          <w:sz w:val="20"/>
          <w:szCs w:val="20"/>
        </w:rPr>
      </w:pPr>
    </w:p>
    <w:p w:rsidR="00AD77BB" w:rsidRDefault="00B45BA0">
      <w:pPr>
        <w:shd w:val="clear" w:color="auto" w:fill="FFFFFF"/>
        <w:spacing w:after="0" w:line="360" w:lineRule="auto"/>
        <w:textAlignment w:val="baseline"/>
        <w:rPr>
          <w:rFonts w:ascii="Georgia" w:eastAsia="Times New Roman" w:hAnsi="Georgia" w:cs="Calibri"/>
          <w:i/>
          <w:iCs/>
          <w:color w:val="BB9966"/>
          <w:sz w:val="21"/>
          <w:szCs w:val="21"/>
        </w:rPr>
      </w:pPr>
      <w:r>
        <w:rPr>
          <w:rFonts w:ascii="Georgia" w:eastAsia="Times New Roman" w:hAnsi="Georgia" w:cs="Calibri"/>
          <w:i/>
          <w:iCs/>
          <w:color w:val="000000"/>
          <w:sz w:val="20"/>
          <w:szCs w:val="20"/>
        </w:rPr>
        <w:t>Figure 2.4</w:t>
      </w:r>
      <w:r>
        <w:rPr>
          <w:rFonts w:ascii="Georgia" w:eastAsia="Times New Roman" w:hAnsi="Georgia" w:cs="Calibri"/>
          <w:i/>
          <w:iCs/>
          <w:color w:val="BB9966"/>
          <w:sz w:val="21"/>
          <w:szCs w:val="21"/>
        </w:rPr>
        <w:t> Relative Frequency Histogram</w:t>
      </w:r>
    </w:p>
    <w:p w:rsidR="00AD77BB" w:rsidRDefault="00B45BA0">
      <w:pPr>
        <w:shd w:val="clear" w:color="auto" w:fill="FFFFFF"/>
        <w:spacing w:line="360" w:lineRule="auto"/>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rPr>
        <w:drawing>
          <wp:inline distT="0" distB="0" distL="0" distR="0">
            <wp:extent cx="3895725" cy="2466975"/>
            <wp:effectExtent l="0" t="0" r="9525" b="9525"/>
            <wp:docPr id="5" name="Picture 20" descr="http://images.flatworldknowledge.com/shafer/shafer-fig0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shafer/shafer-fig02_00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95725" cy="2466975"/>
                    </a:xfrm>
                    <a:prstGeom prst="rect">
                      <a:avLst/>
                    </a:prstGeom>
                    <a:noFill/>
                    <a:ln>
                      <a:noFill/>
                    </a:ln>
                  </pic:spPr>
                </pic:pic>
              </a:graphicData>
            </a:graphic>
          </wp:inline>
        </w:drawing>
      </w:r>
    </w:p>
    <w:p w:rsidR="00AD77BB" w:rsidRDefault="00B45BA0">
      <w:pPr>
        <w:shd w:val="clear" w:color="auto" w:fill="FFFFFF"/>
        <w:spacing w:after="0" w:line="360" w:lineRule="auto"/>
        <w:textAlignment w:val="baseline"/>
        <w:rPr>
          <w:rFonts w:ascii="Georgia" w:eastAsia="Times New Roman" w:hAnsi="Georgia" w:cs="Calibri"/>
          <w:color w:val="333333"/>
          <w:sz w:val="20"/>
          <w:szCs w:val="20"/>
        </w:rPr>
      </w:pPr>
      <w:r>
        <w:rPr>
          <w:rFonts w:ascii="Georgia" w:eastAsia="Times New Roman" w:hAnsi="Georgia" w:cs="Calibri"/>
          <w:color w:val="333333"/>
          <w:sz w:val="20"/>
          <w:szCs w:val="20"/>
        </w:rPr>
        <w:lastRenderedPageBreak/>
        <w:t>The same procedure can be applied to any collection of numerical data. Classes are selected, the relative frequency of each class is noted, the classes are arranged and indicated in order on the horizontal axis, and for each class a vertical bar, whose length is the relative frequency of the class, is drawn. The resulting display is a relative frequency histogram for the data. A key point is that now if each vertical bar has width 1 unit, then the total area of all the bars is 1 or 100%.</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Although the histograms in and have the same appearance, the relative frequency histogram is more important for us, and it will be relative frequency histograms that will be used repeatedly to represent data in this text. To see why this is so, reflect on what it is that you are actually seeing in the diagrams that quickly and effectively communicates information to you about the data. It is the </w:t>
      </w:r>
      <w:r>
        <w:rPr>
          <w:rFonts w:ascii="Georgia" w:eastAsia="Times New Roman" w:hAnsi="Georgia" w:cs="Times New Roman"/>
          <w:i/>
          <w:iCs/>
          <w:color w:val="333333"/>
          <w:sz w:val="20"/>
          <w:szCs w:val="20"/>
        </w:rPr>
        <w:t xml:space="preserve">relative sizes </w:t>
      </w:r>
      <w:r>
        <w:rPr>
          <w:rFonts w:ascii="Georgia" w:eastAsia="Times New Roman" w:hAnsi="Georgia" w:cs="Times New Roman"/>
          <w:color w:val="333333"/>
          <w:sz w:val="21"/>
          <w:szCs w:val="21"/>
        </w:rPr>
        <w:t>of the bars. The bar labeled “70s” in either figure takes up 1/3 of the total area of all the bars, and although we may not think of this consciously, we perceive the proportion 1/3 in the figures, indicating that a third of the grades were in the 70s. The relative frequency histogram is important because the labeling on the vertical axis reflects what is important visually: the relative sizes of the bars.</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When the size </w:t>
      </w:r>
      <w:r>
        <w:rPr>
          <w:rFonts w:ascii="Georgia" w:eastAsia="Times New Roman" w:hAnsi="Georgia" w:cs="Times New Roman"/>
          <w:i/>
          <w:iCs/>
          <w:color w:val="333333"/>
          <w:sz w:val="20"/>
          <w:szCs w:val="20"/>
        </w:rPr>
        <w:t>n</w:t>
      </w:r>
      <w:r>
        <w:rPr>
          <w:rFonts w:ascii="Georgia" w:eastAsia="Times New Roman" w:hAnsi="Georgia" w:cs="Times New Roman"/>
          <w:color w:val="333333"/>
          <w:sz w:val="21"/>
          <w:szCs w:val="21"/>
        </w:rPr>
        <w:t> of a sample is small only a few classes can be used in constructing a relative frequency histogram. Such a histogram might look something like the one in panel (a) of . If the sample size </w:t>
      </w:r>
      <w:r>
        <w:rPr>
          <w:rFonts w:ascii="Georgia" w:eastAsia="Times New Roman" w:hAnsi="Georgia" w:cs="Times New Roman"/>
          <w:i/>
          <w:iCs/>
          <w:color w:val="333333"/>
          <w:sz w:val="20"/>
          <w:szCs w:val="20"/>
        </w:rPr>
        <w:t>n</w:t>
      </w:r>
      <w:r>
        <w:rPr>
          <w:rFonts w:ascii="Georgia" w:eastAsia="Times New Roman" w:hAnsi="Georgia" w:cs="Times New Roman"/>
          <w:color w:val="333333"/>
          <w:sz w:val="21"/>
          <w:szCs w:val="21"/>
        </w:rPr>
        <w:t> were increased, then more classes could be used in constructing a relative frequency histogram and the vertical bars of the resulting histogram would be finer, as indicated in panel (b) of . For a very large sample the relative frequency histogram would look very fine, like the one in (c) of. If the sample size were to increase indefinitely then the corresponding relative frequency histogram would be so fine that it would look like a smooth curve, such as the one in panel (d) of .</w:t>
      </w:r>
    </w:p>
    <w:p w:rsidR="00AD77BB" w:rsidRDefault="00B45BA0">
      <w:pPr>
        <w:shd w:val="clear" w:color="auto" w:fill="FFFFFF"/>
        <w:spacing w:after="0" w:line="439" w:lineRule="atLeast"/>
        <w:textAlignment w:val="baseline"/>
        <w:rPr>
          <w:rFonts w:ascii="Georgia" w:eastAsia="Times New Roman" w:hAnsi="Georgia" w:cs="Calibri"/>
          <w:i/>
          <w:iCs/>
          <w:color w:val="BB9966"/>
        </w:rPr>
      </w:pPr>
      <w:r>
        <w:rPr>
          <w:rFonts w:ascii="Georgia" w:eastAsia="Times New Roman" w:hAnsi="Georgia" w:cs="Calibri"/>
          <w:i/>
          <w:iCs/>
          <w:color w:val="000000"/>
          <w:sz w:val="20"/>
          <w:szCs w:val="20"/>
        </w:rPr>
        <w:t>Figure 2.5</w:t>
      </w:r>
      <w:r>
        <w:rPr>
          <w:rFonts w:ascii="Georgia" w:eastAsia="Times New Roman" w:hAnsi="Georgia" w:cs="Calibri"/>
          <w:i/>
          <w:iCs/>
          <w:color w:val="BB9966"/>
        </w:rPr>
        <w:t> Sample Size and Relative Frequency Histograms</w:t>
      </w:r>
    </w:p>
    <w:p w:rsidR="00AD77BB" w:rsidRDefault="00B45BA0">
      <w:pPr>
        <w:shd w:val="clear" w:color="auto" w:fill="FFFFFF"/>
        <w:spacing w:line="270" w:lineRule="atLeast"/>
        <w:textAlignment w:val="baseline"/>
        <w:rPr>
          <w:rFonts w:ascii="Calibri" w:eastAsia="Times New Roman" w:hAnsi="Calibri" w:cs="Calibri"/>
          <w:color w:val="555555"/>
          <w:sz w:val="27"/>
          <w:szCs w:val="27"/>
        </w:rPr>
      </w:pPr>
      <w:r>
        <w:rPr>
          <w:rFonts w:ascii="Calibri" w:eastAsia="Times New Roman" w:hAnsi="Calibri" w:cs="Calibri"/>
          <w:noProof/>
          <w:color w:val="2689C6"/>
          <w:sz w:val="27"/>
          <w:szCs w:val="27"/>
        </w:rPr>
        <w:drawing>
          <wp:inline distT="0" distB="0" distL="0" distR="0">
            <wp:extent cx="3657600" cy="2514600"/>
            <wp:effectExtent l="0" t="0" r="0" b="0"/>
            <wp:docPr id="6" name="Picture 21" descr="http://images.flatworldknowledge.com/shafer/shafer-fig0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shafer/shafer-fig02_00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57600" cy="2514600"/>
                    </a:xfrm>
                    <a:prstGeom prst="rect">
                      <a:avLst/>
                    </a:prstGeom>
                    <a:noFill/>
                    <a:ln>
                      <a:noFill/>
                    </a:ln>
                  </pic:spPr>
                </pic:pic>
              </a:graphicData>
            </a:graphic>
          </wp:inline>
        </w:drawing>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It is common in statistics to represent a population or a very large data set by a smooth curve. It is good to keep in mind that such a curve is actually just a very fine relative frequency histogram in which the exceedingly narrow vertical bars have disappeared. Because the area of each such vertical bar is the proportion of the data that lies in the interval of numbers over which that bar stands, this means that for any two numbers </w:t>
      </w:r>
      <w:r>
        <w:rPr>
          <w:rFonts w:ascii="Georgia" w:eastAsia="Times New Roman" w:hAnsi="Georgia" w:cs="Times New Roman"/>
          <w:i/>
          <w:iCs/>
          <w:color w:val="333333"/>
          <w:sz w:val="20"/>
          <w:szCs w:val="20"/>
        </w:rPr>
        <w:t>a</w:t>
      </w:r>
      <w:r>
        <w:rPr>
          <w:rFonts w:ascii="Georgia" w:eastAsia="Times New Roman" w:hAnsi="Georgia" w:cs="Times New Roman"/>
          <w:color w:val="333333"/>
          <w:sz w:val="21"/>
          <w:szCs w:val="21"/>
        </w:rPr>
        <w:t> and </w:t>
      </w:r>
      <w:r>
        <w:rPr>
          <w:rFonts w:ascii="Georgia" w:eastAsia="Times New Roman" w:hAnsi="Georgia" w:cs="Times New Roman"/>
          <w:i/>
          <w:iCs/>
          <w:color w:val="333333"/>
          <w:sz w:val="20"/>
          <w:szCs w:val="20"/>
        </w:rPr>
        <w:t>b</w:t>
      </w:r>
      <w:r>
        <w:rPr>
          <w:rFonts w:ascii="Georgia" w:eastAsia="Times New Roman" w:hAnsi="Georgia" w:cs="Times New Roman"/>
          <w:color w:val="333333"/>
          <w:sz w:val="21"/>
          <w:szCs w:val="21"/>
        </w:rPr>
        <w:t>, the proportion of the data that lies between the two numbers </w:t>
      </w:r>
      <w:r>
        <w:rPr>
          <w:rFonts w:ascii="Georgia" w:eastAsia="Times New Roman" w:hAnsi="Georgia" w:cs="Times New Roman"/>
          <w:i/>
          <w:iCs/>
          <w:color w:val="333333"/>
          <w:sz w:val="20"/>
          <w:szCs w:val="20"/>
        </w:rPr>
        <w:t>a</w:t>
      </w:r>
      <w:r>
        <w:rPr>
          <w:rFonts w:ascii="Georgia" w:eastAsia="Times New Roman" w:hAnsi="Georgia" w:cs="Times New Roman"/>
          <w:color w:val="333333"/>
          <w:sz w:val="21"/>
          <w:szCs w:val="21"/>
        </w:rPr>
        <w:t> and </w:t>
      </w:r>
      <w:r>
        <w:rPr>
          <w:rFonts w:ascii="Georgia" w:eastAsia="Times New Roman" w:hAnsi="Georgia" w:cs="Times New Roman"/>
          <w:i/>
          <w:iCs/>
          <w:color w:val="333333"/>
          <w:sz w:val="20"/>
          <w:szCs w:val="20"/>
        </w:rPr>
        <w:t>b</w:t>
      </w:r>
      <w:r>
        <w:rPr>
          <w:rFonts w:ascii="Georgia" w:eastAsia="Times New Roman" w:hAnsi="Georgia" w:cs="Times New Roman"/>
          <w:color w:val="333333"/>
          <w:sz w:val="21"/>
          <w:szCs w:val="21"/>
        </w:rPr>
        <w:t> is the area under the curve that is above the interval (</w:t>
      </w:r>
      <w:r>
        <w:rPr>
          <w:rFonts w:ascii="Georgia" w:eastAsia="Times New Roman" w:hAnsi="Georgia" w:cs="Times New Roman"/>
          <w:i/>
          <w:iCs/>
          <w:color w:val="333333"/>
          <w:sz w:val="20"/>
          <w:szCs w:val="20"/>
        </w:rPr>
        <w:t>a</w:t>
      </w:r>
      <w:r>
        <w:rPr>
          <w:rFonts w:ascii="Georgia" w:eastAsia="Times New Roman" w:hAnsi="Georgia" w:cs="Times New Roman"/>
          <w:color w:val="333333"/>
          <w:sz w:val="21"/>
          <w:szCs w:val="21"/>
        </w:rPr>
        <w:t>,</w:t>
      </w:r>
      <w:r>
        <w:rPr>
          <w:rFonts w:ascii="Georgia" w:eastAsia="Times New Roman" w:hAnsi="Georgia" w:cs="Times New Roman"/>
          <w:i/>
          <w:iCs/>
          <w:color w:val="333333"/>
          <w:sz w:val="20"/>
          <w:szCs w:val="20"/>
        </w:rPr>
        <w:t>b</w:t>
      </w:r>
      <w:r>
        <w:rPr>
          <w:rFonts w:ascii="Georgia" w:eastAsia="Times New Roman" w:hAnsi="Georgia" w:cs="Times New Roman"/>
          <w:color w:val="333333"/>
          <w:sz w:val="21"/>
          <w:szCs w:val="21"/>
        </w:rPr>
        <w:t>) in the horizontal axis. This is the area shown in . In particular the total area under the curve is 1, or 100%.</w:t>
      </w: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t>Figure 2.6</w:t>
      </w:r>
      <w:r>
        <w:rPr>
          <w:rFonts w:ascii="Georgia" w:eastAsia="Times New Roman" w:hAnsi="Georgia" w:cs="Times New Roman"/>
          <w:i/>
          <w:iCs/>
          <w:color w:val="BB9966"/>
          <w:sz w:val="19"/>
          <w:szCs w:val="19"/>
        </w:rPr>
        <w:t> A Very Fine Relative Frequency Histogram</w:t>
      </w:r>
    </w:p>
    <w:p w:rsidR="00AD77BB" w:rsidRDefault="00B45BA0">
      <w:pPr>
        <w:spacing w:line="360" w:lineRule="auto"/>
      </w:pPr>
      <w:r>
        <w:rPr>
          <w:rFonts w:ascii="Calibri" w:eastAsia="Times New Roman" w:hAnsi="Calibri" w:cs="Calibri"/>
          <w:noProof/>
          <w:color w:val="2689C6"/>
          <w:sz w:val="25"/>
          <w:szCs w:val="25"/>
          <w:shd w:val="clear" w:color="auto" w:fill="FFFFFF"/>
        </w:rPr>
        <w:drawing>
          <wp:inline distT="0" distB="0" distL="0" distR="0">
            <wp:extent cx="5819775" cy="3467100"/>
            <wp:effectExtent l="0" t="0" r="9525" b="0"/>
            <wp:docPr id="7" name="Picture 22" descr="http://images.flatworldknowledge.com/shafer/shafer-fig0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flatworldknowledge.com/shafer/shafer-fig02_00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19775" cy="3467100"/>
                    </a:xfrm>
                    <a:prstGeom prst="rect">
                      <a:avLst/>
                    </a:prstGeom>
                    <a:noFill/>
                    <a:ln>
                      <a:noFill/>
                    </a:ln>
                  </pic:spPr>
                </pic:pic>
              </a:graphicData>
            </a:graphic>
          </wp:inline>
        </w:drawing>
      </w:r>
    </w:p>
    <w:p w:rsidR="00AD77BB" w:rsidRDefault="00B45BA0">
      <w:pPr>
        <w:shd w:val="clear" w:color="auto" w:fill="39892F"/>
        <w:spacing w:after="150" w:line="264" w:lineRule="atLeast"/>
        <w:jc w:val="center"/>
        <w:textAlignment w:val="baseline"/>
        <w:outlineLvl w:val="2"/>
        <w:rPr>
          <w:rFonts w:ascii="Calibri" w:eastAsia="Times New Roman" w:hAnsi="Calibri" w:cs="Calibri"/>
          <w:b/>
          <w:bCs/>
          <w:caps/>
          <w:color w:val="FFFFFF"/>
          <w:spacing w:val="30"/>
          <w:sz w:val="25"/>
          <w:szCs w:val="25"/>
        </w:rPr>
      </w:pPr>
      <w:r>
        <w:rPr>
          <w:rFonts w:ascii="Calibri" w:eastAsia="Times New Roman" w:hAnsi="Calibri" w:cs="Calibri"/>
          <w:b/>
          <w:bCs/>
          <w:caps/>
          <w:color w:val="FFFFFF"/>
          <w:spacing w:val="30"/>
          <w:sz w:val="25"/>
          <w:szCs w:val="25"/>
        </w:rPr>
        <w:t>KEY TAKEAWAYS</w:t>
      </w:r>
    </w:p>
    <w:p w:rsidR="00AD77BB" w:rsidRDefault="00B45BA0">
      <w:pPr>
        <w:numPr>
          <w:ilvl w:val="0"/>
          <w:numId w:val="23"/>
        </w:numPr>
        <w:shd w:val="clear" w:color="auto" w:fill="ECF9EA"/>
        <w:spacing w:after="0" w:line="360" w:lineRule="auto"/>
        <w:ind w:left="360" w:right="374"/>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Graphical representations of large data sets provide a quick overview of the nature of the data.</w:t>
      </w:r>
    </w:p>
    <w:p w:rsidR="00AD77BB" w:rsidRDefault="00B45BA0">
      <w:pPr>
        <w:numPr>
          <w:ilvl w:val="0"/>
          <w:numId w:val="23"/>
        </w:numPr>
        <w:shd w:val="clear" w:color="auto" w:fill="ECF9EA"/>
        <w:spacing w:after="0" w:line="360" w:lineRule="auto"/>
        <w:ind w:left="360" w:right="374"/>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A population or a very large data set may be represented by a smooth curve. This curve is a very fine relative frequency histogram in which the exceedingly narrow vertical bars have been omitted.</w:t>
      </w:r>
    </w:p>
    <w:p w:rsidR="00AD77BB" w:rsidRDefault="00B45BA0">
      <w:pPr>
        <w:numPr>
          <w:ilvl w:val="0"/>
          <w:numId w:val="23"/>
        </w:numPr>
        <w:shd w:val="clear" w:color="auto" w:fill="ECF9EA"/>
        <w:spacing w:line="360" w:lineRule="auto"/>
        <w:ind w:left="360" w:right="374"/>
        <w:textAlignment w:val="baseline"/>
        <w:rPr>
          <w:rFonts w:ascii="Calibri" w:eastAsia="Times New Roman" w:hAnsi="Calibri" w:cs="Calibri"/>
          <w:color w:val="333333"/>
          <w:sz w:val="20"/>
          <w:szCs w:val="20"/>
        </w:rPr>
      </w:pPr>
      <w:r>
        <w:rPr>
          <w:rFonts w:ascii="Calibri" w:eastAsia="Times New Roman" w:hAnsi="Calibri" w:cs="Calibri"/>
          <w:color w:val="333333"/>
          <w:sz w:val="20"/>
          <w:szCs w:val="20"/>
        </w:rPr>
        <w:t>When a curve derived from a relative frequency histogram is used to describe a data set, the proportion of data with values between two numbers </w:t>
      </w:r>
      <w:r>
        <w:rPr>
          <w:rFonts w:ascii="Calibri" w:eastAsia="Times New Roman" w:hAnsi="Calibri" w:cs="Calibri"/>
          <w:i/>
          <w:iCs/>
          <w:color w:val="333333"/>
          <w:sz w:val="20"/>
          <w:szCs w:val="20"/>
        </w:rPr>
        <w:t>a</w:t>
      </w:r>
      <w:r>
        <w:rPr>
          <w:rFonts w:ascii="Calibri" w:eastAsia="Times New Roman" w:hAnsi="Calibri" w:cs="Calibri"/>
          <w:color w:val="333333"/>
          <w:sz w:val="20"/>
          <w:szCs w:val="20"/>
        </w:rPr>
        <w:t> and </w:t>
      </w:r>
      <w:r>
        <w:rPr>
          <w:rFonts w:ascii="Calibri" w:eastAsia="Times New Roman" w:hAnsi="Calibri" w:cs="Calibri"/>
          <w:i/>
          <w:iCs/>
          <w:color w:val="333333"/>
          <w:sz w:val="20"/>
          <w:szCs w:val="20"/>
        </w:rPr>
        <w:t>b</w:t>
      </w:r>
      <w:r>
        <w:rPr>
          <w:rFonts w:ascii="Calibri" w:eastAsia="Times New Roman" w:hAnsi="Calibri" w:cs="Calibri"/>
          <w:color w:val="333333"/>
          <w:sz w:val="20"/>
          <w:szCs w:val="20"/>
        </w:rPr>
        <w:t> is the area under the curve between </w:t>
      </w:r>
      <w:r>
        <w:rPr>
          <w:rFonts w:ascii="Calibri" w:eastAsia="Times New Roman" w:hAnsi="Calibri" w:cs="Calibri"/>
          <w:i/>
          <w:iCs/>
          <w:color w:val="333333"/>
          <w:sz w:val="20"/>
          <w:szCs w:val="20"/>
        </w:rPr>
        <w:t>a</w:t>
      </w:r>
      <w:r>
        <w:rPr>
          <w:rFonts w:ascii="Calibri" w:eastAsia="Times New Roman" w:hAnsi="Calibri" w:cs="Calibri"/>
          <w:color w:val="333333"/>
          <w:sz w:val="20"/>
          <w:szCs w:val="20"/>
        </w:rPr>
        <w:t> and </w:t>
      </w:r>
      <w:r>
        <w:rPr>
          <w:rFonts w:ascii="Calibri" w:eastAsia="Times New Roman" w:hAnsi="Calibri" w:cs="Calibri"/>
          <w:i/>
          <w:iCs/>
          <w:color w:val="333333"/>
          <w:sz w:val="20"/>
          <w:szCs w:val="20"/>
        </w:rPr>
        <w:t>b</w:t>
      </w:r>
      <w:r>
        <w:rPr>
          <w:rFonts w:ascii="Calibri" w:eastAsia="Times New Roman" w:hAnsi="Calibri" w:cs="Calibri"/>
          <w:color w:val="333333"/>
          <w:sz w:val="20"/>
          <w:szCs w:val="20"/>
        </w:rPr>
        <w:t xml:space="preserve">, as illustrated in </w:t>
      </w:r>
      <w:r>
        <w:rPr>
          <w:rFonts w:ascii="Calibri" w:hAnsi="Calibri"/>
          <w:color w:val="2689C6"/>
          <w:sz w:val="20"/>
          <w:szCs w:val="20"/>
          <w:shd w:val="clear" w:color="auto" w:fill="ECF9EA"/>
        </w:rPr>
        <w:t>Figure 2.6 "A Very Fine Relative Frequency Histogram"</w:t>
      </w:r>
      <w:r>
        <w:rPr>
          <w:rFonts w:ascii="Calibri" w:hAnsi="Calibri"/>
          <w:color w:val="333333"/>
          <w:sz w:val="20"/>
          <w:szCs w:val="20"/>
          <w:shd w:val="clear" w:color="auto" w:fill="ECF9EA"/>
        </w:rPr>
        <w:t>.</w:t>
      </w:r>
    </w:p>
    <w:p w:rsidR="00AD77BB" w:rsidRDefault="00B45BA0">
      <w:pPr>
        <w:shd w:val="clear" w:color="auto" w:fill="ECF9EA"/>
        <w:spacing w:line="360" w:lineRule="auto"/>
        <w:ind w:left="302" w:right="374"/>
        <w:textAlignment w:val="baseline"/>
        <w:rPr>
          <w:rFonts w:ascii="Calibri" w:eastAsia="Times New Roman" w:hAnsi="Calibri" w:cs="Calibri"/>
          <w:color w:val="333333"/>
          <w:sz w:val="20"/>
          <w:szCs w:val="20"/>
        </w:rPr>
      </w:pPr>
      <w:r>
        <w:rPr>
          <w:rFonts w:ascii="Calibri" w:eastAsia="Times New Roman" w:hAnsi="Calibri" w:cs="Calibri"/>
          <w:noProof/>
          <w:color w:val="333333"/>
          <w:sz w:val="20"/>
          <w:szCs w:val="20"/>
        </w:rPr>
        <w:lastRenderedPageBreak/>
        <w:drawing>
          <wp:inline distT="0" distB="0" distL="0" distR="0">
            <wp:extent cx="5829300" cy="6486525"/>
            <wp:effectExtent l="0" t="0" r="0" b="9525"/>
            <wp:docPr id="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29300" cy="6486525"/>
                    </a:xfrm>
                    <a:prstGeom prst="rect">
                      <a:avLst/>
                    </a:prstGeom>
                    <a:noFill/>
                    <a:ln>
                      <a:noFill/>
                    </a:ln>
                  </pic:spPr>
                </pic:pic>
              </a:graphicData>
            </a:graphic>
          </wp:inline>
        </w:drawing>
      </w:r>
      <w:r>
        <w:rPr>
          <w:rFonts w:ascii="Calibri" w:eastAsia="Times New Roman" w:hAnsi="Calibri" w:cs="Calibri"/>
          <w:noProof/>
          <w:color w:val="333333"/>
          <w:sz w:val="20"/>
          <w:szCs w:val="20"/>
        </w:rPr>
        <w:lastRenderedPageBreak/>
        <w:drawing>
          <wp:inline distT="0" distB="0" distL="0" distR="0">
            <wp:extent cx="5924550" cy="5600700"/>
            <wp:effectExtent l="0" t="0" r="0" b="0"/>
            <wp:docPr id="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24550" cy="5600700"/>
                    </a:xfrm>
                    <a:prstGeom prst="rect">
                      <a:avLst/>
                    </a:prstGeom>
                    <a:noFill/>
                    <a:ln>
                      <a:noFill/>
                    </a:ln>
                  </pic:spPr>
                </pic:pic>
              </a:graphicData>
            </a:graphic>
          </wp:inline>
        </w:drawing>
      </w:r>
      <w:r>
        <w:rPr>
          <w:rFonts w:ascii="Calibri" w:eastAsia="Times New Roman" w:hAnsi="Calibri" w:cs="Calibri"/>
          <w:noProof/>
          <w:color w:val="333333"/>
          <w:sz w:val="20"/>
          <w:szCs w:val="20"/>
        </w:rPr>
        <w:lastRenderedPageBreak/>
        <w:drawing>
          <wp:inline distT="0" distB="0" distL="0" distR="0">
            <wp:extent cx="5848350" cy="6257925"/>
            <wp:effectExtent l="0" t="0" r="0" b="9525"/>
            <wp:docPr id="1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48350" cy="6257925"/>
                    </a:xfrm>
                    <a:prstGeom prst="rect">
                      <a:avLst/>
                    </a:prstGeom>
                    <a:noFill/>
                    <a:ln>
                      <a:noFill/>
                    </a:ln>
                  </pic:spPr>
                </pic:pic>
              </a:graphicData>
            </a:graphic>
          </wp:inline>
        </w:drawing>
      </w:r>
      <w:r>
        <w:rPr>
          <w:rFonts w:ascii="Calibri" w:eastAsia="Times New Roman" w:hAnsi="Calibri" w:cs="Calibri"/>
          <w:noProof/>
          <w:color w:val="333333"/>
          <w:sz w:val="20"/>
          <w:szCs w:val="20"/>
        </w:rPr>
        <w:lastRenderedPageBreak/>
        <w:drawing>
          <wp:inline distT="0" distB="0" distL="0" distR="0">
            <wp:extent cx="5934075" cy="6810375"/>
            <wp:effectExtent l="0" t="0" r="9525" b="9525"/>
            <wp:docPr id="1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4075" cy="6810375"/>
                    </a:xfrm>
                    <a:prstGeom prst="rect">
                      <a:avLst/>
                    </a:prstGeom>
                    <a:noFill/>
                    <a:ln>
                      <a:noFill/>
                    </a:ln>
                  </pic:spPr>
                </pic:pic>
              </a:graphicData>
            </a:graphic>
          </wp:inline>
        </w:drawing>
      </w:r>
    </w:p>
    <w:p w:rsidR="00AD77BB" w:rsidRDefault="00B45BA0">
      <w:pPr>
        <w:shd w:val="clear" w:color="auto" w:fill="ECF9EA"/>
        <w:spacing w:line="360" w:lineRule="auto"/>
        <w:ind w:left="302" w:right="374"/>
        <w:textAlignment w:val="baseline"/>
        <w:rPr>
          <w:rFonts w:ascii="Calibri" w:eastAsia="Times New Roman" w:hAnsi="Calibri" w:cs="Calibri"/>
          <w:color w:val="333333"/>
          <w:sz w:val="20"/>
          <w:szCs w:val="20"/>
        </w:rPr>
      </w:pPr>
      <w:r>
        <w:rPr>
          <w:rFonts w:ascii="Calibri" w:eastAsia="Times New Roman" w:hAnsi="Calibri" w:cs="Calibri"/>
          <w:noProof/>
          <w:color w:val="333333"/>
          <w:sz w:val="20"/>
          <w:szCs w:val="20"/>
        </w:rPr>
        <w:lastRenderedPageBreak/>
        <w:drawing>
          <wp:inline distT="0" distB="0" distL="0" distR="0">
            <wp:extent cx="5943600" cy="5172075"/>
            <wp:effectExtent l="0" t="0" r="0" b="9525"/>
            <wp:docPr id="1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5172075"/>
                    </a:xfrm>
                    <a:prstGeom prst="rect">
                      <a:avLst/>
                    </a:prstGeom>
                    <a:noFill/>
                    <a:ln>
                      <a:noFill/>
                    </a:ln>
                  </pic:spPr>
                </pic:pic>
              </a:graphicData>
            </a:graphic>
          </wp:inline>
        </w:drawing>
      </w:r>
    </w:p>
    <w:p w:rsidR="00AD77BB" w:rsidRDefault="00B45BA0">
      <w:pPr>
        <w:shd w:val="clear" w:color="auto" w:fill="ECF9EA"/>
        <w:spacing w:line="360" w:lineRule="auto"/>
        <w:ind w:left="302" w:right="374"/>
        <w:textAlignment w:val="baseline"/>
        <w:rPr>
          <w:rFonts w:ascii="Calibri" w:eastAsia="Times New Roman" w:hAnsi="Calibri" w:cs="Calibri"/>
          <w:color w:val="333333"/>
          <w:sz w:val="20"/>
          <w:szCs w:val="20"/>
        </w:rPr>
      </w:pPr>
      <w:r>
        <w:rPr>
          <w:rFonts w:ascii="Calibri" w:eastAsia="Times New Roman" w:hAnsi="Calibri" w:cs="Calibri"/>
          <w:noProof/>
          <w:color w:val="333333"/>
          <w:sz w:val="20"/>
          <w:szCs w:val="20"/>
        </w:rPr>
        <w:lastRenderedPageBreak/>
        <w:drawing>
          <wp:inline distT="0" distB="0" distL="0" distR="0">
            <wp:extent cx="5972175" cy="6296025"/>
            <wp:effectExtent l="0" t="0" r="9525" b="9525"/>
            <wp:docPr id="1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72175" cy="6296025"/>
                    </a:xfrm>
                    <a:prstGeom prst="rect">
                      <a:avLst/>
                    </a:prstGeom>
                    <a:noFill/>
                    <a:ln>
                      <a:noFill/>
                    </a:ln>
                  </pic:spPr>
                </pic:pic>
              </a:graphicData>
            </a:graphic>
          </wp:inline>
        </w:drawing>
      </w:r>
    </w:p>
    <w:p w:rsidR="00AD77BB" w:rsidRDefault="00B45BA0">
      <w:pPr>
        <w:shd w:val="clear" w:color="auto" w:fill="ECF9EA"/>
        <w:spacing w:line="360" w:lineRule="auto"/>
        <w:ind w:left="302" w:right="374"/>
        <w:textAlignment w:val="baseline"/>
        <w:rPr>
          <w:rFonts w:ascii="Calibri" w:eastAsia="Times New Roman" w:hAnsi="Calibri" w:cs="Calibri"/>
          <w:color w:val="333333"/>
          <w:sz w:val="20"/>
          <w:szCs w:val="20"/>
        </w:rPr>
      </w:pPr>
      <w:r>
        <w:rPr>
          <w:rFonts w:ascii="Calibri" w:eastAsia="Times New Roman" w:hAnsi="Calibri" w:cs="Calibri"/>
          <w:noProof/>
          <w:color w:val="333333"/>
          <w:sz w:val="20"/>
          <w:szCs w:val="20"/>
        </w:rPr>
        <w:lastRenderedPageBreak/>
        <w:drawing>
          <wp:inline distT="0" distB="0" distL="0" distR="0">
            <wp:extent cx="6115050" cy="6276975"/>
            <wp:effectExtent l="0" t="0" r="0" b="9525"/>
            <wp:docPr id="1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5050" cy="6276975"/>
                    </a:xfrm>
                    <a:prstGeom prst="rect">
                      <a:avLst/>
                    </a:prstGeom>
                    <a:noFill/>
                    <a:ln>
                      <a:noFill/>
                    </a:ln>
                  </pic:spPr>
                </pic:pic>
              </a:graphicData>
            </a:graphic>
          </wp:inline>
        </w:drawing>
      </w:r>
    </w:p>
    <w:p w:rsidR="00AD77BB" w:rsidRDefault="00B45BA0">
      <w:pPr>
        <w:shd w:val="clear" w:color="auto" w:fill="ECF9EA"/>
        <w:spacing w:line="360" w:lineRule="auto"/>
        <w:ind w:left="302" w:right="374"/>
        <w:textAlignment w:val="baseline"/>
        <w:rPr>
          <w:rFonts w:ascii="Calibri" w:eastAsia="Times New Roman" w:hAnsi="Calibri" w:cs="Calibri"/>
          <w:color w:val="333333"/>
          <w:sz w:val="20"/>
          <w:szCs w:val="20"/>
        </w:rPr>
      </w:pPr>
      <w:r>
        <w:rPr>
          <w:rFonts w:ascii="Calibri" w:eastAsia="Times New Roman" w:hAnsi="Calibri" w:cs="Calibri"/>
          <w:noProof/>
          <w:color w:val="333333"/>
          <w:sz w:val="20"/>
          <w:szCs w:val="20"/>
        </w:rPr>
        <w:lastRenderedPageBreak/>
        <w:drawing>
          <wp:inline distT="0" distB="0" distL="0" distR="0">
            <wp:extent cx="6143625" cy="4791075"/>
            <wp:effectExtent l="0" t="0" r="9525" b="9525"/>
            <wp:docPr id="1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43625" cy="4791075"/>
                    </a:xfrm>
                    <a:prstGeom prst="rect">
                      <a:avLst/>
                    </a:prstGeom>
                    <a:noFill/>
                    <a:ln>
                      <a:noFill/>
                    </a:ln>
                  </pic:spPr>
                </pic:pic>
              </a:graphicData>
            </a:graphic>
          </wp:inline>
        </w:drawing>
      </w:r>
    </w:p>
    <w:p w:rsidR="00AD77BB" w:rsidRDefault="00AD77BB">
      <w:pPr>
        <w:pStyle w:val="Heading2"/>
        <w:shd w:val="clear" w:color="auto" w:fill="FFFFFF"/>
        <w:spacing w:before="0" w:line="439" w:lineRule="atLeast"/>
        <w:textAlignment w:val="baseline"/>
        <w:rPr>
          <w:rStyle w:val="title-prefix"/>
          <w:sz w:val="34"/>
          <w:szCs w:val="34"/>
        </w:rPr>
      </w:pPr>
    </w:p>
    <w:p w:rsidR="00AD77BB" w:rsidRDefault="00B45BA0">
      <w:pPr>
        <w:pStyle w:val="Heading2"/>
        <w:shd w:val="clear" w:color="auto" w:fill="FFFFFF"/>
        <w:spacing w:before="0" w:line="439" w:lineRule="atLeast"/>
        <w:textAlignment w:val="baseline"/>
      </w:pPr>
      <w:r>
        <w:rPr>
          <w:rStyle w:val="title-prefix"/>
          <w:rFonts w:ascii="Calibri" w:hAnsi="Calibri"/>
          <w:color w:val="333333"/>
          <w:sz w:val="34"/>
          <w:szCs w:val="34"/>
        </w:rPr>
        <w:t>2.2</w:t>
      </w:r>
      <w:r>
        <w:rPr>
          <w:rStyle w:val="apple-converted-space"/>
          <w:rFonts w:ascii="Calibri" w:hAnsi="Calibri"/>
          <w:color w:val="333333"/>
        </w:rPr>
        <w:t> </w:t>
      </w:r>
      <w:r>
        <w:rPr>
          <w:rFonts w:ascii="Calibri" w:hAnsi="Calibri"/>
          <w:color w:val="333333"/>
        </w:rPr>
        <w:t>Measures of Central Location</w:t>
      </w:r>
    </w:p>
    <w:p w:rsidR="00AD77BB" w:rsidRDefault="00AD77BB"/>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AD77BB" w:rsidRDefault="00B45BA0">
      <w:pPr>
        <w:numPr>
          <w:ilvl w:val="0"/>
          <w:numId w:val="24"/>
        </w:numPr>
        <w:shd w:val="clear" w:color="auto" w:fill="EAE9DC"/>
        <w:spacing w:after="0" w:line="360" w:lineRule="auto"/>
        <w:ind w:left="360" w:right="374"/>
        <w:textAlignment w:val="baseline"/>
        <w:rPr>
          <w:rFonts w:ascii="Calibri" w:hAnsi="Calibri"/>
          <w:color w:val="333333"/>
          <w:sz w:val="20"/>
          <w:szCs w:val="20"/>
        </w:rPr>
      </w:pPr>
      <w:r>
        <w:rPr>
          <w:rFonts w:ascii="Calibri" w:hAnsi="Calibri"/>
          <w:color w:val="333333"/>
          <w:sz w:val="20"/>
          <w:szCs w:val="20"/>
        </w:rPr>
        <w:t>To learn the concept of the “center” of a data set.</w:t>
      </w:r>
    </w:p>
    <w:p w:rsidR="00AD77BB" w:rsidRDefault="00B45BA0">
      <w:pPr>
        <w:numPr>
          <w:ilvl w:val="0"/>
          <w:numId w:val="24"/>
        </w:numPr>
        <w:shd w:val="clear" w:color="auto" w:fill="EAE9DC"/>
        <w:spacing w:after="0" w:line="360" w:lineRule="auto"/>
        <w:ind w:left="360" w:right="374"/>
        <w:textAlignment w:val="baseline"/>
        <w:rPr>
          <w:rFonts w:ascii="Calibri" w:hAnsi="Calibri"/>
          <w:color w:val="333333"/>
          <w:sz w:val="20"/>
          <w:szCs w:val="20"/>
        </w:rPr>
      </w:pPr>
      <w:r>
        <w:rPr>
          <w:rFonts w:ascii="Calibri" w:hAnsi="Calibri"/>
          <w:color w:val="333333"/>
          <w:sz w:val="20"/>
          <w:szCs w:val="20"/>
        </w:rPr>
        <w:t>To learn the meaning of each of three measures of the center of a data set—the mean, the median, and the mode—and how to compute each one.</w:t>
      </w:r>
    </w:p>
    <w:p w:rsidR="00AD77BB" w:rsidRDefault="00AD77BB">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This section could be titled “three kinds of averages of a data set.” Any kind of “average” is meant to be an answer to the question “Where do the data center?” It is thus a measure of the central location of the data set. We will see that the nature of the data set, as indicated by a relative frequency histogram, will determine what constitutes a good answer. Different shapes of the histogram call for different measures of central location.</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Heading2"/>
        <w:shd w:val="clear" w:color="auto" w:fill="FFFFFF"/>
        <w:spacing w:before="0" w:line="360" w:lineRule="auto"/>
        <w:textAlignment w:val="baseline"/>
        <w:rPr>
          <w:rFonts w:ascii="Calibri" w:hAnsi="Calibri"/>
          <w:color w:val="333333"/>
          <w:sz w:val="28"/>
          <w:szCs w:val="28"/>
        </w:rPr>
      </w:pPr>
      <w:r>
        <w:rPr>
          <w:rFonts w:ascii="Calibri" w:hAnsi="Calibri"/>
          <w:color w:val="333333"/>
          <w:sz w:val="28"/>
          <w:szCs w:val="28"/>
        </w:rPr>
        <w:t>The Mean</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The first measure of central location is the usual “average” that is familiar to everyone. In the formula in the following definition we introduce the standard summation notation Σ, where Σ is the capital Greek letter sigma. In general, the notation Σ followed by a second mathematical symbol means to add up all the values that the second symbol can take in the context of the problem. Here is an example to illustrate this.</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0"/>
          <w:szCs w:val="20"/>
        </w:rPr>
      </w:pPr>
    </w:p>
    <w:p w:rsidR="00AD77BB" w:rsidRDefault="00B45BA0">
      <w:pPr>
        <w:shd w:val="clear" w:color="auto" w:fill="ECF9EA"/>
        <w:spacing w:line="360" w:lineRule="auto"/>
        <w:ind w:left="302" w:right="374"/>
        <w:textAlignment w:val="baseline"/>
        <w:rPr>
          <w:rFonts w:ascii="Calibri" w:eastAsia="Times New Roman" w:hAnsi="Calibri" w:cs="Calibri"/>
          <w:color w:val="333333"/>
          <w:sz w:val="20"/>
          <w:szCs w:val="20"/>
        </w:rPr>
      </w:pPr>
      <w:r>
        <w:rPr>
          <w:rFonts w:ascii="Calibri" w:eastAsia="Times New Roman" w:hAnsi="Calibri" w:cs="Calibri"/>
          <w:noProof/>
          <w:color w:val="333333"/>
          <w:sz w:val="20"/>
          <w:szCs w:val="20"/>
        </w:rPr>
        <w:drawing>
          <wp:inline distT="0" distB="0" distL="0" distR="0">
            <wp:extent cx="5934075" cy="2952750"/>
            <wp:effectExtent l="0" t="0" r="9525" b="0"/>
            <wp:docPr id="1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4075" cy="2952750"/>
                    </a:xfrm>
                    <a:prstGeom prst="rect">
                      <a:avLst/>
                    </a:prstGeom>
                    <a:noFill/>
                    <a:ln>
                      <a:noFill/>
                    </a:ln>
                  </pic:spPr>
                </pic:pic>
              </a:graphicData>
            </a:graphic>
          </wp:inline>
        </w:drawing>
      </w:r>
    </w:p>
    <w:p w:rsidR="00AD77BB" w:rsidRDefault="00B45BA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the definition we follow the convention of using lowercase</w:t>
      </w:r>
      <w:r>
        <w:rPr>
          <w:rStyle w:val="apple-converted-space"/>
          <w:rFonts w:ascii="Georgia" w:hAnsi="Georgia"/>
          <w:color w:val="333333"/>
          <w:sz w:val="21"/>
          <w:szCs w:val="21"/>
        </w:rPr>
        <w:t> </w:t>
      </w:r>
      <w:r>
        <w:rPr>
          <w:rStyle w:val="Emphasis"/>
          <w:rFonts w:ascii="Georgia" w:hAnsi="Georgia"/>
          <w:color w:val="333333"/>
          <w:sz w:val="20"/>
          <w:szCs w:val="20"/>
        </w:rPr>
        <w:t>n</w:t>
      </w:r>
      <w:r>
        <w:rPr>
          <w:rStyle w:val="apple-converted-space"/>
          <w:rFonts w:ascii="Georgia" w:hAnsi="Georgia"/>
          <w:color w:val="333333"/>
          <w:sz w:val="21"/>
          <w:szCs w:val="21"/>
        </w:rPr>
        <w:t> </w:t>
      </w:r>
      <w:r>
        <w:rPr>
          <w:rFonts w:ascii="Georgia" w:hAnsi="Georgia"/>
          <w:color w:val="333333"/>
          <w:sz w:val="21"/>
          <w:szCs w:val="21"/>
        </w:rPr>
        <w:t>to denote the number of measurements in a sample, which is called the</w:t>
      </w:r>
      <w:r>
        <w:rPr>
          <w:rStyle w:val="apple-converted-space"/>
          <w:rFonts w:ascii="Georgia" w:hAnsi="Georgia"/>
          <w:color w:val="333333"/>
          <w:sz w:val="21"/>
          <w:szCs w:val="21"/>
        </w:rPr>
        <w:t> </w:t>
      </w:r>
      <w:r>
        <w:rPr>
          <w:rStyle w:val="Strong"/>
          <w:rFonts w:ascii="Georgia" w:hAnsi="Georgia"/>
          <w:color w:val="333333"/>
          <w:sz w:val="20"/>
          <w:szCs w:val="20"/>
        </w:rPr>
        <w:t>sample size</w:t>
      </w:r>
      <w:r>
        <w:rPr>
          <w:rFonts w:ascii="Georgia" w:hAnsi="Georgia"/>
          <w:color w:val="333333"/>
          <w:sz w:val="21"/>
          <w:szCs w:val="21"/>
        </w:rPr>
        <w:t>.</w:t>
      </w:r>
    </w:p>
    <w:p w:rsidR="00AD77BB" w:rsidRDefault="00B45BA0">
      <w:pPr>
        <w:shd w:val="clear" w:color="auto" w:fill="ECF9EA"/>
        <w:spacing w:line="360" w:lineRule="auto"/>
        <w:ind w:left="302" w:right="374"/>
        <w:textAlignment w:val="baseline"/>
        <w:rPr>
          <w:rFonts w:ascii="Calibri" w:eastAsia="Times New Roman" w:hAnsi="Calibri" w:cs="Calibri"/>
          <w:color w:val="333333"/>
          <w:sz w:val="20"/>
          <w:szCs w:val="20"/>
        </w:rPr>
      </w:pPr>
      <w:r>
        <w:rPr>
          <w:rFonts w:ascii="Calibri" w:eastAsia="Times New Roman" w:hAnsi="Calibri" w:cs="Calibri"/>
          <w:noProof/>
          <w:color w:val="333333"/>
          <w:sz w:val="20"/>
          <w:szCs w:val="20"/>
        </w:rPr>
        <w:lastRenderedPageBreak/>
        <w:drawing>
          <wp:inline distT="0" distB="0" distL="0" distR="0">
            <wp:extent cx="6057900" cy="5114925"/>
            <wp:effectExtent l="0" t="0" r="0" b="9525"/>
            <wp:docPr id="1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57900" cy="5114925"/>
                    </a:xfrm>
                    <a:prstGeom prst="rect">
                      <a:avLst/>
                    </a:prstGeom>
                    <a:noFill/>
                    <a:ln>
                      <a:noFill/>
                    </a:ln>
                  </pic:spPr>
                </pic:pic>
              </a:graphicData>
            </a:graphic>
          </wp:inline>
        </w:drawing>
      </w:r>
    </w:p>
    <w:p w:rsidR="00AD77BB" w:rsidRDefault="00B45BA0">
      <w:pPr>
        <w:shd w:val="clear" w:color="auto" w:fill="ECF9EA"/>
        <w:spacing w:line="360" w:lineRule="auto"/>
        <w:ind w:left="302" w:right="374"/>
        <w:textAlignment w:val="baseline"/>
        <w:rPr>
          <w:rFonts w:ascii="Calibri" w:eastAsia="Times New Roman" w:hAnsi="Calibri" w:cs="Calibri"/>
          <w:color w:val="333333"/>
          <w:sz w:val="20"/>
          <w:szCs w:val="20"/>
        </w:rPr>
      </w:pPr>
      <w:r>
        <w:rPr>
          <w:rFonts w:ascii="Calibri" w:eastAsia="Times New Roman" w:hAnsi="Calibri" w:cs="Calibri"/>
          <w:noProof/>
          <w:color w:val="333333"/>
          <w:sz w:val="20"/>
          <w:szCs w:val="20"/>
        </w:rPr>
        <w:lastRenderedPageBreak/>
        <w:drawing>
          <wp:inline distT="0" distB="0" distL="0" distR="0">
            <wp:extent cx="6105525" cy="6610350"/>
            <wp:effectExtent l="0" t="0" r="9525" b="0"/>
            <wp:docPr id="1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05525" cy="6610350"/>
                    </a:xfrm>
                    <a:prstGeom prst="rect">
                      <a:avLst/>
                    </a:prstGeom>
                    <a:noFill/>
                    <a:ln>
                      <a:noFill/>
                    </a:ln>
                  </pic:spPr>
                </pic:pic>
              </a:graphicData>
            </a:graphic>
          </wp:inline>
        </w:drawing>
      </w:r>
    </w:p>
    <w:p w:rsidR="00AD77BB" w:rsidRDefault="00B45BA0">
      <w:pPr>
        <w:shd w:val="clear" w:color="auto" w:fill="ECF9EA"/>
        <w:spacing w:line="360" w:lineRule="auto"/>
        <w:ind w:left="302" w:right="374"/>
        <w:textAlignment w:val="baseline"/>
        <w:rPr>
          <w:rFonts w:ascii="Calibri" w:eastAsia="Times New Roman" w:hAnsi="Calibri" w:cs="Calibri"/>
          <w:color w:val="333333"/>
          <w:sz w:val="20"/>
          <w:szCs w:val="20"/>
        </w:rPr>
      </w:pPr>
      <w:r>
        <w:rPr>
          <w:rFonts w:ascii="Calibri" w:eastAsia="Times New Roman" w:hAnsi="Calibri" w:cs="Calibri"/>
          <w:noProof/>
          <w:color w:val="333333"/>
          <w:sz w:val="20"/>
          <w:szCs w:val="20"/>
        </w:rPr>
        <w:lastRenderedPageBreak/>
        <w:drawing>
          <wp:inline distT="0" distB="0" distL="0" distR="0">
            <wp:extent cx="6067425" cy="5953125"/>
            <wp:effectExtent l="0" t="0" r="9525" b="9525"/>
            <wp:docPr id="1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67425" cy="5953125"/>
                    </a:xfrm>
                    <a:prstGeom prst="rect">
                      <a:avLst/>
                    </a:prstGeom>
                    <a:noFill/>
                    <a:ln>
                      <a:noFill/>
                    </a:ln>
                  </pic:spPr>
                </pic:pic>
              </a:graphicData>
            </a:graphic>
          </wp:inline>
        </w:drawing>
      </w:r>
    </w:p>
    <w:p w:rsidR="00AD77BB" w:rsidRDefault="00B45BA0">
      <w:pPr>
        <w:spacing w:line="360" w:lineRule="auto"/>
        <w:rPr>
          <w:rFonts w:ascii="Georgia" w:hAnsi="Georgia"/>
          <w:color w:val="333333"/>
          <w:sz w:val="20"/>
          <w:szCs w:val="20"/>
          <w:shd w:val="clear" w:color="auto" w:fill="FFFFFF"/>
        </w:rPr>
      </w:pPr>
      <w:r>
        <w:rPr>
          <w:rFonts w:ascii="Calibri" w:eastAsia="Times New Roman" w:hAnsi="Calibri" w:cs="Calibri"/>
          <w:color w:val="333333"/>
          <w:sz w:val="20"/>
          <w:szCs w:val="20"/>
        </w:rPr>
        <w:br w:type="page"/>
      </w:r>
      <w:r>
        <w:rPr>
          <w:rFonts w:ascii="Georgia" w:hAnsi="Georgia"/>
          <w:color w:val="333333"/>
          <w:sz w:val="20"/>
          <w:szCs w:val="20"/>
          <w:shd w:val="clear" w:color="auto" w:fill="FFFFFF"/>
        </w:rPr>
        <w:lastRenderedPageBreak/>
        <w:t>In the examples above the data sets were described as samples. Therefore the means were sample means, denoted by</w:t>
      </w:r>
      <w:r>
        <w:rPr>
          <w:rStyle w:val="apple-converted-space"/>
          <w:color w:val="333333"/>
          <w:sz w:val="20"/>
          <w:szCs w:val="20"/>
          <w:shd w:val="clear" w:color="auto" w:fill="FFFFFF"/>
        </w:rPr>
        <w:t> </w:t>
      </w:r>
      <w:r>
        <w:rPr>
          <w:rStyle w:val="st"/>
          <w:rFonts w:ascii="Georgia" w:hAnsi="Georgia" w:cs="Arial"/>
          <w:color w:val="222222"/>
          <w:sz w:val="20"/>
          <w:szCs w:val="20"/>
        </w:rPr>
        <w:t>x</w:t>
      </w:r>
      <w:r>
        <w:rPr>
          <w:rStyle w:val="st"/>
          <w:rFonts w:ascii="Times New Roman" w:hAnsi="Times New Roman" w:cs="Times New Roman"/>
          <w:color w:val="222222"/>
          <w:sz w:val="20"/>
          <w:szCs w:val="20"/>
        </w:rPr>
        <w:t>̅</w:t>
      </w:r>
      <w:r>
        <w:rPr>
          <w:rStyle w:val="mo"/>
          <w:rFonts w:ascii="Georgia" w:hAnsi="Georgia"/>
          <w:color w:val="333333"/>
          <w:sz w:val="20"/>
          <w:szCs w:val="20"/>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If the data come from a census, so that there is a measurement for every element of the population, then the mean is calculated by exactly the same process of summing all the measurements and dividing by how many of them there are, but it is now the</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population mean</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and is denoted by</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μ</w:t>
      </w:r>
      <w:r>
        <w:rPr>
          <w:rFonts w:ascii="Georgia" w:hAnsi="Georgia"/>
          <w:color w:val="333333"/>
          <w:sz w:val="20"/>
          <w:szCs w:val="20"/>
          <w:shd w:val="clear" w:color="auto" w:fill="FFFFFF"/>
        </w:rPr>
        <w:t>, the lower case Greek letter mu.</w:t>
      </w:r>
    </w:p>
    <w:p w:rsidR="00AD77BB" w:rsidRDefault="00B45BA0">
      <w:pPr>
        <w:rPr>
          <w:rFonts w:ascii="Calibri" w:eastAsia="Times New Roman" w:hAnsi="Calibri" w:cs="Calibri"/>
          <w:color w:val="333333"/>
          <w:sz w:val="20"/>
          <w:szCs w:val="20"/>
        </w:rPr>
      </w:pPr>
      <w:r>
        <w:rPr>
          <w:rFonts w:ascii="Calibri" w:eastAsia="Times New Roman" w:hAnsi="Calibri" w:cs="Calibri"/>
          <w:noProof/>
          <w:color w:val="333333"/>
          <w:sz w:val="20"/>
          <w:szCs w:val="20"/>
        </w:rPr>
        <w:drawing>
          <wp:inline distT="0" distB="0" distL="0" distR="0">
            <wp:extent cx="5772150" cy="1924050"/>
            <wp:effectExtent l="0" t="0" r="0" b="0"/>
            <wp:docPr id="2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72150" cy="1924050"/>
                    </a:xfrm>
                    <a:prstGeom prst="rect">
                      <a:avLst/>
                    </a:prstGeom>
                    <a:noFill/>
                    <a:ln>
                      <a:noFill/>
                    </a:ln>
                  </pic:spPr>
                </pic:pic>
              </a:graphicData>
            </a:graphic>
          </wp:inline>
        </w:drawing>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The mean of two numbers is the number that is halfway between them. For example, the average of the numbers 5 and 17 is (5 + 17) ∕ 2 = 11, which is 6 units above 5 and 6 units below 17. In this sense the average 11 is the “center” of the data set {5,17}. For larger data sets the mean can similarly be regarded as the “center” of the data.</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0"/>
          <w:szCs w:val="20"/>
        </w:rPr>
      </w:pPr>
    </w:p>
    <w:p w:rsidR="00AD77BB" w:rsidRDefault="00B45BA0">
      <w:pPr>
        <w:pStyle w:val="Heading2"/>
        <w:shd w:val="clear" w:color="auto" w:fill="FFFFFF"/>
        <w:spacing w:before="0" w:line="360" w:lineRule="auto"/>
        <w:textAlignment w:val="baseline"/>
        <w:rPr>
          <w:rFonts w:ascii="Calibri" w:hAnsi="Calibri"/>
          <w:color w:val="333333"/>
          <w:sz w:val="28"/>
          <w:szCs w:val="28"/>
        </w:rPr>
      </w:pPr>
      <w:r>
        <w:rPr>
          <w:rFonts w:ascii="Calibri" w:hAnsi="Calibri"/>
          <w:color w:val="333333"/>
          <w:sz w:val="28"/>
          <w:szCs w:val="28"/>
        </w:rPr>
        <w:t>The Median</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To see why another concept of average is needed, consider the following situation. Suppose we are interested in the average yearly income of employees at a large corporation. We take a random sample of seven employees, obtaining the sample data (rounded to the nearest hundred dollars, and expressed in thousands of dollars).</w:t>
      </w:r>
    </w:p>
    <w:p w:rsidR="00AD77BB" w:rsidRDefault="00AD77BB">
      <w:pPr>
        <w:rPr>
          <w:rFonts w:ascii="Calibri" w:eastAsia="Times New Roman" w:hAnsi="Calibri" w:cs="Calibri"/>
          <w:color w:val="333333"/>
          <w:sz w:val="20"/>
          <w:szCs w:val="20"/>
        </w:rPr>
      </w:pPr>
    </w:p>
    <w:p w:rsidR="00AD77BB" w:rsidRDefault="00B45BA0">
      <w:pPr>
        <w:jc w:val="center"/>
        <w:rPr>
          <w:rFonts w:ascii="Georgia" w:eastAsia="Times New Roman" w:hAnsi="Georgia" w:cs="Calibri"/>
          <w:b/>
          <w:color w:val="333333"/>
          <w:sz w:val="16"/>
          <w:szCs w:val="16"/>
        </w:rPr>
      </w:pPr>
      <w:r>
        <w:rPr>
          <w:rFonts w:ascii="Georgia" w:eastAsia="Times New Roman" w:hAnsi="Georgia" w:cs="Calibri"/>
          <w:b/>
          <w:color w:val="333333"/>
          <w:sz w:val="16"/>
          <w:szCs w:val="16"/>
        </w:rPr>
        <w:t>24.8 22.8 24.6 192.5 25.2 18.5 23.7</w:t>
      </w:r>
    </w:p>
    <w:p w:rsidR="00AD77BB" w:rsidRDefault="00AD77BB">
      <w:pPr>
        <w:jc w:val="center"/>
        <w:rPr>
          <w:rFonts w:ascii="Georgia" w:eastAsia="Times New Roman" w:hAnsi="Georgia" w:cs="Calibri"/>
          <w:b/>
          <w:color w:val="333333"/>
          <w:sz w:val="16"/>
          <w:szCs w:val="16"/>
        </w:rPr>
      </w:pPr>
    </w:p>
    <w:p w:rsidR="00AD77BB" w:rsidRDefault="00B45BA0">
      <w:pPr>
        <w:spacing w:line="360" w:lineRule="auto"/>
        <w:rPr>
          <w:rFonts w:ascii="Georgia" w:hAnsi="Georgia"/>
          <w:color w:val="333333"/>
          <w:sz w:val="20"/>
          <w:szCs w:val="20"/>
          <w:shd w:val="clear" w:color="auto" w:fill="FFFFFF"/>
        </w:rPr>
      </w:pPr>
      <w:r>
        <w:rPr>
          <w:rFonts w:ascii="Georgia" w:hAnsi="Georgia"/>
          <w:color w:val="333333"/>
          <w:sz w:val="20"/>
          <w:szCs w:val="20"/>
          <w:shd w:val="clear" w:color="auto" w:fill="FFFFFF"/>
        </w:rPr>
        <w:t>The mean (rounded to one decimal place) is</w:t>
      </w:r>
      <w:r>
        <w:rPr>
          <w:rStyle w:val="apple-converted-space"/>
          <w:rFonts w:ascii="Georgia" w:hAnsi="Georgia"/>
          <w:color w:val="333333"/>
          <w:sz w:val="20"/>
          <w:szCs w:val="20"/>
          <w:shd w:val="clear" w:color="auto" w:fill="FFFFFF"/>
        </w:rPr>
        <w:t xml:space="preserve"> </w:t>
      </w:r>
      <w:r>
        <w:rPr>
          <w:rStyle w:val="st"/>
          <w:rFonts w:ascii="Georgia" w:hAnsi="Georgia" w:cs="Arial"/>
          <w:color w:val="222222"/>
          <w:sz w:val="20"/>
          <w:szCs w:val="20"/>
        </w:rPr>
        <w:t>x</w:t>
      </w:r>
      <w:r>
        <w:rPr>
          <w:rStyle w:val="st"/>
          <w:rFonts w:ascii="Times New Roman" w:hAnsi="Times New Roman" w:cs="Times New Roman"/>
          <w:color w:val="222222"/>
          <w:sz w:val="20"/>
          <w:szCs w:val="20"/>
        </w:rPr>
        <w:t>̅-</w:t>
      </w:r>
      <w:r>
        <w:rPr>
          <w:rStyle w:val="mn"/>
          <w:rFonts w:ascii="Georgia" w:hAnsi="Georgia"/>
          <w:color w:val="333333"/>
          <w:sz w:val="20"/>
          <w:szCs w:val="20"/>
          <w:shd w:val="clear" w:color="auto" w:fill="FFFFFF"/>
        </w:rPr>
        <w:t>47.4</w:t>
      </w:r>
      <w:r>
        <w:rPr>
          <w:rFonts w:ascii="Georgia" w:hAnsi="Georgia"/>
          <w:color w:val="333333"/>
          <w:sz w:val="20"/>
          <w:szCs w:val="20"/>
          <w:shd w:val="clear" w:color="auto" w:fill="FFFFFF"/>
        </w:rPr>
        <w:t>, but the statement “the average income of employees at this corporation is $47,400” is surely misleading. It is approximately twice what six of the seven employees in the sample make and is nowhere near what any of them makes. It is easy to see what went wrong: the presence of the one executive in the sample, whose salary is so large compared to everyone else’s, caused the numerator in the formula for the sample mean to be far too large, pulling the mean far to the right of where we think that the average “ought” to be, namely around $24,000 or $25,000. The number 192.5 in our data set is called an</w:t>
      </w:r>
      <w:r>
        <w:rPr>
          <w:rStyle w:val="apple-converted-space"/>
          <w:rFonts w:ascii="Georgia" w:hAnsi="Georgia"/>
          <w:color w:val="333333"/>
          <w:sz w:val="20"/>
          <w:szCs w:val="20"/>
          <w:shd w:val="clear" w:color="auto" w:fill="FFFFFF"/>
        </w:rPr>
        <w:t> </w:t>
      </w:r>
      <w:r>
        <w:rPr>
          <w:rStyle w:val="Strong"/>
          <w:rFonts w:ascii="Georgia" w:hAnsi="Georgia"/>
          <w:color w:val="333333"/>
          <w:sz w:val="20"/>
          <w:szCs w:val="20"/>
          <w:shd w:val="clear" w:color="auto" w:fill="FFFFFF"/>
        </w:rPr>
        <w:t>outlier</w:t>
      </w:r>
      <w:r>
        <w:rPr>
          <w:rFonts w:ascii="Georgia" w:hAnsi="Georgia"/>
          <w:color w:val="333333"/>
          <w:sz w:val="20"/>
          <w:szCs w:val="20"/>
          <w:shd w:val="clear" w:color="auto" w:fill="FFFFFF"/>
        </w:rPr>
        <w:t xml:space="preserve">, a number that is far removed from most or all of the remaining measurements. Many times an outlier is the result of some sort of error, but not always, as is </w:t>
      </w:r>
      <w:r>
        <w:rPr>
          <w:rFonts w:ascii="Georgia" w:hAnsi="Georgia"/>
          <w:color w:val="333333"/>
          <w:sz w:val="20"/>
          <w:szCs w:val="20"/>
          <w:shd w:val="clear" w:color="auto" w:fill="FFFFFF"/>
        </w:rPr>
        <w:lastRenderedPageBreak/>
        <w:t>the case here. We would get a better measure of the “center” of the data if we were to arrange the data in numerical order,</w:t>
      </w:r>
    </w:p>
    <w:p w:rsidR="00AD77BB" w:rsidRDefault="00B45BA0">
      <w:pPr>
        <w:spacing w:line="360" w:lineRule="auto"/>
        <w:jc w:val="center"/>
        <w:rPr>
          <w:rFonts w:ascii="Georgia" w:hAnsi="Georgia"/>
          <w:b/>
          <w:color w:val="333333"/>
          <w:sz w:val="16"/>
          <w:szCs w:val="16"/>
          <w:shd w:val="clear" w:color="auto" w:fill="FFFFFF"/>
        </w:rPr>
      </w:pPr>
      <w:r>
        <w:rPr>
          <w:rFonts w:ascii="Georgia" w:hAnsi="Georgia"/>
          <w:b/>
          <w:color w:val="333333"/>
          <w:sz w:val="16"/>
          <w:szCs w:val="16"/>
          <w:shd w:val="clear" w:color="auto" w:fill="FFFFFF"/>
        </w:rPr>
        <w:t>18.5 22.8 23.7 24.6 24.8 25.2 192.5</w:t>
      </w:r>
    </w:p>
    <w:p w:rsidR="00AD77BB" w:rsidRDefault="00B45BA0">
      <w:pPr>
        <w:spacing w:line="360" w:lineRule="auto"/>
        <w:rPr>
          <w:rFonts w:ascii="Georgia" w:hAnsi="Georgia"/>
          <w:color w:val="333333"/>
          <w:sz w:val="20"/>
          <w:szCs w:val="20"/>
          <w:shd w:val="clear" w:color="auto" w:fill="FFFFFF"/>
        </w:rPr>
      </w:pPr>
      <w:r>
        <w:rPr>
          <w:rFonts w:ascii="Georgia" w:hAnsi="Georgia"/>
          <w:color w:val="333333"/>
          <w:sz w:val="20"/>
          <w:szCs w:val="20"/>
          <w:shd w:val="clear" w:color="auto" w:fill="FFFFFF"/>
        </w:rPr>
        <w:t xml:space="preserve">then select the middle number in the list, in this case 24.6. The result is called the </w:t>
      </w:r>
      <w:r>
        <w:rPr>
          <w:rStyle w:val="Emphasis"/>
          <w:rFonts w:ascii="Georgia" w:hAnsi="Georgia"/>
          <w:color w:val="333333"/>
          <w:sz w:val="20"/>
          <w:szCs w:val="20"/>
          <w:shd w:val="clear" w:color="auto" w:fill="FFFFFF"/>
        </w:rPr>
        <w:t>median</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of the data set, and has the property that roughly half of the measurements are larger than it is, and roughly half are smaller. In this sense it locates the center of the data. If there are an even number of measurements in the data set, then there will be two middle elements when all are lined up in order, so we take the mean of the middle two as the median. Thus we have the following definition.</w:t>
      </w:r>
    </w:p>
    <w:p w:rsidR="00AD77BB" w:rsidRDefault="00B45BA0">
      <w:pPr>
        <w:pStyle w:val="Heading3"/>
        <w:shd w:val="clear" w:color="auto" w:fill="F4F4F4"/>
        <w:spacing w:before="0" w:beforeAutospacing="0" w:after="0" w:afterAutospacing="0" w:line="360" w:lineRule="auto"/>
        <w:textAlignment w:val="baseline"/>
        <w:rPr>
          <w:rFonts w:ascii="Calibri" w:hAnsi="Calibri"/>
          <w:color w:val="333333"/>
          <w:sz w:val="30"/>
          <w:szCs w:val="30"/>
        </w:rPr>
      </w:pPr>
      <w:r>
        <w:rPr>
          <w:rFonts w:ascii="Calibri" w:hAnsi="Calibri"/>
          <w:color w:val="333333"/>
          <w:sz w:val="30"/>
          <w:szCs w:val="30"/>
        </w:rPr>
        <w:t>Definition</w:t>
      </w: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sample median</w:t>
      </w:r>
      <w:r>
        <w:rPr>
          <w:rStyle w:val="apple-converted-space"/>
          <w:rFonts w:ascii="Georgia" w:hAnsi="Georgia"/>
          <w:color w:val="333333"/>
          <w:sz w:val="20"/>
          <w:szCs w:val="20"/>
        </w:rPr>
        <w:t> </w:t>
      </w:r>
      <w:r>
        <w:rPr>
          <w:rStyle w:val="ft"/>
          <w:rFonts w:ascii="Georgia" w:hAnsi="Georgia" w:cs="Arial"/>
          <w:color w:val="222222"/>
          <w:sz w:val="20"/>
          <w:szCs w:val="20"/>
        </w:rPr>
        <w:t>x^~</w:t>
      </w:r>
      <w:r>
        <w:rPr>
          <w:rStyle w:val="apple-converted-space"/>
          <w:rFonts w:ascii="Georgia" w:hAnsi="Georgia"/>
          <w:color w:val="333333"/>
          <w:sz w:val="20"/>
          <w:szCs w:val="20"/>
        </w:rPr>
        <w:t> </w:t>
      </w:r>
      <w:r>
        <w:rPr>
          <w:rStyle w:val="Emphasis"/>
          <w:rFonts w:ascii="Georgia" w:hAnsi="Georgia"/>
          <w:color w:val="333333"/>
          <w:sz w:val="20"/>
          <w:szCs w:val="20"/>
        </w:rPr>
        <w:t>of a set of sample data for which there are an odd number of measurements is the middle measurement when the data are arranged in numerical order. The sample median</w:t>
      </w:r>
      <w:r>
        <w:rPr>
          <w:rStyle w:val="apple-converted-space"/>
          <w:rFonts w:ascii="Georgia" w:hAnsi="Georgia"/>
          <w:i/>
          <w:iCs/>
          <w:color w:val="333333"/>
          <w:sz w:val="20"/>
          <w:szCs w:val="20"/>
        </w:rPr>
        <w:t> </w:t>
      </w:r>
      <w:r>
        <w:rPr>
          <w:rStyle w:val="ft"/>
          <w:rFonts w:ascii="Georgia" w:hAnsi="Georgia" w:cs="Arial"/>
          <w:color w:val="222222"/>
          <w:sz w:val="20"/>
          <w:szCs w:val="20"/>
        </w:rPr>
        <w:t>x^~</w:t>
      </w:r>
      <w:r>
        <w:rPr>
          <w:rStyle w:val="ft"/>
          <w:rFonts w:ascii="Arial" w:hAnsi="Arial" w:cs="Arial"/>
          <w:color w:val="222222"/>
        </w:rPr>
        <w:t xml:space="preserve"> </w:t>
      </w:r>
      <w:r>
        <w:rPr>
          <w:rStyle w:val="Emphasis"/>
          <w:rFonts w:ascii="Georgia" w:hAnsi="Georgia"/>
          <w:color w:val="333333"/>
          <w:sz w:val="20"/>
          <w:szCs w:val="20"/>
        </w:rPr>
        <w:t>of a set of sample data for which there are an even number of measurements is the mean of the two middle measurements when the data are arranged in numerical order.</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population median is defined in a similar way, but we will not have occasion to refer to it again in this text.</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median is a value that divides the observations in a data set so that 50% of the data are on its left and the other 50% on its right. In accordance with</w:t>
      </w:r>
      <w:r>
        <w:rPr>
          <w:rStyle w:val="apple-converted-space"/>
          <w:rFonts w:ascii="Georgia" w:hAnsi="Georgia"/>
          <w:color w:val="333333"/>
          <w:sz w:val="21"/>
          <w:szCs w:val="21"/>
        </w:rPr>
        <w:t> </w:t>
      </w:r>
      <w:r>
        <w:rPr>
          <w:rFonts w:ascii="Georgia" w:hAnsi="Georgia"/>
          <w:color w:val="333333"/>
          <w:sz w:val="21"/>
          <w:szCs w:val="21"/>
        </w:rPr>
        <w:t>, therefore, in the curve that represents the distribution of the data, a vertical line drawn at the median divides the area in two, area 0.5 (50% of the total area 1) to the left and area 0.5 (50% of the total area 1) to the right, as shown in</w:t>
      </w:r>
      <w:r>
        <w:rPr>
          <w:rStyle w:val="apple-converted-space"/>
          <w:rFonts w:ascii="Georgia" w:hAnsi="Georgia"/>
          <w:color w:val="333333"/>
          <w:sz w:val="21"/>
          <w:szCs w:val="21"/>
        </w:rPr>
        <w:t> </w:t>
      </w:r>
      <w:r>
        <w:rPr>
          <w:rFonts w:ascii="Georgia" w:hAnsi="Georgia"/>
          <w:color w:val="333333"/>
          <w:sz w:val="21"/>
          <w:szCs w:val="21"/>
        </w:rPr>
        <w:t>. In our income example the median, $24,600, clearly gave a much better measure of the middle of the data set than did the mean $47,400. This is typical for situations in which the distribution is skewed. (Skewness and symmetry of distributions are discussed at the end of this subsection.)</w:t>
      </w:r>
    </w:p>
    <w:p w:rsidR="00AD77BB" w:rsidRDefault="00AD77BB">
      <w:pPr>
        <w:spacing w:line="360" w:lineRule="auto"/>
        <w:rPr>
          <w:rFonts w:ascii="Georgia" w:eastAsia="Times New Roman" w:hAnsi="Georgia" w:cs="Calibri"/>
          <w:b/>
          <w:color w:val="333333"/>
          <w:sz w:val="16"/>
          <w:szCs w:val="16"/>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lastRenderedPageBreak/>
        <w:t>Figure 2.7</w:t>
      </w:r>
      <w:r>
        <w:rPr>
          <w:rFonts w:ascii="Georgia" w:eastAsia="Times New Roman" w:hAnsi="Georgia" w:cs="Times New Roman"/>
          <w:i/>
          <w:iCs/>
          <w:color w:val="BB9966"/>
          <w:sz w:val="19"/>
          <w:szCs w:val="19"/>
        </w:rPr>
        <w:t> The Median</w:t>
      </w:r>
    </w:p>
    <w:p w:rsidR="00AD77BB" w:rsidRDefault="00B45BA0">
      <w:pPr>
        <w:spacing w:line="360" w:lineRule="auto"/>
        <w:rPr>
          <w:rFonts w:ascii="Georgia" w:eastAsia="Times New Roman" w:hAnsi="Georgia" w:cs="Calibri"/>
          <w:b/>
          <w:color w:val="333333"/>
          <w:sz w:val="16"/>
          <w:szCs w:val="16"/>
        </w:rPr>
      </w:pPr>
      <w:r>
        <w:rPr>
          <w:rFonts w:ascii="Calibri" w:eastAsia="Times New Roman" w:hAnsi="Calibri" w:cs="Times New Roman"/>
          <w:noProof/>
          <w:color w:val="2689C6"/>
          <w:sz w:val="25"/>
          <w:szCs w:val="25"/>
          <w:shd w:val="clear" w:color="auto" w:fill="FFFFFF"/>
        </w:rPr>
        <w:drawing>
          <wp:inline distT="0" distB="0" distL="0" distR="0">
            <wp:extent cx="6134100" cy="4638675"/>
            <wp:effectExtent l="0" t="0" r="0" b="9525"/>
            <wp:docPr id="21" name="Picture 38" descr="http://images.flatworldknowledge.com/shafer/shafer-fig0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ages.flatworldknowledge.com/shafer/shafer-fig02_00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34100" cy="4638675"/>
                    </a:xfrm>
                    <a:prstGeom prst="rect">
                      <a:avLst/>
                    </a:prstGeom>
                    <a:noFill/>
                    <a:ln>
                      <a:noFill/>
                    </a:ln>
                  </pic:spPr>
                </pic:pic>
              </a:graphicData>
            </a:graphic>
          </wp:inline>
        </w:drawing>
      </w:r>
    </w:p>
    <w:p w:rsidR="00AD77BB" w:rsidRDefault="00B45BA0">
      <w:pPr>
        <w:spacing w:line="360" w:lineRule="auto"/>
        <w:rPr>
          <w:rFonts w:ascii="Georgia" w:eastAsia="Times New Roman" w:hAnsi="Georgia" w:cs="Calibri"/>
          <w:b/>
          <w:color w:val="333333"/>
          <w:sz w:val="16"/>
          <w:szCs w:val="16"/>
        </w:rPr>
      </w:pPr>
      <w:r>
        <w:rPr>
          <w:rFonts w:ascii="Georgia" w:eastAsia="Times New Roman" w:hAnsi="Georgia" w:cs="Calibri"/>
          <w:b/>
          <w:noProof/>
          <w:color w:val="333333"/>
          <w:sz w:val="16"/>
          <w:szCs w:val="16"/>
        </w:rPr>
        <w:lastRenderedPageBreak/>
        <w:drawing>
          <wp:inline distT="0" distB="0" distL="0" distR="0">
            <wp:extent cx="6153150" cy="6381750"/>
            <wp:effectExtent l="0" t="0" r="0" b="0"/>
            <wp:docPr id="2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53150" cy="6381750"/>
                    </a:xfrm>
                    <a:prstGeom prst="rect">
                      <a:avLst/>
                    </a:prstGeom>
                    <a:noFill/>
                    <a:ln>
                      <a:noFill/>
                    </a:ln>
                  </pic:spPr>
                </pic:pic>
              </a:graphicData>
            </a:graphic>
          </wp:inline>
        </w:drawing>
      </w:r>
    </w:p>
    <w:p w:rsidR="00AD77BB" w:rsidRDefault="00B45BA0">
      <w:pPr>
        <w:spacing w:line="360" w:lineRule="auto"/>
        <w:rPr>
          <w:rFonts w:ascii="Georgia" w:eastAsia="Times New Roman" w:hAnsi="Georgia" w:cs="Calibri"/>
          <w:b/>
          <w:color w:val="333333"/>
          <w:sz w:val="16"/>
          <w:szCs w:val="16"/>
        </w:rPr>
      </w:pPr>
      <w:r>
        <w:rPr>
          <w:rFonts w:ascii="Georgia" w:eastAsia="Times New Roman" w:hAnsi="Georgia" w:cs="Calibri"/>
          <w:b/>
          <w:noProof/>
          <w:color w:val="333333"/>
          <w:sz w:val="16"/>
          <w:szCs w:val="16"/>
        </w:rPr>
        <w:lastRenderedPageBreak/>
        <w:drawing>
          <wp:inline distT="0" distB="0" distL="0" distR="0">
            <wp:extent cx="6191250" cy="6000750"/>
            <wp:effectExtent l="0" t="0" r="0" b="0"/>
            <wp:docPr id="2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91250" cy="6000750"/>
                    </a:xfrm>
                    <a:prstGeom prst="rect">
                      <a:avLst/>
                    </a:prstGeom>
                    <a:noFill/>
                    <a:ln>
                      <a:noFill/>
                    </a:ln>
                  </pic:spPr>
                </pic:pic>
              </a:graphicData>
            </a:graphic>
          </wp:inline>
        </w:drawing>
      </w:r>
    </w:p>
    <w:p w:rsidR="00AD77BB" w:rsidRDefault="00B45BA0">
      <w:pPr>
        <w:spacing w:line="360" w:lineRule="auto"/>
        <w:rPr>
          <w:rFonts w:ascii="Georgia" w:hAnsi="Georgia"/>
          <w:color w:val="333333"/>
          <w:sz w:val="20"/>
          <w:szCs w:val="20"/>
          <w:shd w:val="clear" w:color="auto" w:fill="FFFFFF"/>
        </w:rPr>
      </w:pPr>
      <w:r>
        <w:rPr>
          <w:rFonts w:ascii="Georgia" w:hAnsi="Georgia"/>
          <w:color w:val="333333"/>
          <w:sz w:val="20"/>
          <w:szCs w:val="20"/>
          <w:shd w:val="clear" w:color="auto" w:fill="FFFFFF"/>
        </w:rPr>
        <w:t>The relationship between the mean and the median for several common shapes of distributions is shown in</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 xml:space="preserve">. The distributions in panels (a) and (b) are said to be </w:t>
      </w:r>
      <w:r>
        <w:rPr>
          <w:rStyle w:val="Emphasis"/>
          <w:rFonts w:ascii="Georgia" w:hAnsi="Georgia"/>
          <w:color w:val="333333"/>
          <w:sz w:val="20"/>
          <w:szCs w:val="20"/>
          <w:shd w:val="clear" w:color="auto" w:fill="FFFFFF"/>
        </w:rPr>
        <w:t>symmetric</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because of the symmetry that they exhibit. The distributions in the remaining two panels are said to be</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skewed</w:t>
      </w:r>
      <w:r>
        <w:rPr>
          <w:rFonts w:ascii="Georgia" w:hAnsi="Georgia"/>
          <w:color w:val="333333"/>
          <w:sz w:val="20"/>
          <w:szCs w:val="20"/>
          <w:shd w:val="clear" w:color="auto" w:fill="FFFFFF"/>
        </w:rPr>
        <w:t>. In each distribution we have drawn a vertical line that divides the area under the curve in half, which in accordance with</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is located at the median. The following facts are true in general:</w:t>
      </w:r>
    </w:p>
    <w:p w:rsidR="00AD77BB" w:rsidRDefault="00B45BA0">
      <w:pPr>
        <w:numPr>
          <w:ilvl w:val="0"/>
          <w:numId w:val="25"/>
        </w:numPr>
        <w:shd w:val="clear" w:color="auto" w:fill="FFFFFF"/>
        <w:spacing w:after="0" w:line="360" w:lineRule="auto"/>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When the distribution is symmetric, as in panels (a) and (b) of , the mean and the median are equal.</w:t>
      </w:r>
    </w:p>
    <w:p w:rsidR="00AD77BB" w:rsidRDefault="00B45BA0">
      <w:pPr>
        <w:numPr>
          <w:ilvl w:val="0"/>
          <w:numId w:val="25"/>
        </w:numPr>
        <w:shd w:val="clear" w:color="auto" w:fill="FFFFFF"/>
        <w:spacing w:after="0" w:line="360" w:lineRule="auto"/>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When the distribution is as shown in panel (c) of , it is said to be </w:t>
      </w:r>
      <w:r>
        <w:rPr>
          <w:rFonts w:ascii="Georgia" w:eastAsia="Times New Roman" w:hAnsi="Georgia" w:cs="Times New Roman"/>
          <w:i/>
          <w:iCs/>
          <w:color w:val="333333"/>
          <w:sz w:val="20"/>
          <w:szCs w:val="20"/>
        </w:rPr>
        <w:t>skewed right</w:t>
      </w:r>
      <w:r>
        <w:rPr>
          <w:rFonts w:ascii="Georgia" w:eastAsia="Times New Roman" w:hAnsi="Georgia" w:cs="Times New Roman"/>
          <w:color w:val="333333"/>
          <w:sz w:val="20"/>
          <w:szCs w:val="20"/>
        </w:rPr>
        <w:t>. The mean has been pulled to the right of the median by the long “right tail” of the distribution, the few relatively large data values.</w:t>
      </w:r>
    </w:p>
    <w:p w:rsidR="00AD77BB" w:rsidRDefault="00B45BA0">
      <w:pPr>
        <w:numPr>
          <w:ilvl w:val="0"/>
          <w:numId w:val="25"/>
        </w:numPr>
        <w:shd w:val="clear" w:color="auto" w:fill="FFFFFF"/>
        <w:spacing w:after="0" w:line="360" w:lineRule="auto"/>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When the distribution is as shown in panel (d) of , it is said to be </w:t>
      </w:r>
      <w:r>
        <w:rPr>
          <w:rFonts w:ascii="Georgia" w:eastAsia="Times New Roman" w:hAnsi="Georgia" w:cs="Times New Roman"/>
          <w:i/>
          <w:iCs/>
          <w:color w:val="333333"/>
          <w:sz w:val="20"/>
          <w:szCs w:val="20"/>
        </w:rPr>
        <w:t>skewed left</w:t>
      </w:r>
      <w:r>
        <w:rPr>
          <w:rFonts w:ascii="Georgia" w:eastAsia="Times New Roman" w:hAnsi="Georgia" w:cs="Times New Roman"/>
          <w:color w:val="333333"/>
          <w:sz w:val="20"/>
          <w:szCs w:val="20"/>
        </w:rPr>
        <w:t>. The mean has been pulled to the left of the median by the long “left tail” of the distribution, the few relatively small data values.</w:t>
      </w:r>
    </w:p>
    <w:p w:rsidR="00AD77BB" w:rsidRDefault="00AD77BB">
      <w:pPr>
        <w:shd w:val="clear" w:color="auto" w:fill="FFFFFF"/>
        <w:spacing w:after="0" w:line="360" w:lineRule="auto"/>
        <w:textAlignment w:val="baseline"/>
        <w:rPr>
          <w:rFonts w:ascii="Georgia" w:eastAsia="Times New Roman" w:hAnsi="Georgia" w:cs="Times New Roman"/>
          <w:color w:val="333333"/>
          <w:sz w:val="20"/>
          <w:szCs w:val="20"/>
        </w:rPr>
      </w:pP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t>Figure 2.8</w:t>
      </w:r>
      <w:r>
        <w:rPr>
          <w:rFonts w:ascii="Georgia" w:eastAsia="Times New Roman" w:hAnsi="Georgia" w:cs="Times New Roman"/>
          <w:i/>
          <w:iCs/>
          <w:color w:val="BB9966"/>
          <w:sz w:val="19"/>
          <w:szCs w:val="19"/>
        </w:rPr>
        <w:t> Skewness of Relative Frequency Histograms</w:t>
      </w:r>
    </w:p>
    <w:p w:rsidR="00AD77BB" w:rsidRDefault="00B45BA0">
      <w:pPr>
        <w:spacing w:line="360" w:lineRule="auto"/>
        <w:rPr>
          <w:rFonts w:ascii="Georgia" w:eastAsia="Times New Roman" w:hAnsi="Georgia" w:cs="Calibri"/>
          <w:b/>
          <w:color w:val="333333"/>
          <w:sz w:val="16"/>
          <w:szCs w:val="16"/>
        </w:rPr>
      </w:pPr>
      <w:r>
        <w:rPr>
          <w:rFonts w:ascii="Calibri" w:eastAsia="Times New Roman" w:hAnsi="Calibri" w:cs="Times New Roman"/>
          <w:noProof/>
          <w:color w:val="2689C6"/>
          <w:sz w:val="25"/>
          <w:szCs w:val="25"/>
          <w:shd w:val="clear" w:color="auto" w:fill="FFFFFF"/>
        </w:rPr>
        <w:drawing>
          <wp:inline distT="0" distB="0" distL="0" distR="0">
            <wp:extent cx="5753100" cy="5314950"/>
            <wp:effectExtent l="0" t="0" r="0" b="0"/>
            <wp:docPr id="24" name="Picture 41" descr="http://images.flatworldknowledge.com/shafer/shafer-fig0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ages.flatworldknowledge.com/shafer/shafer-fig02_00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3100" cy="5314950"/>
                    </a:xfrm>
                    <a:prstGeom prst="rect">
                      <a:avLst/>
                    </a:prstGeom>
                    <a:noFill/>
                    <a:ln>
                      <a:noFill/>
                    </a:ln>
                  </pic:spPr>
                </pic:pic>
              </a:graphicData>
            </a:graphic>
          </wp:inline>
        </w:drawing>
      </w:r>
    </w:p>
    <w:p w:rsidR="00AD77BB" w:rsidRDefault="00B45BA0">
      <w:pPr>
        <w:pStyle w:val="Heading2"/>
        <w:shd w:val="clear" w:color="auto" w:fill="FFFFFF"/>
        <w:spacing w:before="0" w:line="360" w:lineRule="auto"/>
        <w:textAlignment w:val="baseline"/>
        <w:rPr>
          <w:rFonts w:ascii="Calibri" w:hAnsi="Calibri"/>
          <w:color w:val="333333"/>
          <w:sz w:val="29"/>
          <w:szCs w:val="29"/>
        </w:rPr>
      </w:pPr>
      <w:r>
        <w:rPr>
          <w:rFonts w:ascii="Calibri" w:hAnsi="Calibri"/>
          <w:color w:val="333333"/>
          <w:sz w:val="29"/>
          <w:szCs w:val="29"/>
        </w:rPr>
        <w:t>The Mode</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 xml:space="preserve">Perhaps you have heard a statement like “The average number of automobiles owned by households in the United States is 1.37,” and have been amused at the thought of a fraction of an automobile </w:t>
      </w:r>
      <w:r>
        <w:rPr>
          <w:rFonts w:ascii="Georgia" w:hAnsi="Georgia"/>
          <w:color w:val="333333"/>
          <w:sz w:val="21"/>
          <w:szCs w:val="21"/>
        </w:rPr>
        <w:lastRenderedPageBreak/>
        <w:t>sitting in a driveway. In such a context the following measure for central location might make more sense.</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Heading3"/>
        <w:shd w:val="clear" w:color="auto" w:fill="F4F4F4"/>
        <w:spacing w:before="0" w:beforeAutospacing="0" w:after="0" w:afterAutospacing="0" w:line="360" w:lineRule="auto"/>
        <w:textAlignment w:val="baseline"/>
        <w:rPr>
          <w:rFonts w:ascii="Calibri" w:hAnsi="Calibri"/>
          <w:color w:val="333333"/>
          <w:sz w:val="30"/>
          <w:szCs w:val="30"/>
        </w:rPr>
      </w:pPr>
      <w:r>
        <w:rPr>
          <w:rFonts w:ascii="Calibri" w:hAnsi="Calibri"/>
          <w:color w:val="333333"/>
          <w:sz w:val="30"/>
          <w:szCs w:val="30"/>
        </w:rPr>
        <w:t>Definition</w:t>
      </w: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eastAsiaTheme="majorEastAsia" w:hAnsi="Georgia"/>
          <w:b/>
          <w:color w:val="333333"/>
          <w:sz w:val="20"/>
          <w:szCs w:val="20"/>
        </w:rPr>
        <w:t>sample mode</w:t>
      </w:r>
      <w:r>
        <w:rPr>
          <w:rStyle w:val="apple-converted-space"/>
          <w:rFonts w:ascii="Georgia" w:hAnsi="Georgia"/>
          <w:color w:val="333333"/>
          <w:sz w:val="20"/>
          <w:szCs w:val="20"/>
        </w:rPr>
        <w:t> </w:t>
      </w:r>
      <w:r>
        <w:rPr>
          <w:rStyle w:val="Emphasis"/>
          <w:rFonts w:ascii="Georgia" w:hAnsi="Georgia"/>
          <w:color w:val="333333"/>
          <w:sz w:val="20"/>
          <w:szCs w:val="20"/>
        </w:rPr>
        <w:t>of a set of sample data is the most frequently occurring value.</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population mode is defined in a similar way, but we will not have occasion to refer to it again in this text.</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On a relative frequency histogram, the highest point of the histogram corresponds to the mode of the data set.</w:t>
      </w:r>
      <w:r>
        <w:rPr>
          <w:rStyle w:val="apple-converted-space"/>
          <w:rFonts w:ascii="Georgia" w:hAnsi="Georgia"/>
          <w:color w:val="333333"/>
          <w:sz w:val="21"/>
          <w:szCs w:val="21"/>
        </w:rPr>
        <w:t> </w:t>
      </w:r>
      <w:r>
        <w:rPr>
          <w:rFonts w:ascii="Georgia" w:hAnsi="Georgia"/>
          <w:color w:val="333333"/>
          <w:sz w:val="21"/>
          <w:szCs w:val="21"/>
        </w:rPr>
        <w:t>illustrates the mode.</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t>Figure 2.9</w:t>
      </w:r>
      <w:r>
        <w:rPr>
          <w:rFonts w:ascii="Georgia" w:eastAsia="Times New Roman" w:hAnsi="Georgia" w:cs="Times New Roman"/>
          <w:i/>
          <w:iCs/>
          <w:color w:val="BB9966"/>
          <w:sz w:val="19"/>
          <w:szCs w:val="19"/>
        </w:rPr>
        <w:t> Mode</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Calibri" w:hAnsi="Calibri"/>
          <w:noProof/>
          <w:color w:val="2689C6"/>
          <w:sz w:val="25"/>
          <w:szCs w:val="25"/>
          <w:shd w:val="clear" w:color="auto" w:fill="FFFFFF"/>
        </w:rPr>
        <w:drawing>
          <wp:inline distT="0" distB="0" distL="0" distR="0">
            <wp:extent cx="5848350" cy="4419600"/>
            <wp:effectExtent l="0" t="0" r="0" b="0"/>
            <wp:docPr id="25" name="Picture 42" descr="http://images.flatworldknowledge.com/shafer/shafer-fig02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mages.flatworldknowledge.com/shafer/shafer-fig02_009.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48350" cy="4419600"/>
                    </a:xfrm>
                    <a:prstGeom prst="rect">
                      <a:avLst/>
                    </a:prstGeom>
                    <a:noFill/>
                    <a:ln>
                      <a:noFill/>
                    </a:ln>
                  </pic:spPr>
                </pic:pic>
              </a:graphicData>
            </a:graphic>
          </wp:inline>
        </w:drawing>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 xml:space="preserve">For any data set there is always exactly one mean and exactly one median. This need not be true of the mode; several different values could occur with the highest frequency, as we will see. It could even happen </w:t>
      </w:r>
      <w:r>
        <w:rPr>
          <w:rFonts w:ascii="Georgia" w:hAnsi="Georgia"/>
          <w:color w:val="333333"/>
          <w:sz w:val="20"/>
          <w:szCs w:val="20"/>
          <w:shd w:val="clear" w:color="auto" w:fill="FFFFFF"/>
        </w:rPr>
        <w:lastRenderedPageBreak/>
        <w:t>that every value occurs with the same frequency, in which case the concept of the mode does not make much sense.</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0"/>
          <w:szCs w:val="20"/>
          <w:shd w:val="clear" w:color="auto" w:fill="FFFFFF"/>
        </w:rPr>
      </w:pP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8</w:t>
      </w:r>
    </w:p>
    <w:p w:rsidR="00AD77BB" w:rsidRDefault="00B45BA0">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Find the mode of the following data set.</w:t>
      </w:r>
    </w:p>
    <w:p w:rsidR="00AD77BB" w:rsidRDefault="00B45BA0">
      <w:pPr>
        <w:shd w:val="clear" w:color="auto" w:fill="E3EFF7"/>
        <w:spacing w:line="270" w:lineRule="atLeast"/>
        <w:jc w:val="center"/>
        <w:textAlignment w:val="baseline"/>
        <w:rPr>
          <w:rStyle w:val="mn"/>
          <w:rFonts w:ascii="MathJax_Main" w:hAnsi="MathJax_Main"/>
          <w:b/>
          <w:color w:val="555555"/>
          <w:sz w:val="19"/>
          <w:szCs w:val="19"/>
        </w:rPr>
      </w:pPr>
      <w:r>
        <w:rPr>
          <w:rStyle w:val="mtext"/>
          <w:rFonts w:ascii="MathJax_Main" w:hAnsi="MathJax_Main"/>
          <w:b/>
          <w:color w:val="555555"/>
          <w:sz w:val="19"/>
          <w:szCs w:val="19"/>
        </w:rPr>
        <w:t>−</w:t>
      </w:r>
      <w:r>
        <w:rPr>
          <w:rStyle w:val="mn"/>
          <w:rFonts w:ascii="MathJax_Main" w:hAnsi="MathJax_Main"/>
          <w:b/>
          <w:color w:val="555555"/>
          <w:sz w:val="19"/>
          <w:szCs w:val="19"/>
        </w:rPr>
        <w:t>1</w:t>
      </w:r>
      <w:r>
        <w:rPr>
          <w:rStyle w:val="mtext"/>
          <w:rFonts w:ascii="MathJax_Main" w:hAnsi="MathJax_Main"/>
          <w:b/>
          <w:color w:val="555555"/>
          <w:sz w:val="19"/>
          <w:szCs w:val="19"/>
        </w:rPr>
        <w:t> </w:t>
      </w:r>
      <w:r>
        <w:rPr>
          <w:rStyle w:val="mn"/>
          <w:rFonts w:ascii="MathJax_Main" w:hAnsi="MathJax_Main"/>
          <w:b/>
          <w:color w:val="555555"/>
          <w:sz w:val="19"/>
          <w:szCs w:val="19"/>
        </w:rPr>
        <w:t>0</w:t>
      </w:r>
      <w:r>
        <w:rPr>
          <w:rStyle w:val="mtext"/>
          <w:rFonts w:ascii="MathJax_Main" w:hAnsi="MathJax_Main"/>
          <w:b/>
          <w:color w:val="555555"/>
          <w:sz w:val="19"/>
          <w:szCs w:val="19"/>
        </w:rPr>
        <w:t> </w:t>
      </w:r>
      <w:r>
        <w:rPr>
          <w:rStyle w:val="mn"/>
          <w:rFonts w:ascii="MathJax_Main" w:hAnsi="MathJax_Main"/>
          <w:b/>
          <w:color w:val="555555"/>
          <w:sz w:val="19"/>
          <w:szCs w:val="19"/>
        </w:rPr>
        <w:t>2</w:t>
      </w:r>
      <w:r>
        <w:rPr>
          <w:rStyle w:val="mtext"/>
          <w:rFonts w:ascii="MathJax_Main" w:hAnsi="MathJax_Main"/>
          <w:b/>
          <w:color w:val="555555"/>
          <w:sz w:val="19"/>
          <w:szCs w:val="19"/>
        </w:rPr>
        <w:t> </w:t>
      </w:r>
      <w:r>
        <w:rPr>
          <w:rStyle w:val="mn"/>
          <w:rFonts w:ascii="MathJax_Main" w:hAnsi="MathJax_Main"/>
          <w:b/>
          <w:color w:val="555555"/>
          <w:sz w:val="19"/>
          <w:szCs w:val="19"/>
        </w:rPr>
        <w:t>0</w:t>
      </w:r>
    </w:p>
    <w:p w:rsidR="00AD77BB" w:rsidRDefault="00B45BA0">
      <w:pPr>
        <w:shd w:val="clear" w:color="auto" w:fill="E3EFF7"/>
        <w:spacing w:line="270" w:lineRule="atLeast"/>
        <w:textAlignment w:val="baseline"/>
        <w:rPr>
          <w:rFonts w:ascii="Calibri" w:hAnsi="Calibri"/>
          <w:color w:val="333333"/>
          <w:sz w:val="20"/>
          <w:szCs w:val="20"/>
        </w:rPr>
      </w:pPr>
      <w:r>
        <w:rPr>
          <w:rFonts w:ascii="Calibri" w:hAnsi="Calibri"/>
          <w:color w:val="333333"/>
          <w:sz w:val="20"/>
          <w:szCs w:val="20"/>
        </w:rPr>
        <w:t>Solution:</w:t>
      </w:r>
    </w:p>
    <w:p w:rsidR="00AD77BB" w:rsidRDefault="00B45BA0">
      <w:pPr>
        <w:shd w:val="clear" w:color="auto" w:fill="E3EFF7"/>
        <w:spacing w:line="270" w:lineRule="atLeast"/>
        <w:textAlignment w:val="baseline"/>
        <w:rPr>
          <w:rFonts w:ascii="MathJax_Main" w:hAnsi="MathJax_Main"/>
          <w:color w:val="555555"/>
          <w:sz w:val="19"/>
          <w:szCs w:val="19"/>
        </w:rPr>
      </w:pPr>
      <w:r>
        <w:rPr>
          <w:rFonts w:ascii="Calibri" w:hAnsi="Calibri"/>
          <w:color w:val="333333"/>
          <w:sz w:val="20"/>
          <w:szCs w:val="20"/>
        </w:rPr>
        <w:t>The value 0 is most frequently observed and therefore the mode is 0.</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9</w:t>
      </w:r>
    </w:p>
    <w:p w:rsidR="00AD77BB" w:rsidRDefault="00B45BA0">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Compute the sample mode for the data of</w:t>
      </w:r>
      <w:r>
        <w:rPr>
          <w:rStyle w:val="apple-converted-space"/>
          <w:rFonts w:ascii="Calibri" w:hAnsi="Calibri"/>
          <w:color w:val="333333"/>
          <w:sz w:val="20"/>
          <w:szCs w:val="20"/>
        </w:rPr>
        <w:t> </w:t>
      </w:r>
      <w:r>
        <w:rPr>
          <w:rFonts w:ascii="Calibri" w:hAnsi="Calibri"/>
          <w:color w:val="333333"/>
          <w:sz w:val="20"/>
          <w:szCs w:val="20"/>
        </w:rPr>
        <w:t>.</w:t>
      </w:r>
    </w:p>
    <w:p w:rsidR="00AD77BB" w:rsidRDefault="00B45BA0">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Solution:</w:t>
      </w:r>
    </w:p>
    <w:p w:rsidR="00AD77BB" w:rsidRDefault="00B45BA0">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The two most frequently observed values in the data set are 1 and 2. Therefore mode is a set of two values: {1,2}.</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0"/>
          <w:szCs w:val="20"/>
          <w:shd w:val="clear" w:color="auto" w:fill="FFFFFF"/>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The mode is a measure of central location since most real-life data sets have moreobservations near the center of the data range and fewer observations on the lower and upper ends. The value with the highest frequency is often in the middle of the data range.</w:t>
      </w:r>
    </w:p>
    <w:p w:rsidR="00AD77BB" w:rsidRDefault="00AD77BB">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rsidR="00AD77BB" w:rsidRDefault="00B45BA0">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AD77BB" w:rsidRDefault="00B45BA0">
      <w:pPr>
        <w:pStyle w:val="para"/>
        <w:shd w:val="clear" w:color="auto" w:fill="ECF9EA"/>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The mean, the median, and the mode each answer the question “Where is the center of the data set?” The nature of the data set, as indicated by a relative frequency histogram, determines which one gives the best answer.</w:t>
      </w:r>
    </w:p>
    <w:p w:rsidR="00AD77BB" w:rsidRDefault="00B45BA0">
      <w:pPr>
        <w:pStyle w:val="para"/>
        <w:shd w:val="clear" w:color="auto" w:fill="ECF9EA"/>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extent cx="5934075" cy="6019800"/>
            <wp:effectExtent l="0" t="0" r="9525" b="0"/>
            <wp:docPr id="2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4075" cy="6019800"/>
                    </a:xfrm>
                    <a:prstGeom prst="rect">
                      <a:avLst/>
                    </a:prstGeom>
                    <a:noFill/>
                    <a:ln>
                      <a:noFill/>
                    </a:ln>
                  </pic:spPr>
                </pic:pic>
              </a:graphicData>
            </a:graphic>
          </wp:inline>
        </w:drawing>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spacing w:line="360" w:lineRule="auto"/>
        <w:rPr>
          <w:rFonts w:ascii="Georgia" w:eastAsia="Times New Roman" w:hAnsi="Georgia" w:cs="Calibri"/>
          <w:b/>
          <w:color w:val="333333"/>
          <w:sz w:val="16"/>
          <w:szCs w:val="16"/>
        </w:rPr>
      </w:pPr>
      <w:r>
        <w:rPr>
          <w:rFonts w:ascii="Georgia" w:eastAsia="Times New Roman" w:hAnsi="Georgia" w:cs="Calibri"/>
          <w:b/>
          <w:noProof/>
          <w:color w:val="333333"/>
          <w:sz w:val="16"/>
          <w:szCs w:val="16"/>
        </w:rPr>
        <w:lastRenderedPageBreak/>
        <w:drawing>
          <wp:inline distT="0" distB="0" distL="0" distR="0">
            <wp:extent cx="6200775" cy="6419850"/>
            <wp:effectExtent l="0" t="0" r="9525" b="0"/>
            <wp:docPr id="2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00775" cy="6419850"/>
                    </a:xfrm>
                    <a:prstGeom prst="rect">
                      <a:avLst/>
                    </a:prstGeom>
                    <a:noFill/>
                    <a:ln>
                      <a:noFill/>
                    </a:ln>
                  </pic:spPr>
                </pic:pic>
              </a:graphicData>
            </a:graphic>
          </wp:inline>
        </w:drawing>
      </w:r>
    </w:p>
    <w:p w:rsidR="00AD77BB" w:rsidRDefault="00B45BA0">
      <w:pPr>
        <w:spacing w:line="360" w:lineRule="auto"/>
        <w:rPr>
          <w:rFonts w:ascii="Georgia" w:eastAsia="Times New Roman" w:hAnsi="Georgia" w:cs="Calibri"/>
          <w:b/>
          <w:color w:val="333333"/>
          <w:sz w:val="16"/>
          <w:szCs w:val="16"/>
        </w:rPr>
      </w:pPr>
      <w:r>
        <w:rPr>
          <w:rFonts w:ascii="Georgia" w:eastAsia="Times New Roman" w:hAnsi="Georgia" w:cs="Calibri"/>
          <w:b/>
          <w:noProof/>
          <w:color w:val="333333"/>
          <w:sz w:val="16"/>
          <w:szCs w:val="16"/>
        </w:rPr>
        <w:lastRenderedPageBreak/>
        <w:drawing>
          <wp:inline distT="0" distB="0" distL="0" distR="0">
            <wp:extent cx="6086475" cy="6505575"/>
            <wp:effectExtent l="0" t="0" r="9525" b="9525"/>
            <wp:docPr id="2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6475" cy="6505575"/>
                    </a:xfrm>
                    <a:prstGeom prst="rect">
                      <a:avLst/>
                    </a:prstGeom>
                    <a:noFill/>
                    <a:ln>
                      <a:noFill/>
                    </a:ln>
                  </pic:spPr>
                </pic:pic>
              </a:graphicData>
            </a:graphic>
          </wp:inline>
        </w:drawing>
      </w:r>
    </w:p>
    <w:p w:rsidR="00AD77BB" w:rsidRDefault="00B45BA0">
      <w:pPr>
        <w:spacing w:line="360" w:lineRule="auto"/>
        <w:rPr>
          <w:rFonts w:ascii="Georgia" w:eastAsia="Times New Roman" w:hAnsi="Georgia" w:cs="Calibri"/>
          <w:b/>
          <w:color w:val="333333"/>
          <w:sz w:val="16"/>
          <w:szCs w:val="16"/>
        </w:rPr>
      </w:pPr>
      <w:r>
        <w:rPr>
          <w:rFonts w:ascii="Georgia" w:eastAsia="Times New Roman" w:hAnsi="Georgia" w:cs="Calibri"/>
          <w:b/>
          <w:noProof/>
          <w:color w:val="333333"/>
          <w:sz w:val="16"/>
          <w:szCs w:val="16"/>
        </w:rPr>
        <w:lastRenderedPageBreak/>
        <w:drawing>
          <wp:inline distT="0" distB="0" distL="0" distR="0">
            <wp:extent cx="6124575" cy="6962775"/>
            <wp:effectExtent l="0" t="0" r="9525" b="9525"/>
            <wp:docPr id="2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4575" cy="6962775"/>
                    </a:xfrm>
                    <a:prstGeom prst="rect">
                      <a:avLst/>
                    </a:prstGeom>
                    <a:noFill/>
                    <a:ln>
                      <a:noFill/>
                    </a:ln>
                  </pic:spPr>
                </pic:pic>
              </a:graphicData>
            </a:graphic>
          </wp:inline>
        </w:drawing>
      </w:r>
    </w:p>
    <w:p w:rsidR="00AD77BB" w:rsidRDefault="00B45BA0">
      <w:pPr>
        <w:spacing w:line="360" w:lineRule="auto"/>
        <w:rPr>
          <w:rFonts w:ascii="Georgia" w:eastAsia="Times New Roman" w:hAnsi="Georgia" w:cs="Calibri"/>
          <w:b/>
          <w:color w:val="333333"/>
          <w:sz w:val="16"/>
          <w:szCs w:val="16"/>
        </w:rPr>
      </w:pPr>
      <w:r>
        <w:rPr>
          <w:rFonts w:ascii="Georgia" w:eastAsia="Times New Roman" w:hAnsi="Georgia" w:cs="Calibri"/>
          <w:b/>
          <w:noProof/>
          <w:color w:val="333333"/>
          <w:sz w:val="16"/>
          <w:szCs w:val="16"/>
        </w:rPr>
        <w:lastRenderedPageBreak/>
        <w:drawing>
          <wp:inline distT="0" distB="0" distL="0" distR="0">
            <wp:extent cx="6229350" cy="8058150"/>
            <wp:effectExtent l="0" t="0" r="0" b="0"/>
            <wp:docPr id="3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29350" cy="8058150"/>
                    </a:xfrm>
                    <a:prstGeom prst="rect">
                      <a:avLst/>
                    </a:prstGeom>
                    <a:noFill/>
                    <a:ln>
                      <a:noFill/>
                    </a:ln>
                  </pic:spPr>
                </pic:pic>
              </a:graphicData>
            </a:graphic>
          </wp:inline>
        </w:drawing>
      </w:r>
    </w:p>
    <w:p w:rsidR="00AD77BB" w:rsidRDefault="00B45BA0">
      <w:pPr>
        <w:spacing w:line="360" w:lineRule="auto"/>
        <w:rPr>
          <w:rFonts w:ascii="Georgia" w:eastAsia="Times New Roman" w:hAnsi="Georgia" w:cs="Calibri"/>
          <w:b/>
          <w:color w:val="333333"/>
          <w:sz w:val="16"/>
          <w:szCs w:val="16"/>
        </w:rPr>
      </w:pPr>
      <w:r>
        <w:rPr>
          <w:rFonts w:ascii="Georgia" w:eastAsia="Times New Roman" w:hAnsi="Georgia" w:cs="Calibri"/>
          <w:b/>
          <w:noProof/>
          <w:color w:val="333333"/>
          <w:sz w:val="16"/>
          <w:szCs w:val="16"/>
        </w:rPr>
        <w:lastRenderedPageBreak/>
        <w:drawing>
          <wp:inline distT="0" distB="0" distL="0" distR="0">
            <wp:extent cx="6257925" cy="7629525"/>
            <wp:effectExtent l="0" t="0" r="9525" b="9525"/>
            <wp:docPr id="3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57925" cy="7629525"/>
                    </a:xfrm>
                    <a:prstGeom prst="rect">
                      <a:avLst/>
                    </a:prstGeom>
                    <a:noFill/>
                    <a:ln>
                      <a:noFill/>
                    </a:ln>
                  </pic:spPr>
                </pic:pic>
              </a:graphicData>
            </a:graphic>
          </wp:inline>
        </w:drawing>
      </w:r>
    </w:p>
    <w:p w:rsidR="00AD77BB" w:rsidRDefault="00AD77BB">
      <w:pPr>
        <w:spacing w:line="360" w:lineRule="auto"/>
        <w:rPr>
          <w:rFonts w:ascii="Georgia" w:eastAsia="Times New Roman" w:hAnsi="Georgia" w:cs="Calibri"/>
          <w:b/>
          <w:color w:val="333333"/>
          <w:sz w:val="16"/>
          <w:szCs w:val="16"/>
        </w:rPr>
      </w:pP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rPr>
      </w:pPr>
      <w:r>
        <w:rPr>
          <w:rFonts w:ascii="Calibri" w:eastAsia="Times New Roman" w:hAnsi="Calibri" w:cs="Times New Roman"/>
          <w:b/>
          <w:bCs/>
          <w:caps/>
          <w:color w:val="FFFFFF"/>
          <w:spacing w:val="30"/>
        </w:rPr>
        <w:lastRenderedPageBreak/>
        <w:t>LARGE DATA SET EXERCISES</w:t>
      </w:r>
    </w:p>
    <w:p w:rsidR="00AD77BB" w:rsidRDefault="00B45BA0">
      <w:pPr>
        <w:numPr>
          <w:ilvl w:val="0"/>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Large Data Set 1 lists the SAT scores and GPAs of 1,000 students.</w:t>
      </w:r>
    </w:p>
    <w:p w:rsidR="00AD77BB" w:rsidRDefault="00B45BA0">
      <w:p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t>
      </w:r>
      <w:bookmarkStart w:id="0" w:name="_GoBack"/>
      <w:bookmarkEnd w:id="0"/>
      <w:r>
        <w:rPr>
          <w:rFonts w:ascii="Calibri" w:eastAsia="Times New Roman" w:hAnsi="Calibri" w:cs="Times New Roman"/>
          <w:color w:val="2689C6"/>
          <w:sz w:val="20"/>
          <w:szCs w:val="20"/>
        </w:rPr>
        <w:t>w.1.xls</w:t>
      </w:r>
    </w:p>
    <w:p w:rsidR="00AD77BB" w:rsidRDefault="00B45BA0">
      <w:pPr>
        <w:numPr>
          <w:ilvl w:val="1"/>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mean and median of the 1,000 SAT scores.</w:t>
      </w:r>
    </w:p>
    <w:p w:rsidR="00AD77BB" w:rsidRDefault="00B45BA0">
      <w:pPr>
        <w:numPr>
          <w:ilvl w:val="1"/>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mean and median of the 1,000 GPAs.</w:t>
      </w:r>
    </w:p>
    <w:p w:rsidR="00AD77BB" w:rsidRDefault="00B45BA0">
      <w:pPr>
        <w:numPr>
          <w:ilvl w:val="0"/>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Large Data Set 1 lists the SAT scores of 1,000 students.</w:t>
      </w:r>
    </w:p>
    <w:p w:rsidR="00AD77BB" w:rsidRDefault="00B45BA0">
      <w:p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http://www.1.xls</w:t>
      </w:r>
    </w:p>
    <w:p w:rsidR="00AD77BB" w:rsidRDefault="00B45BA0">
      <w:pPr>
        <w:numPr>
          <w:ilvl w:val="1"/>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Regard the data as arising from a census of all students at a high school, in which the SAT score of every student was measured. Compute the population mean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w:t>
      </w:r>
    </w:p>
    <w:p w:rsidR="00AD77BB" w:rsidRDefault="00B45BA0">
      <w:pPr>
        <w:numPr>
          <w:ilvl w:val="1"/>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Regard the first 25 observations as a random sample drawn from this population. Compute the sample mean </w:t>
      </w:r>
      <w:r>
        <w:rPr>
          <w:rFonts w:ascii="MathJax_Math" w:eastAsia="Times New Roman" w:hAnsi="MathJax_Math" w:cs="Times New Roman"/>
          <w:i/>
          <w:iCs/>
          <w:color w:val="333333"/>
          <w:sz w:val="15"/>
          <w:szCs w:val="15"/>
        </w:rPr>
        <w:t>x</w:t>
      </w:r>
      <w:r>
        <w:rPr>
          <w:rStyle w:val="ft"/>
          <w:rFonts w:ascii="Georgia" w:hAnsi="Georgia" w:cs="Arial"/>
          <w:color w:val="222222"/>
          <w:sz w:val="20"/>
          <w:szCs w:val="20"/>
        </w:rPr>
        <w:t>^</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and compare it to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w:t>
      </w:r>
    </w:p>
    <w:p w:rsidR="00AD77BB" w:rsidRDefault="00B45BA0">
      <w:pPr>
        <w:numPr>
          <w:ilvl w:val="1"/>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Regard the next 25 observations as a random sample drawn from this population. Compute the sample mean </w:t>
      </w:r>
      <w:r>
        <w:rPr>
          <w:rFonts w:ascii="MathJax_Math" w:eastAsia="Times New Roman" w:hAnsi="MathJax_Math" w:cs="Times New Roman"/>
          <w:i/>
          <w:iCs/>
          <w:color w:val="333333"/>
          <w:sz w:val="15"/>
          <w:szCs w:val="15"/>
        </w:rPr>
        <w:t>x</w:t>
      </w:r>
      <w:r>
        <w:rPr>
          <w:rStyle w:val="ft"/>
          <w:rFonts w:ascii="Georgia" w:hAnsi="Georgia" w:cs="Arial"/>
          <w:color w:val="222222"/>
          <w:sz w:val="20"/>
          <w:szCs w:val="20"/>
        </w:rPr>
        <w:t>^</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and compare it to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w:t>
      </w:r>
    </w:p>
    <w:p w:rsidR="00AD77BB" w:rsidRDefault="00B45BA0">
      <w:pPr>
        <w:numPr>
          <w:ilvl w:val="0"/>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Large Data Set 1 lists the GPAs of 1,000 students.</w:t>
      </w:r>
    </w:p>
    <w:p w:rsidR="00AD77BB" w:rsidRDefault="00B45BA0">
      <w:p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http://www.1.xls</w:t>
      </w:r>
    </w:p>
    <w:p w:rsidR="00AD77BB" w:rsidRDefault="00B45BA0">
      <w:pPr>
        <w:numPr>
          <w:ilvl w:val="1"/>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Regard the data as arising from a census of all freshman at a small college at the end of their first academic year of college study, in which the GPA of every such person was measured. Compute the population mean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w:t>
      </w:r>
    </w:p>
    <w:p w:rsidR="00AD77BB" w:rsidRDefault="00B45BA0">
      <w:pPr>
        <w:numPr>
          <w:ilvl w:val="1"/>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Regard the first 25 observations as a random sample drawn from this population. Compute the sample mean </w:t>
      </w:r>
      <w:r>
        <w:rPr>
          <w:rFonts w:ascii="MathJax_Math" w:eastAsia="Times New Roman" w:hAnsi="MathJax_Math" w:cs="Times New Roman"/>
          <w:i/>
          <w:iCs/>
          <w:color w:val="333333"/>
          <w:sz w:val="15"/>
          <w:szCs w:val="15"/>
        </w:rPr>
        <w:t>x</w:t>
      </w:r>
      <w:r>
        <w:rPr>
          <w:rStyle w:val="ft"/>
          <w:rFonts w:ascii="Georgia" w:hAnsi="Georgia" w:cs="Arial"/>
          <w:color w:val="222222"/>
          <w:sz w:val="20"/>
          <w:szCs w:val="20"/>
        </w:rPr>
        <w:t>^</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and compare it to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w:t>
      </w:r>
    </w:p>
    <w:p w:rsidR="00AD77BB" w:rsidRDefault="00B45BA0">
      <w:pPr>
        <w:numPr>
          <w:ilvl w:val="1"/>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Regard the next 25 observations as a random sample drawn from this population. Compute the sample mean </w:t>
      </w:r>
      <w:r>
        <w:rPr>
          <w:rFonts w:ascii="MathJax_Math" w:eastAsia="Times New Roman" w:hAnsi="MathJax_Math" w:cs="Times New Roman"/>
          <w:i/>
          <w:iCs/>
          <w:color w:val="333333"/>
          <w:sz w:val="15"/>
          <w:szCs w:val="15"/>
        </w:rPr>
        <w:t>x</w:t>
      </w:r>
      <w:r>
        <w:rPr>
          <w:rStyle w:val="ft"/>
          <w:rFonts w:ascii="Georgia" w:hAnsi="Georgia" w:cs="Arial"/>
          <w:color w:val="222222"/>
          <w:sz w:val="20"/>
          <w:szCs w:val="20"/>
        </w:rPr>
        <w:t>^</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and compare it to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w:t>
      </w:r>
    </w:p>
    <w:p w:rsidR="00AD77BB" w:rsidRDefault="00B45BA0">
      <w:pPr>
        <w:numPr>
          <w:ilvl w:val="0"/>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Large Data Sets 7, 7A, and 7B list the survival times in days of 140 laboratory mice with thymic leukemia from onset to death.</w:t>
      </w:r>
    </w:p>
    <w:p w:rsidR="00AD77BB" w:rsidRDefault="00B45BA0">
      <w:p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http://www.7.xls</w:t>
      </w:r>
    </w:p>
    <w:p w:rsidR="00AD77BB" w:rsidRDefault="00B45BA0">
      <w:p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http://www.7A.xls</w:t>
      </w:r>
    </w:p>
    <w:p w:rsidR="00AD77BB" w:rsidRDefault="00B45BA0">
      <w:p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http://www.7B.xls</w:t>
      </w:r>
    </w:p>
    <w:p w:rsidR="00AD77BB" w:rsidRDefault="00B45BA0">
      <w:pPr>
        <w:numPr>
          <w:ilvl w:val="1"/>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mean and median survival time for all mice, without regard to gender.</w:t>
      </w:r>
    </w:p>
    <w:p w:rsidR="00AD77BB" w:rsidRDefault="00B45BA0">
      <w:pPr>
        <w:numPr>
          <w:ilvl w:val="1"/>
          <w:numId w:val="26"/>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mean and median survival time for the 65 male mice (separately recorded in Large Data Set 7A).</w:t>
      </w:r>
    </w:p>
    <w:p w:rsidR="00AD77BB" w:rsidRDefault="00B45BA0">
      <w:pPr>
        <w:numPr>
          <w:ilvl w:val="1"/>
          <w:numId w:val="26"/>
        </w:numPr>
        <w:shd w:val="clear" w:color="auto" w:fill="E3EFF7"/>
        <w:spacing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mean and median survival time for the 75 female mice (separately recorded in Large Data Set 7B).</w:t>
      </w:r>
    </w:p>
    <w:p w:rsidR="00AD77BB" w:rsidRDefault="00B45BA0">
      <w:pPr>
        <w:shd w:val="clear" w:color="auto" w:fill="E3EFF7"/>
        <w:spacing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95C542E" wp14:editId="46164AF1">
            <wp:extent cx="5734050" cy="6505575"/>
            <wp:effectExtent l="0" t="0" r="0" b="9525"/>
            <wp:docPr id="3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4050" cy="6505575"/>
                    </a:xfrm>
                    <a:prstGeom prst="rect">
                      <a:avLst/>
                    </a:prstGeom>
                    <a:noFill/>
                    <a:ln>
                      <a:noFill/>
                    </a:ln>
                  </pic:spPr>
                </pic:pic>
              </a:graphicData>
            </a:graphic>
          </wp:inline>
        </w:drawing>
      </w:r>
    </w:p>
    <w:p w:rsidR="00AD77BB" w:rsidRDefault="00B45BA0">
      <w:pPr>
        <w:shd w:val="clear" w:color="auto" w:fill="E3EFF7"/>
        <w:spacing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045DE69" wp14:editId="73723A55">
            <wp:extent cx="5791200" cy="4657725"/>
            <wp:effectExtent l="0" t="0" r="0" b="9525"/>
            <wp:docPr id="3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91200" cy="4657725"/>
                    </a:xfrm>
                    <a:prstGeom prst="rect">
                      <a:avLst/>
                    </a:prstGeom>
                    <a:noFill/>
                    <a:ln>
                      <a:noFill/>
                    </a:ln>
                  </pic:spPr>
                </pic:pic>
              </a:graphicData>
            </a:graphic>
          </wp:inline>
        </w:drawing>
      </w:r>
    </w:p>
    <w:p w:rsidR="00AD77BB" w:rsidRDefault="00B45B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2.3</w:t>
      </w:r>
      <w:r>
        <w:rPr>
          <w:rStyle w:val="apple-converted-space"/>
          <w:rFonts w:ascii="Calibri" w:hAnsi="Calibri"/>
          <w:color w:val="333333"/>
        </w:rPr>
        <w:t> </w:t>
      </w:r>
      <w:r>
        <w:rPr>
          <w:rFonts w:ascii="Calibri" w:hAnsi="Calibri"/>
          <w:color w:val="333333"/>
        </w:rPr>
        <w:t>Measures of Variability</w:t>
      </w:r>
    </w:p>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AD77BB" w:rsidRDefault="00B45BA0">
      <w:pPr>
        <w:numPr>
          <w:ilvl w:val="0"/>
          <w:numId w:val="27"/>
        </w:numPr>
        <w:shd w:val="clear" w:color="auto" w:fill="EAE9DC"/>
        <w:spacing w:after="0" w:line="360" w:lineRule="auto"/>
        <w:ind w:left="360" w:right="375"/>
        <w:textAlignment w:val="baseline"/>
        <w:rPr>
          <w:rFonts w:ascii="Calibri" w:hAnsi="Calibri"/>
          <w:color w:val="333333"/>
          <w:sz w:val="20"/>
          <w:szCs w:val="20"/>
        </w:rPr>
      </w:pPr>
      <w:r>
        <w:rPr>
          <w:rFonts w:ascii="Calibri" w:hAnsi="Calibri"/>
          <w:color w:val="333333"/>
          <w:sz w:val="20"/>
          <w:szCs w:val="20"/>
        </w:rPr>
        <w:t>To learn the concept of the variability of a data set.</w:t>
      </w:r>
    </w:p>
    <w:p w:rsidR="00AD77BB" w:rsidRDefault="00B45BA0">
      <w:pPr>
        <w:numPr>
          <w:ilvl w:val="0"/>
          <w:numId w:val="27"/>
        </w:numPr>
        <w:shd w:val="clear" w:color="auto" w:fill="EAE9DC"/>
        <w:spacing w:after="0" w:line="360" w:lineRule="auto"/>
        <w:ind w:left="360" w:right="375"/>
        <w:textAlignment w:val="baseline"/>
        <w:rPr>
          <w:rFonts w:ascii="Calibri" w:hAnsi="Calibri"/>
          <w:color w:val="333333"/>
          <w:sz w:val="20"/>
          <w:szCs w:val="20"/>
        </w:rPr>
      </w:pPr>
      <w:r>
        <w:rPr>
          <w:rFonts w:ascii="Calibri" w:hAnsi="Calibri"/>
          <w:color w:val="333333"/>
          <w:sz w:val="20"/>
          <w:szCs w:val="20"/>
        </w:rPr>
        <w:t>To learn how to compute three measures of the variability of a data set: the range, the variance, and the standard deviation.</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Look at the two data sets in</w:t>
      </w:r>
      <w:r>
        <w:rPr>
          <w:rStyle w:val="apple-converted-space"/>
          <w:rFonts w:ascii="Georgia" w:hAnsi="Georgia"/>
          <w:color w:val="333333"/>
          <w:sz w:val="21"/>
          <w:szCs w:val="21"/>
        </w:rPr>
        <w:t> </w:t>
      </w:r>
      <w:r>
        <w:rPr>
          <w:rFonts w:ascii="Georgia" w:hAnsi="Georgia"/>
          <w:color w:val="2689C6"/>
          <w:sz w:val="21"/>
          <w:szCs w:val="21"/>
        </w:rPr>
        <w:t>Table 2.1 "Two Data Sets"</w:t>
      </w:r>
      <w:r>
        <w:rPr>
          <w:rStyle w:val="apple-converted-space"/>
          <w:rFonts w:ascii="Georgia" w:hAnsi="Georgia"/>
          <w:color w:val="333333"/>
          <w:sz w:val="21"/>
          <w:szCs w:val="21"/>
        </w:rPr>
        <w:t> </w:t>
      </w:r>
      <w:r>
        <w:rPr>
          <w:rFonts w:ascii="Georgia" w:hAnsi="Georgia"/>
          <w:color w:val="333333"/>
          <w:sz w:val="21"/>
          <w:szCs w:val="21"/>
        </w:rPr>
        <w:t>and the graphical representation of each, called a</w:t>
      </w:r>
      <w:r>
        <w:rPr>
          <w:rStyle w:val="apple-converted-space"/>
          <w:rFonts w:ascii="Georgia" w:hAnsi="Georgia"/>
          <w:color w:val="333333"/>
          <w:sz w:val="21"/>
          <w:szCs w:val="21"/>
        </w:rPr>
        <w:t> </w:t>
      </w:r>
      <w:r>
        <w:rPr>
          <w:rStyle w:val="Emphasis"/>
          <w:rFonts w:ascii="Georgia" w:hAnsi="Georgia"/>
          <w:color w:val="333333"/>
          <w:sz w:val="20"/>
          <w:szCs w:val="20"/>
        </w:rPr>
        <w:t>dot plot</w:t>
      </w:r>
      <w:r>
        <w:rPr>
          <w:rFonts w:ascii="Georgia" w:hAnsi="Georgia"/>
          <w:color w:val="333333"/>
          <w:sz w:val="21"/>
          <w:szCs w:val="21"/>
        </w:rPr>
        <w:t>, in</w:t>
      </w:r>
      <w:r>
        <w:rPr>
          <w:rStyle w:val="apple-converted-space"/>
          <w:rFonts w:ascii="Georgia" w:hAnsi="Georgia"/>
          <w:color w:val="333333"/>
          <w:sz w:val="21"/>
          <w:szCs w:val="21"/>
        </w:rPr>
        <w:t> </w:t>
      </w:r>
      <w:r>
        <w:rPr>
          <w:rFonts w:ascii="Georgia" w:hAnsi="Georgia"/>
          <w:color w:val="2689C6"/>
          <w:sz w:val="21"/>
          <w:szCs w:val="21"/>
        </w:rPr>
        <w:t>Figure 2.10 "Dot Plots of Data Sets"</w:t>
      </w:r>
      <w:r>
        <w:rPr>
          <w:rFonts w:ascii="Georgia" w:hAnsi="Georgia"/>
          <w:color w:val="333333"/>
          <w:sz w:val="21"/>
          <w:szCs w:val="21"/>
        </w:rPr>
        <w:t>.</w:t>
      </w:r>
    </w:p>
    <w:p w:rsidR="00AD77BB" w:rsidRDefault="00AD77BB">
      <w:pPr>
        <w:pStyle w:val="Title2"/>
        <w:shd w:val="clear" w:color="auto" w:fill="FFFFFF"/>
        <w:spacing w:before="0" w:beforeAutospacing="0" w:after="0" w:afterAutospacing="0" w:line="439" w:lineRule="atLeast"/>
        <w:textAlignment w:val="baseline"/>
        <w:rPr>
          <w:rStyle w:val="title-prefix"/>
          <w:sz w:val="20"/>
          <w:szCs w:val="20"/>
        </w:rPr>
      </w:pPr>
    </w:p>
    <w:p w:rsidR="00AD77BB" w:rsidRDefault="00B45BA0">
      <w:pPr>
        <w:pStyle w:val="Title2"/>
        <w:shd w:val="clear" w:color="auto" w:fill="FFFFFF"/>
        <w:spacing w:before="0" w:beforeAutospacing="0" w:after="0" w:afterAutospacing="0" w:line="439" w:lineRule="atLeast"/>
        <w:textAlignment w:val="baseline"/>
      </w:pPr>
      <w:r>
        <w:rPr>
          <w:rStyle w:val="title-prefix"/>
          <w:rFonts w:ascii="Georgia" w:hAnsi="Georgia"/>
          <w:color w:val="333333"/>
          <w:sz w:val="20"/>
          <w:szCs w:val="20"/>
        </w:rPr>
        <w:t>Table 2.1</w:t>
      </w:r>
      <w:r>
        <w:rPr>
          <w:rStyle w:val="apple-converted-space"/>
          <w:rFonts w:ascii="Georgia" w:hAnsi="Georgia"/>
          <w:color w:val="333333"/>
          <w:sz w:val="20"/>
          <w:szCs w:val="20"/>
        </w:rPr>
        <w:t> </w:t>
      </w:r>
      <w:r>
        <w:rPr>
          <w:rFonts w:ascii="Georgia" w:hAnsi="Georgia"/>
          <w:color w:val="333333"/>
          <w:sz w:val="20"/>
          <w:szCs w:val="20"/>
        </w:rPr>
        <w:t>Two Data Sets</w:t>
      </w:r>
    </w:p>
    <w:tbl>
      <w:tblPr>
        <w:tblW w:w="0" w:type="auto"/>
        <w:tblCellMar>
          <w:left w:w="0" w:type="dxa"/>
          <w:right w:w="0" w:type="dxa"/>
        </w:tblCellMar>
        <w:tblLook w:val="04A0" w:firstRow="1" w:lastRow="0" w:firstColumn="1" w:lastColumn="0" w:noHBand="0" w:noVBand="1"/>
      </w:tblPr>
      <w:tblGrid>
        <w:gridCol w:w="1080"/>
        <w:gridCol w:w="363"/>
        <w:gridCol w:w="363"/>
        <w:gridCol w:w="363"/>
        <w:gridCol w:w="363"/>
        <w:gridCol w:w="363"/>
        <w:gridCol w:w="363"/>
        <w:gridCol w:w="363"/>
        <w:gridCol w:w="363"/>
        <w:gridCol w:w="363"/>
        <w:gridCol w:w="363"/>
      </w:tblGrid>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Data Set 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40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Data Set II: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45</w:t>
            </w:r>
          </w:p>
        </w:tc>
      </w:tr>
    </w:tbl>
    <w:p w:rsidR="00AD77BB" w:rsidRDefault="00B45BA0">
      <w:pPr>
        <w:shd w:val="clear" w:color="auto" w:fill="FFFFFF"/>
        <w:spacing w:after="0" w:line="439" w:lineRule="atLeast"/>
        <w:textAlignment w:val="baseline"/>
        <w:rPr>
          <w:rFonts w:ascii="Georgia" w:eastAsia="Times New Roman" w:hAnsi="Georgia" w:cs="Times New Roman"/>
          <w:i/>
          <w:iCs/>
          <w:color w:val="BB9966"/>
        </w:rPr>
      </w:pPr>
      <w:r>
        <w:rPr>
          <w:rFonts w:ascii="Georgia" w:eastAsia="Times New Roman" w:hAnsi="Georgia" w:cs="Times New Roman"/>
          <w:i/>
          <w:iCs/>
          <w:color w:val="000000"/>
          <w:sz w:val="20"/>
          <w:szCs w:val="20"/>
        </w:rPr>
        <w:lastRenderedPageBreak/>
        <w:t>Figure 2.10</w:t>
      </w:r>
      <w:r>
        <w:rPr>
          <w:rFonts w:ascii="Georgia" w:eastAsia="Times New Roman" w:hAnsi="Georgia" w:cs="Times New Roman"/>
          <w:i/>
          <w:iCs/>
          <w:color w:val="BB9966"/>
        </w:rPr>
        <w:t> Dot Plots of Data Sets</w:t>
      </w:r>
    </w:p>
    <w:p w:rsidR="00AD77BB" w:rsidRDefault="00B45BA0">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14:anchorId="0034C711" wp14:editId="03C59825">
            <wp:extent cx="5953125" cy="2505075"/>
            <wp:effectExtent l="0" t="0" r="9525" b="9525"/>
            <wp:docPr id="34" name="Picture 51" descr="http://images.flatworldknowledge.com/shafer/shafer-fig02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images.flatworldknowledge.com/shafer/shafer-fig02_01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53125" cy="2505075"/>
                    </a:xfrm>
                    <a:prstGeom prst="rect">
                      <a:avLst/>
                    </a:prstGeom>
                    <a:noFill/>
                    <a:ln>
                      <a:noFill/>
                    </a:ln>
                  </pic:spPr>
                </pic:pic>
              </a:graphicData>
            </a:graphic>
          </wp:inline>
        </w:drawing>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two sets of ten measurements each center at the same value: they both have mean, median, and mode 40. Nevertheless a glance at the figure shows that they are markedly different. In Data Set I the measurements vary only slightly from the center, while for Data Set II the measurements vary greatly. Just as we have attached numbers to a data set to locate its center, we now wish to associate to each data set numbers that measure quantitatively how the data either scatter away from the center or cluster close to it. These new quantities are called measures of variability, and we will discuss three of them.</w:t>
      </w:r>
    </w:p>
    <w:p w:rsidR="00AD77BB" w:rsidRDefault="00B45BA0">
      <w:pPr>
        <w:shd w:val="clear" w:color="auto" w:fill="FFFFFF"/>
        <w:spacing w:after="0" w:line="360" w:lineRule="auto"/>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Range</w:t>
      </w:r>
    </w:p>
    <w:p w:rsidR="00AD77BB" w:rsidRDefault="00B45BA0">
      <w:pPr>
        <w:shd w:val="clear" w:color="auto" w:fill="FFFFFF"/>
        <w:spacing w:after="0" w:line="360" w:lineRule="auto"/>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first measure of variability that we discuss is the simplest.</w:t>
      </w:r>
    </w:p>
    <w:p w:rsidR="00AD77BB" w:rsidRDefault="00B45BA0">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Definition</w:t>
      </w:r>
    </w:p>
    <w:p w:rsidR="00AD77BB" w:rsidRDefault="00B45BA0">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The</w:t>
      </w:r>
      <w:r>
        <w:rPr>
          <w:rFonts w:ascii="Georgia" w:eastAsia="Times New Roman" w:hAnsi="Georgia" w:cs="Times New Roman"/>
          <w:color w:val="333333"/>
          <w:sz w:val="20"/>
          <w:szCs w:val="20"/>
        </w:rPr>
        <w:t> </w:t>
      </w:r>
      <w:r>
        <w:rPr>
          <w:rFonts w:ascii="Georgia" w:eastAsia="Times New Roman" w:hAnsi="Georgia" w:cs="Times New Roman"/>
          <w:b/>
          <w:color w:val="333333"/>
          <w:sz w:val="20"/>
          <w:szCs w:val="20"/>
        </w:rPr>
        <w:t>range</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of a data set is the number</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R</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defined by the formula</w:t>
      </w:r>
    </w:p>
    <w:p w:rsidR="00AD77BB" w:rsidRDefault="00B45BA0">
      <w:pPr>
        <w:shd w:val="clear" w:color="auto" w:fill="F4F4F4"/>
        <w:spacing w:line="270" w:lineRule="atLeast"/>
        <w:jc w:val="center"/>
        <w:textAlignment w:val="baseline"/>
        <w:rPr>
          <w:rFonts w:ascii="Calibri" w:eastAsia="Times New Roman" w:hAnsi="Calibri" w:cs="Times New Roman"/>
          <w:color w:val="555555"/>
          <w:sz w:val="23"/>
          <w:szCs w:val="23"/>
        </w:rPr>
      </w:pPr>
      <w:r>
        <w:rPr>
          <w:rFonts w:ascii="MathJax_Math" w:eastAsia="Times New Roman" w:hAnsi="MathJax_Math" w:cs="Times New Roman"/>
          <w:i/>
          <w:iCs/>
          <w:color w:val="555555"/>
          <w:sz w:val="18"/>
          <w:szCs w:val="18"/>
        </w:rPr>
        <w:t>R</w:t>
      </w:r>
      <w:r>
        <w:rPr>
          <w:rFonts w:ascii="MathJax_Main" w:eastAsia="Times New Roman" w:hAnsi="MathJax_Main" w:cs="Times New Roman"/>
          <w:color w:val="555555"/>
          <w:sz w:val="18"/>
          <w:szCs w:val="18"/>
        </w:rPr>
        <w:t>=</w:t>
      </w:r>
      <w:r>
        <w:rPr>
          <w:rFonts w:ascii="MathJax_Math" w:eastAsia="Times New Roman" w:hAnsi="MathJax_Math" w:cs="Times New Roman"/>
          <w:i/>
          <w:iCs/>
          <w:color w:val="555555"/>
          <w:sz w:val="18"/>
          <w:szCs w:val="18"/>
        </w:rPr>
        <w:t>x</w:t>
      </w:r>
      <w:r>
        <w:rPr>
          <w:rFonts w:ascii="MathJax_Main" w:eastAsia="Times New Roman" w:hAnsi="MathJax_Main" w:cs="Times New Roman"/>
          <w:color w:val="555555"/>
          <w:sz w:val="14"/>
          <w:szCs w:val="14"/>
        </w:rPr>
        <w:t>max</w:t>
      </w:r>
      <w:r>
        <w:rPr>
          <w:rFonts w:ascii="MathJax_Main" w:eastAsia="Times New Roman" w:hAnsi="MathJax_Main" w:cs="Times New Roman"/>
          <w:color w:val="555555"/>
          <w:sz w:val="18"/>
          <w:szCs w:val="18"/>
        </w:rPr>
        <w:t>−</w:t>
      </w:r>
      <w:r>
        <w:rPr>
          <w:rFonts w:ascii="MathJax_Math" w:eastAsia="Times New Roman" w:hAnsi="MathJax_Math" w:cs="Times New Roman"/>
          <w:i/>
          <w:iCs/>
          <w:color w:val="555555"/>
          <w:sz w:val="18"/>
          <w:szCs w:val="18"/>
        </w:rPr>
        <w:t>x</w:t>
      </w:r>
      <w:r>
        <w:rPr>
          <w:rFonts w:ascii="MathJax_Main" w:eastAsia="Times New Roman" w:hAnsi="MathJax_Main" w:cs="Times New Roman"/>
          <w:color w:val="555555"/>
          <w:sz w:val="14"/>
          <w:szCs w:val="14"/>
        </w:rPr>
        <w:t>min</w:t>
      </w:r>
    </w:p>
    <w:p w:rsidR="00AD77BB" w:rsidRDefault="00B45BA0">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where</w:t>
      </w:r>
      <w:r>
        <w:rPr>
          <w:rFonts w:ascii="Georgia" w:eastAsia="Times New Roman" w:hAnsi="Georgia" w:cs="Times New Roman"/>
          <w:color w:val="333333"/>
          <w:sz w:val="20"/>
          <w:szCs w:val="20"/>
        </w:rPr>
        <w:t> </w:t>
      </w:r>
      <w:r>
        <w:rPr>
          <w:rFonts w:ascii="MathJax_Math" w:eastAsia="Times New Roman" w:hAnsi="MathJax_Math" w:cs="Times New Roman"/>
          <w:i/>
          <w:iCs/>
          <w:color w:val="333333"/>
          <w:sz w:val="18"/>
          <w:szCs w:val="18"/>
        </w:rPr>
        <w:t>x</w:t>
      </w:r>
      <w:r>
        <w:rPr>
          <w:rFonts w:ascii="MathJax_Main" w:eastAsia="Times New Roman" w:hAnsi="MathJax_Main" w:cs="Times New Roman"/>
          <w:color w:val="333333"/>
          <w:sz w:val="14"/>
          <w:szCs w:val="14"/>
        </w:rPr>
        <w:t>max</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is the largest measurement in the data set and</w:t>
      </w:r>
      <w:r>
        <w:rPr>
          <w:rFonts w:ascii="Georgia" w:eastAsia="Times New Roman" w:hAnsi="Georgia" w:cs="Times New Roman"/>
          <w:color w:val="333333"/>
          <w:sz w:val="20"/>
          <w:szCs w:val="20"/>
        </w:rPr>
        <w:t> </w:t>
      </w:r>
      <w:r>
        <w:rPr>
          <w:rFonts w:ascii="MathJax_Math" w:eastAsia="Times New Roman" w:hAnsi="MathJax_Math" w:cs="Times New Roman"/>
          <w:i/>
          <w:iCs/>
          <w:color w:val="333333"/>
          <w:sz w:val="18"/>
          <w:szCs w:val="18"/>
        </w:rPr>
        <w:t>x</w:t>
      </w:r>
      <w:r>
        <w:rPr>
          <w:rFonts w:ascii="MathJax_Main" w:eastAsia="Times New Roman" w:hAnsi="MathJax_Main" w:cs="Times New Roman"/>
          <w:color w:val="333333"/>
          <w:sz w:val="14"/>
          <w:szCs w:val="14"/>
        </w:rPr>
        <w:t>min</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is the smallest.</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EXAMPLE 10</w:t>
      </w:r>
    </w:p>
    <w:p w:rsidR="00AD77BB" w:rsidRDefault="00B45BA0">
      <w:pPr>
        <w:shd w:val="clear" w:color="auto" w:fill="E3EFF7"/>
        <w:spacing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range of each data set in </w:t>
      </w:r>
      <w:r>
        <w:rPr>
          <w:rFonts w:ascii="Calibri" w:eastAsia="Times New Roman" w:hAnsi="Calibri" w:cs="Times New Roman"/>
          <w:color w:val="2689C6"/>
          <w:sz w:val="20"/>
          <w:szCs w:val="20"/>
        </w:rPr>
        <w:t>Table 2.1 "Two Data Sets"</w:t>
      </w:r>
      <w:r>
        <w:rPr>
          <w:rFonts w:ascii="Calibri" w:eastAsia="Times New Roman" w:hAnsi="Calibri" w:cs="Times New Roman"/>
          <w:color w:val="333333"/>
          <w:sz w:val="20"/>
          <w:szCs w:val="20"/>
        </w:rPr>
        <w:t>.</w:t>
      </w:r>
    </w:p>
    <w:p w:rsidR="00AD77BB" w:rsidRDefault="00B45BA0">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Solution:</w:t>
      </w:r>
    </w:p>
    <w:p w:rsidR="00AD77BB" w:rsidRDefault="00B45BA0">
      <w:pPr>
        <w:shd w:val="clear" w:color="auto" w:fill="E3EFF7"/>
        <w:spacing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 Data Set I the maximum is 43 and the minimum is 38, so the range is </w:t>
      </w:r>
      <w:r>
        <w:rPr>
          <w:rFonts w:ascii="MathJax_Math" w:eastAsia="Times New Roman" w:hAnsi="MathJax_Math" w:cs="Times New Roman"/>
          <w:i/>
          <w:iCs/>
          <w:color w:val="333333"/>
          <w:sz w:val="15"/>
          <w:szCs w:val="15"/>
        </w:rPr>
        <w:t>R</w:t>
      </w:r>
      <w:r>
        <w:rPr>
          <w:rFonts w:ascii="MathJax_Main" w:eastAsia="Times New Roman" w:hAnsi="MathJax_Main" w:cs="Times New Roman"/>
          <w:color w:val="333333"/>
          <w:sz w:val="15"/>
          <w:szCs w:val="15"/>
        </w:rPr>
        <w:t>=43−38=5.</w:t>
      </w:r>
    </w:p>
    <w:p w:rsidR="00AD77BB" w:rsidRDefault="00B45BA0">
      <w:p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 Data Set II the maximum is 47 and the minimum is 33, so the range is </w:t>
      </w:r>
      <w:r>
        <w:rPr>
          <w:rFonts w:ascii="MathJax_Math" w:eastAsia="Times New Roman" w:hAnsi="MathJax_Math" w:cs="Times New Roman"/>
          <w:i/>
          <w:iCs/>
          <w:color w:val="333333"/>
          <w:sz w:val="15"/>
          <w:szCs w:val="15"/>
        </w:rPr>
        <w:t>R</w:t>
      </w:r>
      <w:r>
        <w:rPr>
          <w:rFonts w:ascii="MathJax_Main" w:eastAsia="Times New Roman" w:hAnsi="MathJax_Main" w:cs="Times New Roman"/>
          <w:color w:val="333333"/>
          <w:sz w:val="15"/>
          <w:szCs w:val="15"/>
        </w:rPr>
        <w:t>=47−33=14.</w:t>
      </w:r>
    </w:p>
    <w:p w:rsidR="00AD77BB" w:rsidRDefault="00B45BA0">
      <w:pPr>
        <w:pStyle w:val="Heading2"/>
        <w:shd w:val="clear" w:color="auto" w:fill="FFFFFF"/>
        <w:spacing w:before="0" w:line="360" w:lineRule="auto"/>
        <w:textAlignment w:val="baseline"/>
        <w:rPr>
          <w:rFonts w:ascii="Calibri" w:eastAsia="Times New Roman" w:hAnsi="Calibri" w:cs="Times New Roman"/>
          <w:b w:val="0"/>
          <w:color w:val="333333"/>
          <w:sz w:val="29"/>
          <w:szCs w:val="29"/>
        </w:rPr>
      </w:pPr>
      <w:r>
        <w:rPr>
          <w:rFonts w:ascii="Georgia" w:eastAsia="Times New Roman" w:hAnsi="Georgia" w:cs="Times New Roman"/>
          <w:b w:val="0"/>
          <w:color w:val="333333"/>
          <w:sz w:val="21"/>
          <w:szCs w:val="21"/>
        </w:rPr>
        <w:lastRenderedPageBreak/>
        <w:t>The range is a measure of variability because it indicates the size of the interval over which the data points are distributed. A smaller range indicates less variability (less dispersion) among the data, whereas a larger range indicates the opposite.</w:t>
      </w:r>
      <w:r>
        <w:rPr>
          <w:rFonts w:ascii="Calibri" w:eastAsia="Times New Roman" w:hAnsi="Calibri" w:cs="Times New Roman"/>
          <w:b w:val="0"/>
          <w:color w:val="333333"/>
          <w:sz w:val="29"/>
          <w:szCs w:val="29"/>
        </w:rPr>
        <w:t xml:space="preserve"> </w:t>
      </w:r>
    </w:p>
    <w:p w:rsidR="00AD77BB" w:rsidRDefault="00AD77BB">
      <w:pPr>
        <w:spacing w:line="360" w:lineRule="auto"/>
      </w:pPr>
    </w:p>
    <w:p w:rsidR="00AD77BB" w:rsidRDefault="00B45BA0">
      <w:pPr>
        <w:pStyle w:val="Heading2"/>
        <w:shd w:val="clear" w:color="auto" w:fill="FFFFFF"/>
        <w:spacing w:before="0" w:line="360" w:lineRule="auto"/>
        <w:textAlignment w:val="baseline"/>
        <w:rPr>
          <w:rFonts w:ascii="Calibri" w:eastAsia="Times New Roman" w:hAnsi="Calibri" w:cs="Times New Roman"/>
          <w:color w:val="333333"/>
          <w:sz w:val="29"/>
          <w:szCs w:val="29"/>
        </w:rPr>
      </w:pPr>
      <w:r>
        <w:rPr>
          <w:rFonts w:ascii="Calibri" w:eastAsia="Times New Roman" w:hAnsi="Calibri" w:cs="Times New Roman"/>
          <w:color w:val="333333"/>
          <w:sz w:val="29"/>
          <w:szCs w:val="29"/>
        </w:rPr>
        <w:t>The Variance and the Standard Deviation</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other two measures of variability that we will consider are more elaborate and also depend on whether the data set is just a sample drawn from a much larger population or is the whole population itself (that is, a census).</w:t>
      </w:r>
    </w:p>
    <w:p w:rsidR="00AD77BB" w:rsidRDefault="00AD77BB">
      <w:pPr>
        <w:shd w:val="clear" w:color="auto" w:fill="FFFFFF"/>
        <w:spacing w:after="0" w:line="439" w:lineRule="atLeast"/>
        <w:textAlignment w:val="baseline"/>
        <w:rPr>
          <w:rFonts w:ascii="Georgia" w:eastAsia="Times New Roman" w:hAnsi="Georgia" w:cs="Times New Roman"/>
          <w:color w:val="333333"/>
          <w:sz w:val="21"/>
          <w:szCs w:val="21"/>
        </w:rPr>
      </w:pPr>
    </w:p>
    <w:p w:rsidR="00AD77BB" w:rsidRDefault="00B45BA0">
      <w:pPr>
        <w:shd w:val="clear" w:color="auto" w:fill="E3EFF7"/>
        <w:spacing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4E6A6310" wp14:editId="626737AF">
            <wp:extent cx="5638800" cy="3905250"/>
            <wp:effectExtent l="0" t="0" r="0" b="0"/>
            <wp:docPr id="3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38800" cy="3905250"/>
                    </a:xfrm>
                    <a:prstGeom prst="rect">
                      <a:avLst/>
                    </a:prstGeom>
                    <a:noFill/>
                    <a:ln>
                      <a:noFill/>
                    </a:ln>
                  </pic:spPr>
                </pic:pic>
              </a:graphicData>
            </a:graphic>
          </wp:inline>
        </w:drawing>
      </w:r>
    </w:p>
    <w:p w:rsidR="00AD77BB" w:rsidRDefault="00AD77BB">
      <w:pPr>
        <w:spacing w:line="360" w:lineRule="auto"/>
        <w:ind w:left="446"/>
        <w:textAlignment w:val="baseline"/>
        <w:rPr>
          <w:rFonts w:ascii="Georgia" w:hAnsi="Georgia"/>
          <w:color w:val="333333"/>
          <w:sz w:val="20"/>
          <w:szCs w:val="20"/>
          <w:shd w:val="clear" w:color="auto" w:fill="FFFFFF"/>
        </w:rPr>
      </w:pPr>
    </w:p>
    <w:p w:rsidR="00AD77BB" w:rsidRDefault="00B45BA0">
      <w:pPr>
        <w:spacing w:line="360" w:lineRule="auto"/>
        <w:ind w:left="446"/>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Although the first formula in each case looks less complicated than the second, the latter is easier to use in hand computations, and is called a</w:t>
      </w:r>
      <w:r>
        <w:rPr>
          <w:rStyle w:val="apple-converted-space"/>
          <w:rFonts w:ascii="Georgia" w:hAnsi="Georgia"/>
          <w:color w:val="333333"/>
          <w:sz w:val="20"/>
          <w:szCs w:val="20"/>
          <w:shd w:val="clear" w:color="auto" w:fill="FFFFFF"/>
        </w:rPr>
        <w:t> </w:t>
      </w:r>
      <w:r>
        <w:rPr>
          <w:rStyle w:val="Strong"/>
          <w:rFonts w:ascii="Georgia" w:hAnsi="Georgia"/>
          <w:color w:val="333333"/>
          <w:sz w:val="20"/>
          <w:szCs w:val="20"/>
          <w:shd w:val="clear" w:color="auto" w:fill="FFFFFF"/>
        </w:rPr>
        <w:t>shortcut formula</w:t>
      </w:r>
      <w:r>
        <w:rPr>
          <w:rFonts w:ascii="Georgia" w:hAnsi="Georgia"/>
          <w:color w:val="333333"/>
          <w:sz w:val="20"/>
          <w:szCs w:val="20"/>
          <w:shd w:val="clear" w:color="auto" w:fill="FFFFFF"/>
        </w:rPr>
        <w:t>.</w:t>
      </w:r>
    </w:p>
    <w:p w:rsidR="00AD77BB" w:rsidRDefault="00B45BA0">
      <w:pPr>
        <w:spacing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2CD02A96" wp14:editId="48FE998E">
            <wp:extent cx="5762625" cy="6905625"/>
            <wp:effectExtent l="0" t="0" r="9525" b="9525"/>
            <wp:docPr id="3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2625" cy="6905625"/>
                    </a:xfrm>
                    <a:prstGeom prst="rect">
                      <a:avLst/>
                    </a:prstGeom>
                    <a:noFill/>
                    <a:ln>
                      <a:noFill/>
                    </a:ln>
                  </pic:spPr>
                </pic:pic>
              </a:graphicData>
            </a:graphic>
          </wp:inline>
        </w:drawing>
      </w:r>
    </w:p>
    <w:p w:rsidR="00AD77BB" w:rsidRDefault="00B45BA0">
      <w:pPr>
        <w:spacing w:line="360" w:lineRule="auto"/>
        <w:ind w:left="446"/>
        <w:textAlignment w:val="baseline"/>
        <w:rPr>
          <w:rStyle w:val="mo"/>
          <w:rFonts w:ascii="MathJax_Main" w:hAnsi="MathJax_Main"/>
          <w:sz w:val="18"/>
          <w:szCs w:val="18"/>
          <w:shd w:val="clear" w:color="auto" w:fill="FFFFFF"/>
        </w:rPr>
      </w:pPr>
      <w:r>
        <w:rPr>
          <w:rFonts w:ascii="Georgia" w:hAnsi="Georgia"/>
          <w:color w:val="333333"/>
          <w:sz w:val="20"/>
          <w:szCs w:val="20"/>
          <w:shd w:val="clear" w:color="auto" w:fill="FFFFFF"/>
        </w:rPr>
        <w:t>The student is encouraged to compute the ten deviations for Data Set I and verify that their squares add up to 20, so that the sample variance and standard deviation of Data Set I are the much smaller numbers</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shd w:val="clear" w:color="auto" w:fill="FFFFFF"/>
        </w:rPr>
        <w:t>s</w:t>
      </w:r>
      <w:r>
        <w:rPr>
          <w:rStyle w:val="mn"/>
          <w:rFonts w:ascii="MathJax_Main" w:hAnsi="MathJax_Main"/>
          <w:color w:val="333333"/>
          <w:sz w:val="14"/>
          <w:szCs w:val="14"/>
          <w:shd w:val="clear" w:color="auto" w:fill="FFFFFF"/>
          <w:vertAlign w:val="superscript"/>
        </w:rPr>
        <w:t>2</w:t>
      </w:r>
      <w:r>
        <w:rPr>
          <w:rStyle w:val="mo"/>
          <w:rFonts w:ascii="MathJax_Main" w:hAnsi="MathJax_Main"/>
          <w:color w:val="333333"/>
          <w:sz w:val="18"/>
          <w:szCs w:val="18"/>
          <w:shd w:val="clear" w:color="auto" w:fill="FFFFFF"/>
        </w:rPr>
        <w:t>=</w:t>
      </w:r>
      <w:r>
        <w:rPr>
          <w:rStyle w:val="mn"/>
          <w:rFonts w:ascii="MathJax_Main" w:hAnsi="MathJax_Main"/>
          <w:color w:val="333333"/>
          <w:sz w:val="18"/>
          <w:szCs w:val="18"/>
          <w:shd w:val="clear" w:color="auto" w:fill="FFFFFF"/>
        </w:rPr>
        <w:t>20</w:t>
      </w:r>
      <w:r>
        <w:rPr>
          <w:rStyle w:val="mo"/>
          <w:rFonts w:ascii="MathJax_Size2" w:hAnsi="MathJax_Size2"/>
          <w:color w:val="333333"/>
          <w:sz w:val="18"/>
          <w:szCs w:val="18"/>
          <w:shd w:val="clear" w:color="auto" w:fill="FFFFFF"/>
        </w:rPr>
        <w:t>/</w:t>
      </w:r>
      <w:r>
        <w:rPr>
          <w:rStyle w:val="mn"/>
          <w:rFonts w:ascii="MathJax_Main" w:hAnsi="MathJax_Main"/>
          <w:color w:val="333333"/>
          <w:sz w:val="18"/>
          <w:szCs w:val="18"/>
          <w:shd w:val="clear" w:color="auto" w:fill="FFFFFF"/>
        </w:rPr>
        <w:t>9</w:t>
      </w:r>
      <w:r>
        <w:rPr>
          <w:rStyle w:val="mo"/>
          <w:rFonts w:ascii="MathJax_Main" w:hAnsi="MathJax_Main"/>
          <w:color w:val="333333"/>
          <w:sz w:val="18"/>
          <w:szCs w:val="18"/>
          <w:shd w:val="clear" w:color="auto" w:fill="FFFFFF"/>
        </w:rPr>
        <w:t>=</w:t>
      </w:r>
      <w:r>
        <w:rPr>
          <w:rStyle w:val="mn"/>
          <w:rFonts w:ascii="MathJax_Main" w:hAnsi="MathJax_Main"/>
          <w:color w:val="333333"/>
          <w:sz w:val="18"/>
          <w:szCs w:val="18"/>
          <w:shd w:val="clear" w:color="auto" w:fill="FFFFFF"/>
        </w:rPr>
        <w:t>2</w:t>
      </w:r>
      <w:r>
        <w:rPr>
          <w:rStyle w:val="mo"/>
          <w:rFonts w:ascii="MathJax_Main" w:hAnsi="MathJax_Main"/>
          <w:color w:val="333333"/>
          <w:sz w:val="18"/>
          <w:szCs w:val="18"/>
          <w:shd w:val="clear" w:color="auto" w:fill="FFFFFF"/>
        </w:rPr>
        <w:t>.</w:t>
      </w:r>
      <w:r>
        <w:rPr>
          <w:rStyle w:val="mn"/>
          <w:rFonts w:ascii="MathJax_Main" w:hAnsi="MathJax_Main"/>
          <w:color w:val="333333"/>
          <w:sz w:val="18"/>
          <w:szCs w:val="18"/>
          <w:shd w:val="clear" w:color="auto" w:fill="FFFFFF"/>
        </w:rPr>
        <w:t>2</w:t>
      </w:r>
      <w:r>
        <w:rPr>
          <w:rStyle w:val="mn"/>
          <w:rFonts w:ascii="Times New Roman" w:hAnsi="Times New Roman" w:cs="Times New Roman"/>
          <w:color w:val="333333"/>
          <w:sz w:val="18"/>
          <w:szCs w:val="18"/>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and</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shd w:val="clear" w:color="auto" w:fill="FFFFFF"/>
        </w:rPr>
        <w:t>s</w:t>
      </w:r>
      <w:r>
        <w:rPr>
          <w:rStyle w:val="mo"/>
          <w:rFonts w:ascii="MathJax_Main" w:hAnsi="MathJax_Main"/>
          <w:color w:val="333333"/>
          <w:sz w:val="18"/>
          <w:szCs w:val="18"/>
          <w:shd w:val="clear" w:color="auto" w:fill="FFFFFF"/>
        </w:rPr>
        <w:t>=</w:t>
      </w:r>
      <w:r>
        <w:rPr>
          <w:rStyle w:val="msqrt"/>
          <w:rFonts w:ascii="MathJax_Size2" w:hAnsi="MathJax_Size2"/>
          <w:color w:val="333333"/>
          <w:sz w:val="18"/>
          <w:szCs w:val="18"/>
          <w:shd w:val="clear" w:color="auto" w:fill="FFFFFF"/>
        </w:rPr>
        <w:t>√</w:t>
      </w:r>
      <w:r>
        <w:rPr>
          <w:rStyle w:val="mn"/>
          <w:rFonts w:ascii="MathJax_Main" w:hAnsi="MathJax_Main"/>
          <w:color w:val="333333"/>
          <w:sz w:val="18"/>
          <w:szCs w:val="18"/>
          <w:shd w:val="clear" w:color="auto" w:fill="FFFFFF"/>
        </w:rPr>
        <w:t>20</w:t>
      </w:r>
      <w:r>
        <w:rPr>
          <w:rStyle w:val="mo"/>
          <w:rFonts w:ascii="MathJax_Main" w:hAnsi="MathJax_Main"/>
          <w:color w:val="333333"/>
          <w:sz w:val="18"/>
          <w:szCs w:val="18"/>
          <w:shd w:val="clear" w:color="auto" w:fill="FFFFFF"/>
        </w:rPr>
        <w:t>/</w:t>
      </w:r>
      <w:r>
        <w:rPr>
          <w:rStyle w:val="mn"/>
          <w:rFonts w:ascii="MathJax_Main" w:hAnsi="MathJax_Main"/>
          <w:color w:val="333333"/>
          <w:sz w:val="18"/>
          <w:szCs w:val="18"/>
          <w:shd w:val="clear" w:color="auto" w:fill="FFFFFF"/>
        </w:rPr>
        <w:t>9</w:t>
      </w:r>
      <w:r>
        <w:rPr>
          <w:rStyle w:val="mo"/>
          <w:rFonts w:ascii="MathJax_Main" w:hAnsi="MathJax_Main"/>
          <w:color w:val="333333"/>
          <w:sz w:val="18"/>
          <w:szCs w:val="18"/>
          <w:shd w:val="clear" w:color="auto" w:fill="FFFFFF"/>
        </w:rPr>
        <w:t>≈</w:t>
      </w:r>
      <w:r>
        <w:rPr>
          <w:rStyle w:val="mn"/>
          <w:rFonts w:ascii="MathJax_Main" w:hAnsi="MathJax_Main"/>
          <w:color w:val="333333"/>
          <w:sz w:val="18"/>
          <w:szCs w:val="18"/>
          <w:shd w:val="clear" w:color="auto" w:fill="FFFFFF"/>
        </w:rPr>
        <w:t>1.49</w:t>
      </w:r>
      <w:r>
        <w:rPr>
          <w:rStyle w:val="mo"/>
          <w:rFonts w:ascii="MathJax_Main" w:hAnsi="MathJax_Main"/>
          <w:color w:val="333333"/>
          <w:sz w:val="18"/>
          <w:szCs w:val="18"/>
          <w:shd w:val="clear" w:color="auto" w:fill="FFFFFF"/>
        </w:rPr>
        <w:t>.</w:t>
      </w:r>
    </w:p>
    <w:p w:rsidR="00AD77BB" w:rsidRDefault="00B45BA0">
      <w:pPr>
        <w:spacing w:line="360" w:lineRule="auto"/>
        <w:ind w:left="446"/>
        <w:textAlignment w:val="baseline"/>
        <w:rPr>
          <w:rFonts w:ascii="Calibri" w:eastAsia="Times New Roman" w:hAnsi="Calibri" w:cs="Times New Roman"/>
          <w:sz w:val="20"/>
          <w:szCs w:val="20"/>
        </w:rPr>
      </w:pPr>
      <w:r>
        <w:rPr>
          <w:rFonts w:ascii="Calibri" w:eastAsia="Times New Roman" w:hAnsi="Calibri" w:cs="Times New Roman"/>
          <w:noProof/>
          <w:color w:val="333333"/>
          <w:sz w:val="20"/>
          <w:szCs w:val="20"/>
        </w:rPr>
        <w:lastRenderedPageBreak/>
        <w:drawing>
          <wp:inline distT="0" distB="0" distL="0" distR="0" wp14:anchorId="6A55A6FD" wp14:editId="72F41FE8">
            <wp:extent cx="5791200" cy="6867525"/>
            <wp:effectExtent l="0" t="0" r="0" b="9525"/>
            <wp:docPr id="3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91200" cy="6867525"/>
                    </a:xfrm>
                    <a:prstGeom prst="rect">
                      <a:avLst/>
                    </a:prstGeom>
                    <a:noFill/>
                    <a:ln>
                      <a:noFill/>
                    </a:ln>
                  </pic:spPr>
                </pic:pic>
              </a:graphicData>
            </a:graphic>
          </wp:inline>
        </w:drawing>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sample variance has different units from the data. For example, if the units in the data set were inches, the new units would be inches squared, or square inches. It is thus primarily of theoretical importance and will not be considered further in this text, except in passing.</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If the data set comprises the whole population, then the </w:t>
      </w:r>
      <w:r>
        <w:rPr>
          <w:rFonts w:ascii="Georgia" w:eastAsia="Times New Roman" w:hAnsi="Georgia" w:cs="Times New Roman"/>
          <w:i/>
          <w:iCs/>
          <w:color w:val="333333"/>
          <w:sz w:val="20"/>
          <w:szCs w:val="20"/>
        </w:rPr>
        <w:t>population</w:t>
      </w:r>
      <w:r>
        <w:rPr>
          <w:rFonts w:ascii="Georgia" w:eastAsia="Times New Roman" w:hAnsi="Georgia" w:cs="Times New Roman"/>
          <w:color w:val="333333"/>
          <w:sz w:val="21"/>
          <w:szCs w:val="21"/>
        </w:rPr>
        <w:t> standard deviation, denoted </w:t>
      </w:r>
      <w:r>
        <w:rPr>
          <w:rFonts w:ascii="Georgia" w:eastAsia="Times New Roman" w:hAnsi="Georgia" w:cs="Times New Roman"/>
          <w:i/>
          <w:iCs/>
          <w:color w:val="333333"/>
          <w:sz w:val="20"/>
          <w:szCs w:val="20"/>
        </w:rPr>
        <w:t>σ</w:t>
      </w:r>
      <w:r>
        <w:rPr>
          <w:rFonts w:ascii="Georgia" w:eastAsia="Times New Roman" w:hAnsi="Georgia" w:cs="Times New Roman"/>
          <w:color w:val="333333"/>
          <w:sz w:val="21"/>
          <w:szCs w:val="21"/>
        </w:rPr>
        <w:t xml:space="preserve"> (the lower case Greek letter sigma), and its square, the </w:t>
      </w:r>
      <w:r>
        <w:rPr>
          <w:rFonts w:ascii="Georgia" w:eastAsia="Times New Roman" w:hAnsi="Georgia" w:cs="Times New Roman"/>
          <w:i/>
          <w:iCs/>
          <w:color w:val="333333"/>
          <w:sz w:val="20"/>
          <w:szCs w:val="20"/>
        </w:rPr>
        <w:t>population</w:t>
      </w:r>
      <w:r>
        <w:rPr>
          <w:rFonts w:ascii="Georgia" w:eastAsia="Times New Roman" w:hAnsi="Georgia" w:cs="Times New Roman"/>
          <w:color w:val="333333"/>
          <w:sz w:val="21"/>
          <w:szCs w:val="21"/>
        </w:rPr>
        <w:t> variance </w:t>
      </w:r>
      <w:r>
        <w:rPr>
          <w:rFonts w:ascii="Georgia" w:eastAsia="Times New Roman" w:hAnsi="Georgia" w:cs="Times New Roman"/>
          <w:i/>
          <w:iCs/>
          <w:color w:val="333333"/>
          <w:sz w:val="20"/>
          <w:szCs w:val="20"/>
        </w:rPr>
        <w:t>σ</w:t>
      </w:r>
      <w:r>
        <w:rPr>
          <w:rFonts w:ascii="Georgia" w:eastAsia="Times New Roman" w:hAnsi="Georgia" w:cs="Times New Roman"/>
          <w:color w:val="333333"/>
          <w:sz w:val="15"/>
          <w:szCs w:val="15"/>
          <w:vertAlign w:val="superscript"/>
        </w:rPr>
        <w:t>2</w:t>
      </w:r>
      <w:r>
        <w:rPr>
          <w:rFonts w:ascii="Georgia" w:eastAsia="Times New Roman" w:hAnsi="Georgia" w:cs="Times New Roman"/>
          <w:color w:val="333333"/>
          <w:sz w:val="21"/>
          <w:szCs w:val="21"/>
        </w:rPr>
        <w:t>, are defined as follows.</w:t>
      </w:r>
    </w:p>
    <w:p w:rsidR="00AD77BB" w:rsidRDefault="00B45BA0">
      <w:pPr>
        <w:spacing w:line="360" w:lineRule="auto"/>
        <w:ind w:left="446"/>
        <w:jc w:val="both"/>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1A790BFB" wp14:editId="30CD6A09">
            <wp:extent cx="5581650" cy="2000250"/>
            <wp:effectExtent l="0" t="0" r="0" b="0"/>
            <wp:docPr id="3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81650" cy="2000250"/>
                    </a:xfrm>
                    <a:prstGeom prst="rect">
                      <a:avLst/>
                    </a:prstGeom>
                    <a:noFill/>
                    <a:ln>
                      <a:noFill/>
                    </a:ln>
                  </pic:spPr>
                </pic:pic>
              </a:graphicData>
            </a:graphic>
          </wp:inline>
        </w:drawing>
      </w:r>
    </w:p>
    <w:p w:rsidR="00AD77BB" w:rsidRDefault="00B45BA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Note that the denominator in the fraction is the full number of observations, not that number reduced by one, as is the case with the sample standard deviation. Since most data sets are samples, we will always work with the sample standard deviation and variance.</w:t>
      </w:r>
    </w:p>
    <w:p w:rsidR="00AD77BB" w:rsidRDefault="00B45BA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Finally, in many real-life situations the most important statistical issues have to do with comparing the means and standard deviations of two data sets.</w:t>
      </w:r>
      <w:r>
        <w:rPr>
          <w:rStyle w:val="apple-converted-space"/>
          <w:rFonts w:ascii="Georgia" w:hAnsi="Georgia"/>
          <w:color w:val="333333"/>
          <w:sz w:val="21"/>
          <w:szCs w:val="21"/>
        </w:rPr>
        <w:t> </w:t>
      </w:r>
      <w:r>
        <w:rPr>
          <w:rFonts w:ascii="Georgia" w:hAnsi="Georgia"/>
          <w:color w:val="2689C6"/>
          <w:sz w:val="21"/>
          <w:szCs w:val="21"/>
        </w:rPr>
        <w:t>Figure 2.11 "Difference between Two Data Sets"</w:t>
      </w:r>
      <w:r>
        <w:rPr>
          <w:rStyle w:val="apple-converted-space"/>
          <w:rFonts w:ascii="Georgia" w:hAnsi="Georgia"/>
          <w:color w:val="333333"/>
          <w:sz w:val="21"/>
          <w:szCs w:val="21"/>
        </w:rPr>
        <w:t> </w:t>
      </w:r>
      <w:r>
        <w:rPr>
          <w:rFonts w:ascii="Georgia" w:hAnsi="Georgia"/>
          <w:color w:val="333333"/>
          <w:sz w:val="21"/>
          <w:szCs w:val="21"/>
        </w:rPr>
        <w:t>illustrates how a difference in one or both of the sample mean and the sample standard deviation are reflected in the appearance of the data set as shown by the curves derived from the relative frequency histograms built using the data.</w:t>
      </w: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lastRenderedPageBreak/>
        <w:t>Figure 2.11</w:t>
      </w:r>
      <w:r>
        <w:rPr>
          <w:rFonts w:ascii="Georgia" w:eastAsia="Times New Roman" w:hAnsi="Georgia" w:cs="Times New Roman"/>
          <w:i/>
          <w:iCs/>
          <w:color w:val="BB9966"/>
          <w:sz w:val="19"/>
          <w:szCs w:val="19"/>
        </w:rPr>
        <w:t> Difference between Two Data Sets</w:t>
      </w:r>
    </w:p>
    <w:p w:rsidR="00AD77BB" w:rsidRDefault="00B45BA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Calibri" w:hAnsi="Calibri"/>
          <w:noProof/>
          <w:color w:val="2689C6"/>
          <w:sz w:val="26"/>
          <w:szCs w:val="26"/>
          <w:shd w:val="clear" w:color="auto" w:fill="FFFFFF"/>
        </w:rPr>
        <w:drawing>
          <wp:inline distT="0" distB="0" distL="0" distR="0" wp14:anchorId="5369AA8B" wp14:editId="17C07715">
            <wp:extent cx="5591175" cy="4819650"/>
            <wp:effectExtent l="0" t="0" r="9525" b="0"/>
            <wp:docPr id="39" name="Picture 60" descr="http://images.flatworldknowledge.com/shafer/shafer-fig0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images.flatworldknowledge.com/shafer/shafer-fig02_01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91175" cy="4819650"/>
                    </a:xfrm>
                    <a:prstGeom prst="rect">
                      <a:avLst/>
                    </a:prstGeom>
                    <a:noFill/>
                    <a:ln>
                      <a:noFill/>
                    </a:ln>
                  </pic:spPr>
                </pic:pic>
              </a:graphicData>
            </a:graphic>
          </wp:inline>
        </w:drawing>
      </w:r>
      <w:r>
        <w:rPr>
          <w:noProof/>
        </w:rPr>
        <mc:AlternateContent>
          <mc:Choice Requires="wps">
            <w:drawing>
              <wp:inline distT="0" distB="0" distL="0" distR="0" wp14:anchorId="4DA51946" wp14:editId="51C7788E">
                <wp:extent cx="304800" cy="304800"/>
                <wp:effectExtent l="0" t="0" r="0" b="0"/>
                <wp:docPr id="488" name="AutoShape 4" descr="http://images.flatworldknowledge.com/shafer/shafer-fig02_011.jpg">
                  <a:hlinkClick xmlns:a="http://schemas.openxmlformats.org/drawingml/2006/main" r:id="rId49"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http://images.flatworldknowledge.com/shafer/shafer-fig02_011.jpg" href="http://images.flatworldknowledge.com/shafer/shafer-fig02_011.jpg"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" o:button="t" filled="f" stroked="f">
                <v:fill o:detectmouseclick="t"/>
                <o:lock v:ext="edit" aspectratio="t"/>
                <w10:anchorlock/>
              </v:rect>
            </w:pict>
          </mc:Fallback>
        </mc:AlternateContent>
      </w:r>
      <w:r>
        <w:rPr>
          <w:noProof/>
        </w:rPr>
        <mc:AlternateContent>
          <mc:Choice Requires="wps">
            <w:drawing>
              <wp:inline distT="0" distB="0" distL="0" distR="0" wp14:anchorId="6C68CF87" wp14:editId="0BEE561F">
                <wp:extent cx="304800" cy="304800"/>
                <wp:effectExtent l="0" t="0" r="0" b="0"/>
                <wp:docPr id="487" name="AutoShape 3" descr="http://images.flatworldknowledge.com/shafer/shafer-fig02_011.jpg">
                  <a:hlinkClick xmlns:a="http://schemas.openxmlformats.org/drawingml/2006/main" r:id="rId49"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http://images.flatworldknowledge.com/shafer/shafer-fig02_011.jpg" href="http://images.flatworldknowledge.com/shafer/shafer-fig02_011.jpg"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" o:button="t" filled="f" stroked="f">
                <v:fill o:detectmouseclick="t"/>
                <o:lock v:ext="edit" aspectratio="t"/>
                <w10:anchorlock/>
              </v:rect>
            </w:pict>
          </mc:Fallback>
        </mc:AlternateContent>
      </w:r>
    </w:p>
    <w:p w:rsidR="00AD77BB" w:rsidRDefault="00AD77BB">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rsidR="00AD77BB" w:rsidRDefault="00B45BA0">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AD77BB" w:rsidRDefault="00B45BA0">
      <w:pPr>
        <w:pStyle w:val="para"/>
        <w:shd w:val="clear" w:color="auto" w:fill="ECF9EA"/>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The range, the standard deviation, and the variance each give a quantitative answer to the question “How variable are the data?”</w:t>
      </w:r>
    </w:p>
    <w:p w:rsidR="00AD77BB" w:rsidRDefault="00B45BA0">
      <w:pPr>
        <w:spacing w:line="360" w:lineRule="auto"/>
        <w:ind w:left="446"/>
        <w:jc w:val="both"/>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16AA247" wp14:editId="02E04E6B">
            <wp:extent cx="5876925" cy="7296150"/>
            <wp:effectExtent l="0" t="0" r="9525" b="0"/>
            <wp:docPr id="4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76925" cy="7296150"/>
                    </a:xfrm>
                    <a:prstGeom prst="rect">
                      <a:avLst/>
                    </a:prstGeom>
                    <a:noFill/>
                    <a:ln>
                      <a:noFill/>
                    </a:ln>
                  </pic:spPr>
                </pic:pic>
              </a:graphicData>
            </a:graphic>
          </wp:inline>
        </w:drawing>
      </w:r>
    </w:p>
    <w:p w:rsidR="00AD77BB" w:rsidRDefault="00B45BA0">
      <w:pPr>
        <w:spacing w:line="360" w:lineRule="auto"/>
        <w:ind w:left="446"/>
        <w:jc w:val="both"/>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22D236E" wp14:editId="48B51485">
            <wp:extent cx="5915025" cy="6534150"/>
            <wp:effectExtent l="0" t="0" r="9525" b="0"/>
            <wp:docPr id="4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15025" cy="6534150"/>
                    </a:xfrm>
                    <a:prstGeom prst="rect">
                      <a:avLst/>
                    </a:prstGeom>
                    <a:noFill/>
                    <a:ln>
                      <a:noFill/>
                    </a:ln>
                  </pic:spPr>
                </pic:pic>
              </a:graphicData>
            </a:graphic>
          </wp:inline>
        </w:drawing>
      </w:r>
    </w:p>
    <w:p w:rsidR="00AD77BB" w:rsidRDefault="00B45BA0">
      <w:pPr>
        <w:spacing w:line="360" w:lineRule="auto"/>
        <w:ind w:left="446"/>
        <w:jc w:val="both"/>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5E10FC0" wp14:editId="06262600">
            <wp:extent cx="5981700" cy="7429500"/>
            <wp:effectExtent l="0" t="0" r="0" b="0"/>
            <wp:docPr id="44"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81700" cy="7429500"/>
                    </a:xfrm>
                    <a:prstGeom prst="rect">
                      <a:avLst/>
                    </a:prstGeom>
                    <a:noFill/>
                    <a:ln>
                      <a:noFill/>
                    </a:ln>
                  </pic:spPr>
                </pic:pic>
              </a:graphicData>
            </a:graphic>
          </wp:inline>
        </w:drawing>
      </w:r>
    </w:p>
    <w:p w:rsidR="00AD77BB" w:rsidRDefault="00AD77BB">
      <w:pPr>
        <w:spacing w:line="360" w:lineRule="auto"/>
        <w:ind w:left="446"/>
        <w:jc w:val="both"/>
        <w:textAlignment w:val="baseline"/>
        <w:rPr>
          <w:rFonts w:ascii="Calibri" w:eastAsia="Times New Roman" w:hAnsi="Calibri" w:cs="Times New Roman"/>
          <w:color w:val="333333"/>
          <w:sz w:val="20"/>
          <w:szCs w:val="20"/>
        </w:rPr>
      </w:pPr>
    </w:p>
    <w:p w:rsidR="00AD77BB" w:rsidRDefault="00AD77BB">
      <w:pPr>
        <w:spacing w:line="360" w:lineRule="auto"/>
        <w:ind w:left="446"/>
        <w:jc w:val="both"/>
        <w:textAlignment w:val="baseline"/>
        <w:rPr>
          <w:rFonts w:ascii="Calibri" w:eastAsia="Times New Roman" w:hAnsi="Calibri" w:cs="Times New Roman"/>
          <w:color w:val="333333"/>
          <w:sz w:val="20"/>
          <w:szCs w:val="20"/>
        </w:rPr>
      </w:pP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rPr>
      </w:pPr>
      <w:r>
        <w:rPr>
          <w:rFonts w:ascii="Calibri" w:eastAsia="Times New Roman" w:hAnsi="Calibri" w:cs="Times New Roman"/>
          <w:b/>
          <w:bCs/>
          <w:caps/>
          <w:color w:val="FFFFFF"/>
          <w:spacing w:val="30"/>
        </w:rPr>
        <w:lastRenderedPageBreak/>
        <w:t>LARGE DATA SET EXERCISES</w:t>
      </w:r>
    </w:p>
    <w:p w:rsidR="00AD77BB" w:rsidRDefault="00AD77BB">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rPr>
      </w:pPr>
    </w:p>
    <w:p w:rsidR="00AD77BB" w:rsidRDefault="00B45BA0">
      <w:pPr>
        <w:numPr>
          <w:ilvl w:val="0"/>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Large Data Set 1 lists the SAT scores and GPAs of 1,000 students.</w:t>
      </w:r>
    </w:p>
    <w:p w:rsidR="00AD77BB" w:rsidRDefault="00B45BA0">
      <w:p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http://www.1.xls</w:t>
      </w:r>
    </w:p>
    <w:p w:rsidR="00AD77BB" w:rsidRDefault="00B45BA0">
      <w:pPr>
        <w:numPr>
          <w:ilvl w:val="1"/>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range and sample standard deviation of the 1,000 SAT scores.</w:t>
      </w:r>
    </w:p>
    <w:p w:rsidR="00AD77BB" w:rsidRDefault="00B45BA0">
      <w:pPr>
        <w:numPr>
          <w:ilvl w:val="1"/>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range and sample standard deviation of the 1,000 GPAs.</w:t>
      </w:r>
    </w:p>
    <w:p w:rsidR="00AD77BB" w:rsidRDefault="00B45BA0">
      <w:pPr>
        <w:numPr>
          <w:ilvl w:val="0"/>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Large Data Set 1 lists the SAT scores of 1,000 students.</w:t>
      </w:r>
    </w:p>
    <w:p w:rsidR="00AD77BB" w:rsidRDefault="00B45BA0">
      <w:p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http://www.1.xls</w:t>
      </w:r>
    </w:p>
    <w:p w:rsidR="00AD77BB" w:rsidRDefault="00B45BA0">
      <w:pPr>
        <w:numPr>
          <w:ilvl w:val="1"/>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Regard the data as arising from a census of all students at a high school, in which the SAT score of every student was measured. Compute the population range and population standard deviation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w:t>
      </w:r>
    </w:p>
    <w:p w:rsidR="00AD77BB" w:rsidRDefault="00B45BA0">
      <w:pPr>
        <w:numPr>
          <w:ilvl w:val="1"/>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Regard the first 25 observations as a random sample drawn from this population. Compute the sample range and sample standard deviation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and compare them to the population range and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w:t>
      </w:r>
    </w:p>
    <w:p w:rsidR="00AD77BB" w:rsidRDefault="00B45BA0">
      <w:pPr>
        <w:numPr>
          <w:ilvl w:val="1"/>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Regard the next 25 observations as a random sample drawn from this population. Compute the sample range and sample standard deviation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and compare them to the population range and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w:t>
      </w:r>
    </w:p>
    <w:p w:rsidR="00AD77BB" w:rsidRDefault="00B45BA0">
      <w:pPr>
        <w:numPr>
          <w:ilvl w:val="0"/>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Large Data Set 1 lists the GPAs of 1,000 students.</w:t>
      </w:r>
    </w:p>
    <w:p w:rsidR="00AD77BB" w:rsidRDefault="00B45BA0">
      <w:p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http://www.1.xls</w:t>
      </w:r>
    </w:p>
    <w:p w:rsidR="00AD77BB" w:rsidRDefault="00B45BA0">
      <w:pPr>
        <w:numPr>
          <w:ilvl w:val="1"/>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Regard the data as arising from a census of all freshman at a small college at the end of their first academic year of college study, in which the GPA of every such person was measured. Compute the population range and population standard deviation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w:t>
      </w:r>
    </w:p>
    <w:p w:rsidR="00AD77BB" w:rsidRDefault="00B45BA0">
      <w:pPr>
        <w:numPr>
          <w:ilvl w:val="1"/>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Regard the first 25 observations as a random sample drawn from this population. Compute the sample range and sample standard deviation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and compare them to the population range and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w:t>
      </w:r>
    </w:p>
    <w:p w:rsidR="00AD77BB" w:rsidRDefault="00B45BA0">
      <w:pPr>
        <w:numPr>
          <w:ilvl w:val="1"/>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Regard the next 25 observations as a random sample drawn from this population. Compute the sample range and sample standard deviation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and compare them to the population range and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w:t>
      </w:r>
    </w:p>
    <w:p w:rsidR="00AD77BB" w:rsidRDefault="00B45BA0">
      <w:pPr>
        <w:numPr>
          <w:ilvl w:val="0"/>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Large Data Sets 7, 7A, and 7B list the survival times in days of 140 laboratory mice with thymic leukemia from onset to death.</w:t>
      </w:r>
    </w:p>
    <w:p w:rsidR="00AD77BB" w:rsidRDefault="00B45BA0">
      <w:p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http://www.7.xls</w:t>
      </w:r>
    </w:p>
    <w:p w:rsidR="00AD77BB" w:rsidRDefault="00B45BA0">
      <w:p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http://www.7A.xls</w:t>
      </w:r>
    </w:p>
    <w:p w:rsidR="00AD77BB" w:rsidRDefault="00B45BA0">
      <w:p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http://www.7B.xls</w:t>
      </w:r>
    </w:p>
    <w:p w:rsidR="00AD77BB" w:rsidRDefault="00B45BA0">
      <w:pPr>
        <w:numPr>
          <w:ilvl w:val="1"/>
          <w:numId w:val="28"/>
        </w:numPr>
        <w:shd w:val="clear" w:color="auto" w:fill="E3EFF7"/>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range and sample standard deviation of survival time for all mice, without regard to gender.</w:t>
      </w:r>
    </w:p>
    <w:p w:rsidR="00AD77BB" w:rsidRDefault="00B45BA0">
      <w:pPr>
        <w:numPr>
          <w:ilvl w:val="1"/>
          <w:numId w:val="28"/>
        </w:numPr>
        <w:shd w:val="clear" w:color="auto" w:fill="E3EFF7"/>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range and sample standard deviation of survival time for the 65 male mice (separately recorded in Large Data Set 7A).</w:t>
      </w:r>
    </w:p>
    <w:p w:rsidR="00AD77BB" w:rsidRDefault="00B45BA0">
      <w:pPr>
        <w:numPr>
          <w:ilvl w:val="1"/>
          <w:numId w:val="28"/>
        </w:numPr>
        <w:shd w:val="clear" w:color="auto" w:fill="E3EFF7"/>
        <w:spacing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range and sample standard deviation of survival time for the 75 female mice (separately recorded in Large Data Set 7B). Do you see a difference in the results for male and female mice? Does it appear to be significant?</w:t>
      </w:r>
    </w:p>
    <w:p w:rsidR="00AD77BB" w:rsidRDefault="00B45BA0">
      <w:pPr>
        <w:shd w:val="clear" w:color="auto" w:fill="E3EFF7"/>
        <w:spacing w:line="439" w:lineRule="atLeast"/>
        <w:ind w:left="9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2F68D12E" wp14:editId="632D8E8D">
            <wp:extent cx="5991225" cy="6924675"/>
            <wp:effectExtent l="0" t="0" r="9525" b="9525"/>
            <wp:docPr id="4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91225" cy="6924675"/>
                    </a:xfrm>
                    <a:prstGeom prst="rect">
                      <a:avLst/>
                    </a:prstGeom>
                    <a:noFill/>
                    <a:ln>
                      <a:noFill/>
                    </a:ln>
                  </pic:spPr>
                </pic:pic>
              </a:graphicData>
            </a:graphic>
          </wp:inline>
        </w:drawing>
      </w:r>
    </w:p>
    <w:p w:rsidR="00AD77BB" w:rsidRDefault="00B45BA0">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t>2.4</w:t>
      </w:r>
      <w:r>
        <w:rPr>
          <w:rFonts w:ascii="Calibri" w:eastAsia="Times New Roman" w:hAnsi="Calibri" w:cs="Times New Roman"/>
          <w:b/>
          <w:bCs/>
          <w:color w:val="333333"/>
          <w:sz w:val="36"/>
          <w:szCs w:val="36"/>
        </w:rPr>
        <w:t> Relative Position of Data</w:t>
      </w:r>
    </w:p>
    <w:p w:rsidR="00AD77BB" w:rsidRDefault="00AD77BB">
      <w:pPr>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rsidR="00AD77BB" w:rsidRDefault="00B45BA0">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AD77BB" w:rsidRDefault="00B45BA0">
      <w:pPr>
        <w:numPr>
          <w:ilvl w:val="0"/>
          <w:numId w:val="29"/>
        </w:numPr>
        <w:shd w:val="clear" w:color="auto" w:fill="EAE9DC"/>
        <w:spacing w:after="0"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the concept of the relative position of an element of a data set.</w:t>
      </w:r>
    </w:p>
    <w:p w:rsidR="00AD77BB" w:rsidRDefault="00B45BA0">
      <w:pPr>
        <w:numPr>
          <w:ilvl w:val="0"/>
          <w:numId w:val="29"/>
        </w:numPr>
        <w:shd w:val="clear" w:color="auto" w:fill="EAE9DC"/>
        <w:spacing w:after="0"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To learn the meaning of each of two measures, the percentile rank and the </w:t>
      </w:r>
      <w:r>
        <w:rPr>
          <w:rFonts w:ascii="Calibri" w:eastAsia="Times New Roman" w:hAnsi="Calibri" w:cs="Times New Roman"/>
          <w:i/>
          <w:iCs/>
          <w:color w:val="333333"/>
          <w:sz w:val="20"/>
          <w:szCs w:val="20"/>
        </w:rPr>
        <w:t>z</w:t>
      </w:r>
      <w:r>
        <w:rPr>
          <w:rFonts w:ascii="Calibri" w:eastAsia="Times New Roman" w:hAnsi="Calibri" w:cs="Times New Roman"/>
          <w:color w:val="333333"/>
          <w:sz w:val="20"/>
          <w:szCs w:val="20"/>
        </w:rPr>
        <w:t>-score, of the relative position of a measurement and how to compute each one.</w:t>
      </w:r>
    </w:p>
    <w:p w:rsidR="00AD77BB" w:rsidRDefault="00B45BA0">
      <w:pPr>
        <w:numPr>
          <w:ilvl w:val="0"/>
          <w:numId w:val="29"/>
        </w:numPr>
        <w:shd w:val="clear" w:color="auto" w:fill="EAE9DC"/>
        <w:spacing w:after="0"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the meaning of the three quartiles associated to a data set and how to compute them.</w:t>
      </w:r>
    </w:p>
    <w:p w:rsidR="00AD77BB" w:rsidRDefault="00B45BA0">
      <w:pPr>
        <w:numPr>
          <w:ilvl w:val="0"/>
          <w:numId w:val="29"/>
        </w:numPr>
        <w:shd w:val="clear" w:color="auto" w:fill="EAE9DC"/>
        <w:spacing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the meaning of the five-number summary of a data set, how to construct the box plot associated to it, and how to interpret the box plot.</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When you take an exam, what is often as important as your actual score on the exam is the way your score compares to other students’ performance. If you made a 70 but the average score (whether the mean, median, or mode) was 85, you did relatively poorly. If you made a 70 but the average score was only 55 then you did relatively well. In general, the significance of one observed value in a data set strongly depends on how that value compares to the other observed values in a data set. Therefore we wish to attach to each observed value a number that measures its relative position.</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Percentiles and Quartiles</w:t>
      </w:r>
    </w:p>
    <w:p w:rsidR="00AD77BB" w:rsidRDefault="00B45BA0">
      <w:pPr>
        <w:shd w:val="clear" w:color="auto" w:fill="FFFFFF"/>
        <w:spacing w:after="0" w:line="360" w:lineRule="auto"/>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Anyone who has taken a national standardized test is familiar with the idea of being given both a score on the exam and a “percentile ranking” of that score. You may be told that your score was 625 and that it is the 85th percentile. The first number tells how you actually did on the exam; the second says that 85% of the scores on the exam were less than or equal to your score, 625.</w:t>
      </w:r>
    </w:p>
    <w:p w:rsidR="00AD77BB" w:rsidRDefault="00AD77BB">
      <w:pPr>
        <w:shd w:val="clear" w:color="auto" w:fill="FFFFFF"/>
        <w:spacing w:after="0" w:line="360" w:lineRule="auto"/>
        <w:textAlignment w:val="baseline"/>
        <w:rPr>
          <w:rFonts w:ascii="Georgia" w:eastAsia="Times New Roman" w:hAnsi="Georgia" w:cs="Times New Roman"/>
          <w:color w:val="333333"/>
          <w:sz w:val="20"/>
          <w:szCs w:val="20"/>
        </w:rPr>
      </w:pPr>
    </w:p>
    <w:p w:rsidR="00AD77BB" w:rsidRDefault="00B45BA0">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Definition</w:t>
      </w:r>
    </w:p>
    <w:p w:rsidR="00AD77BB" w:rsidRDefault="00B45BA0">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Given an observed value</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in a data set</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is the</w:t>
      </w:r>
      <w:r>
        <w:rPr>
          <w:rFonts w:ascii="Georgia" w:eastAsia="Times New Roman" w:hAnsi="Georgia" w:cs="Times New Roman"/>
          <w:color w:val="333333"/>
          <w:sz w:val="20"/>
          <w:szCs w:val="20"/>
        </w:rPr>
        <w:t> </w:t>
      </w:r>
      <w:r>
        <w:rPr>
          <w:rFonts w:ascii="Georgia" w:eastAsia="Times New Roman" w:hAnsi="Georgia" w:cs="Times New Roman"/>
          <w:b/>
          <w:color w:val="333333"/>
          <w:sz w:val="20"/>
          <w:szCs w:val="20"/>
        </w:rPr>
        <w:t>Pth percentile</w:t>
      </w:r>
      <w:r>
        <w:rPr>
          <w:rFonts w:ascii="Georgia" w:eastAsia="Times New Roman" w:hAnsi="Georgia" w:cs="Times New Roman"/>
          <w:color w:val="333333"/>
          <w:sz w:val="20"/>
          <w:szCs w:val="20"/>
        </w:rPr>
        <w:t xml:space="preserve"> </w:t>
      </w:r>
      <w:r>
        <w:rPr>
          <w:rFonts w:ascii="Georgia" w:eastAsia="Times New Roman" w:hAnsi="Georgia" w:cs="Times New Roman"/>
          <w:i/>
          <w:iCs/>
          <w:color w:val="333333"/>
          <w:sz w:val="20"/>
          <w:szCs w:val="20"/>
        </w:rPr>
        <w:t>of the data if the percentage of the data that are less than or equal to</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is</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P. The number</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P</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is the</w:t>
      </w:r>
      <w:r>
        <w:rPr>
          <w:rFonts w:ascii="Georgia" w:eastAsia="Times New Roman" w:hAnsi="Georgia" w:cs="Times New Roman"/>
          <w:color w:val="333333"/>
          <w:sz w:val="20"/>
          <w:szCs w:val="20"/>
        </w:rPr>
        <w:t> </w:t>
      </w:r>
      <w:r>
        <w:rPr>
          <w:rFonts w:ascii="Georgia" w:eastAsia="Times New Roman" w:hAnsi="Georgia" w:cs="Times New Roman"/>
          <w:b/>
          <w:color w:val="333333"/>
          <w:sz w:val="20"/>
          <w:szCs w:val="20"/>
        </w:rPr>
        <w:t>percentile rank</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of</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EXAMPLE 13</w:t>
      </w:r>
    </w:p>
    <w:p w:rsidR="00AD77BB" w:rsidRDefault="00B45BA0">
      <w:pPr>
        <w:shd w:val="clear" w:color="auto" w:fill="E3EFF7"/>
        <w:spacing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percentile is the value 1.39 in the data set of ten GPAs considered in </w:t>
      </w:r>
      <w:r>
        <w:rPr>
          <w:rFonts w:ascii="Calibri" w:eastAsia="Times New Roman" w:hAnsi="Calibri" w:cs="Times New Roman"/>
          <w:color w:val="2689C6"/>
          <w:sz w:val="20"/>
          <w:szCs w:val="20"/>
        </w:rPr>
        <w:t>Note 2.12 "Example 3"</w:t>
      </w:r>
      <w:r>
        <w:rPr>
          <w:rFonts w:ascii="Calibri" w:eastAsia="Times New Roman" w:hAnsi="Calibri" w:cs="Times New Roman"/>
          <w:color w:val="333333"/>
          <w:sz w:val="20"/>
          <w:szCs w:val="20"/>
        </w:rPr>
        <w:t> in </w:t>
      </w:r>
      <w:r>
        <w:rPr>
          <w:rFonts w:ascii="Calibri" w:eastAsia="Times New Roman" w:hAnsi="Calibri" w:cs="Times New Roman"/>
          <w:color w:val="2689C6"/>
          <w:sz w:val="20"/>
          <w:szCs w:val="20"/>
        </w:rPr>
        <w:t>Section 2.2 "Measures of Central Location"</w:t>
      </w:r>
      <w:r>
        <w:rPr>
          <w:rFonts w:ascii="Calibri" w:eastAsia="Times New Roman" w:hAnsi="Calibri" w:cs="Times New Roman"/>
          <w:color w:val="333333"/>
          <w:sz w:val="20"/>
          <w:szCs w:val="20"/>
        </w:rPr>
        <w:t>? What percentile is the value 3.33?</w:t>
      </w:r>
    </w:p>
    <w:p w:rsidR="00AD77BB" w:rsidRDefault="00B45BA0">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Solution:</w:t>
      </w:r>
    </w:p>
    <w:p w:rsidR="00AD77BB" w:rsidRDefault="00B45BA0">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data written in increasing order are</w:t>
      </w:r>
    </w:p>
    <w:p w:rsidR="00AD77BB" w:rsidRDefault="00B45BA0">
      <w:pPr>
        <w:shd w:val="clear" w:color="auto" w:fill="E3EFF7"/>
        <w:spacing w:line="270" w:lineRule="atLeast"/>
        <w:jc w:val="center"/>
        <w:textAlignment w:val="baseline"/>
        <w:rPr>
          <w:rFonts w:ascii="Calibri" w:eastAsia="Times New Roman" w:hAnsi="Calibri" w:cs="Times New Roman"/>
          <w:b/>
          <w:color w:val="555555"/>
          <w:sz w:val="23"/>
          <w:szCs w:val="23"/>
        </w:rPr>
      </w:pPr>
      <w:r>
        <w:rPr>
          <w:rFonts w:ascii="MathJax_Main" w:eastAsia="Times New Roman" w:hAnsi="MathJax_Main" w:cs="Times New Roman"/>
          <w:b/>
          <w:color w:val="555555"/>
          <w:sz w:val="18"/>
          <w:szCs w:val="18"/>
        </w:rPr>
        <w:t>1.39 1.76 1.90 2.12 2.53 2.71 3.00 3.33 3.71 4.00</w:t>
      </w:r>
    </w:p>
    <w:p w:rsidR="00AD77BB" w:rsidRDefault="00B45BA0">
      <w:pPr>
        <w:shd w:val="clear" w:color="auto" w:fill="E3EFF7"/>
        <w:spacing w:before="15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only data value that is less than or equal to 1.39 is 1.39 itself. Since 1 is 1∕10 = .10 or 10% of 10, the value 1.39 is the 10th percentile. Eight data values are less than or equal to 3.33. Since 8 is 8∕10 = .80 or 80% of 10, the value 3.33 is the 80th percentile.</w:t>
      </w:r>
    </w:p>
    <w:p w:rsidR="00AD77BB" w:rsidRDefault="00B45BA0">
      <w:pPr>
        <w:shd w:val="clear" w:color="auto" w:fill="FFFFFF"/>
        <w:spacing w:after="0"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The </w:t>
      </w:r>
      <w:r>
        <w:rPr>
          <w:rFonts w:ascii="Georgia" w:eastAsia="Times New Roman" w:hAnsi="Georgia" w:cs="Times New Roman"/>
          <w:i/>
          <w:iCs/>
          <w:color w:val="333333"/>
          <w:sz w:val="20"/>
          <w:szCs w:val="20"/>
        </w:rPr>
        <w:t>P</w:t>
      </w:r>
      <w:r>
        <w:rPr>
          <w:rFonts w:ascii="Georgia" w:eastAsia="Times New Roman" w:hAnsi="Georgia" w:cs="Times New Roman"/>
          <w:color w:val="333333"/>
          <w:sz w:val="21"/>
          <w:szCs w:val="21"/>
        </w:rPr>
        <w:t>th percentile cuts the data set in two so that approximately </w:t>
      </w:r>
      <w:r>
        <w:rPr>
          <w:rFonts w:ascii="Georgia" w:eastAsia="Times New Roman" w:hAnsi="Georgia" w:cs="Times New Roman"/>
          <w:i/>
          <w:iCs/>
          <w:color w:val="333333"/>
          <w:sz w:val="20"/>
          <w:szCs w:val="20"/>
        </w:rPr>
        <w:t>P</w:t>
      </w:r>
      <w:r>
        <w:rPr>
          <w:rFonts w:ascii="Georgia" w:eastAsia="Times New Roman" w:hAnsi="Georgia" w:cs="Times New Roman"/>
          <w:color w:val="333333"/>
          <w:sz w:val="21"/>
          <w:szCs w:val="21"/>
        </w:rPr>
        <w:t>% of the data lie below it and </w:t>
      </w:r>
      <w:r>
        <w:rPr>
          <w:rFonts w:ascii="MathJax_Main" w:eastAsia="Times New Roman" w:hAnsi="MathJax_Main" w:cs="Times New Roman"/>
          <w:color w:val="333333"/>
          <w:sz w:val="18"/>
          <w:szCs w:val="18"/>
        </w:rPr>
        <w:t>(100−</w:t>
      </w:r>
      <w:r>
        <w:rPr>
          <w:rFonts w:ascii="MathJax_Math" w:eastAsia="Times New Roman" w:hAnsi="MathJax_Math" w:cs="Times New Roman"/>
          <w:i/>
          <w:iCs/>
          <w:color w:val="333333"/>
          <w:sz w:val="18"/>
          <w:szCs w:val="18"/>
        </w:rPr>
        <w:t>P</w:t>
      </w:r>
      <w:r>
        <w:rPr>
          <w:rFonts w:ascii="MathJax_Main" w:eastAsia="Times New Roman" w:hAnsi="MathJax_Main" w:cs="Times New Roman"/>
          <w:color w:val="333333"/>
          <w:sz w:val="18"/>
          <w:szCs w:val="18"/>
        </w:rPr>
        <w:t>)</w:t>
      </w:r>
      <w:r>
        <w:rPr>
          <w:rFonts w:ascii="Georgia" w:eastAsia="Times New Roman" w:hAnsi="Georgia" w:cs="Times New Roman"/>
          <w:color w:val="333333"/>
          <w:sz w:val="21"/>
          <w:szCs w:val="21"/>
        </w:rPr>
        <w:t>% of the data lie above it. In particular, the three percentiles that cut the data into fourths, as shown in </w:t>
      </w:r>
      <w:r>
        <w:rPr>
          <w:rFonts w:ascii="Georgia" w:eastAsia="Times New Roman" w:hAnsi="Georgia" w:cs="Times New Roman"/>
          <w:color w:val="2689C6"/>
          <w:sz w:val="21"/>
          <w:szCs w:val="21"/>
        </w:rPr>
        <w:t>Figure 2.12 "Data Division by Quartiles"</w:t>
      </w:r>
      <w:r>
        <w:rPr>
          <w:rFonts w:ascii="Georgia" w:eastAsia="Times New Roman" w:hAnsi="Georgia" w:cs="Times New Roman"/>
          <w:color w:val="333333"/>
          <w:sz w:val="21"/>
          <w:szCs w:val="21"/>
        </w:rPr>
        <w:t>, are called the </w:t>
      </w:r>
      <w:r>
        <w:rPr>
          <w:rFonts w:ascii="Georgia" w:eastAsia="Times New Roman" w:hAnsi="Georgia" w:cs="Times New Roman"/>
          <w:b/>
          <w:color w:val="333333"/>
          <w:sz w:val="20"/>
          <w:szCs w:val="20"/>
        </w:rPr>
        <w:t>quartiles</w:t>
      </w:r>
      <w:r>
        <w:rPr>
          <w:rFonts w:ascii="Georgia" w:eastAsia="Times New Roman" w:hAnsi="Georgia" w:cs="Times New Roman"/>
          <w:color w:val="333333"/>
          <w:sz w:val="21"/>
          <w:szCs w:val="21"/>
        </w:rPr>
        <w:t>. The following simple computational definition of the three quartiles works well in practice.</w:t>
      </w: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t>Figure 2.12</w:t>
      </w:r>
      <w:r>
        <w:rPr>
          <w:rFonts w:ascii="Georgia" w:eastAsia="Times New Roman" w:hAnsi="Georgia" w:cs="Times New Roman"/>
          <w:i/>
          <w:iCs/>
          <w:color w:val="BB9966"/>
          <w:sz w:val="19"/>
          <w:szCs w:val="19"/>
        </w:rPr>
        <w:t> Data Division by Quartiles</w:t>
      </w:r>
    </w:p>
    <w:p w:rsidR="00AD77BB" w:rsidRDefault="00B45BA0">
      <w:pPr>
        <w:shd w:val="clear" w:color="auto" w:fill="FFFFFF"/>
        <w:spacing w:after="0" w:line="439" w:lineRule="atLeast"/>
        <w:textAlignment w:val="baseline"/>
        <w:rPr>
          <w:rFonts w:ascii="Georgia" w:eastAsia="Times New Roman" w:hAnsi="Georgia" w:cs="Times New Roman"/>
          <w:color w:val="333333"/>
          <w:sz w:val="21"/>
          <w:szCs w:val="21"/>
        </w:rPr>
      </w:pPr>
      <w:r>
        <w:rPr>
          <w:noProof/>
        </w:rPr>
        <w:drawing>
          <wp:inline distT="0" distB="0" distL="0" distR="0" wp14:anchorId="65C2A3F1" wp14:editId="771843E4">
            <wp:extent cx="5943600" cy="4505325"/>
            <wp:effectExtent l="0" t="0" r="0" b="9525"/>
            <wp:docPr id="46" name="Picture 67" descr="http://images.flatworldknowledge.com/shafer/shafer-fig02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images.flatworldknowledge.com/shafer/shafer-fig02_01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4505325"/>
                    </a:xfrm>
                    <a:prstGeom prst="rect">
                      <a:avLst/>
                    </a:prstGeom>
                    <a:noFill/>
                    <a:ln>
                      <a:noFill/>
                    </a:ln>
                  </pic:spPr>
                </pic:pic>
              </a:graphicData>
            </a:graphic>
          </wp:inline>
        </w:drawing>
      </w:r>
    </w:p>
    <w:p w:rsidR="00AD77BB" w:rsidRDefault="00AD77BB">
      <w:pPr>
        <w:shd w:val="clear" w:color="auto" w:fill="FFFFFF"/>
        <w:spacing w:after="0" w:line="439" w:lineRule="atLeast"/>
        <w:textAlignment w:val="baseline"/>
        <w:rPr>
          <w:rFonts w:ascii="Georgia" w:eastAsia="Times New Roman" w:hAnsi="Georgia" w:cs="Times New Roman"/>
          <w:color w:val="333333"/>
          <w:sz w:val="21"/>
          <w:szCs w:val="21"/>
        </w:rPr>
      </w:pPr>
    </w:p>
    <w:p w:rsidR="00AD77BB" w:rsidRDefault="00B45BA0">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Definition</w:t>
      </w:r>
    </w:p>
    <w:p w:rsidR="00AD77BB" w:rsidRDefault="00B45BA0">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For any data set:</w:t>
      </w:r>
    </w:p>
    <w:p w:rsidR="00AD77BB" w:rsidRDefault="00B45BA0">
      <w:pPr>
        <w:numPr>
          <w:ilvl w:val="0"/>
          <w:numId w:val="3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The</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second quartile</w:t>
      </w:r>
      <w:r>
        <w:rPr>
          <w:rFonts w:ascii="Georgia" w:eastAsia="Times New Roman" w:hAnsi="Georgia" w:cs="Times New Roman"/>
          <w:color w:val="333333"/>
          <w:sz w:val="20"/>
          <w:szCs w:val="20"/>
        </w:rPr>
        <w:t> </w:t>
      </w:r>
      <w:r>
        <w:rPr>
          <w:rFonts w:ascii="MathJax_Math" w:eastAsia="Times New Roman" w:hAnsi="MathJax_Math" w:cs="Times New Roman"/>
          <w:i/>
          <w:iCs/>
          <w:color w:val="333333"/>
          <w:sz w:val="18"/>
          <w:szCs w:val="18"/>
        </w:rPr>
        <w:t>Q</w:t>
      </w:r>
      <w:r>
        <w:rPr>
          <w:rFonts w:ascii="MathJax_Main" w:eastAsia="Times New Roman" w:hAnsi="MathJax_Main" w:cs="Times New Roman"/>
          <w:color w:val="333333"/>
          <w:sz w:val="14"/>
          <w:szCs w:val="14"/>
          <w:vertAlign w:val="subscript"/>
        </w:rPr>
        <w:t>2</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of the data set is its median.</w:t>
      </w:r>
    </w:p>
    <w:p w:rsidR="00AD77BB" w:rsidRDefault="00B45BA0">
      <w:pPr>
        <w:numPr>
          <w:ilvl w:val="0"/>
          <w:numId w:val="3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Define two subsets:</w:t>
      </w:r>
    </w:p>
    <w:p w:rsidR="00AD77BB" w:rsidRDefault="00B45BA0">
      <w:pPr>
        <w:numPr>
          <w:ilvl w:val="2"/>
          <w:numId w:val="3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the lower set: all observations that are strictly less than</w:t>
      </w:r>
      <w:r>
        <w:rPr>
          <w:rFonts w:ascii="Georgia" w:eastAsia="Times New Roman" w:hAnsi="Georgia" w:cs="Times New Roman"/>
          <w:color w:val="333333"/>
          <w:sz w:val="20"/>
          <w:szCs w:val="20"/>
        </w:rPr>
        <w:t> </w:t>
      </w:r>
      <w:r>
        <w:rPr>
          <w:rFonts w:ascii="MathJax_Math" w:eastAsia="Times New Roman" w:hAnsi="MathJax_Math" w:cs="Times New Roman"/>
          <w:i/>
          <w:iCs/>
          <w:color w:val="333333"/>
          <w:sz w:val="18"/>
          <w:szCs w:val="18"/>
        </w:rPr>
        <w:t>Q</w:t>
      </w:r>
      <w:r>
        <w:rPr>
          <w:rFonts w:ascii="MathJax_Main" w:eastAsia="Times New Roman" w:hAnsi="MathJax_Main" w:cs="Times New Roman"/>
          <w:color w:val="333333"/>
          <w:sz w:val="14"/>
          <w:szCs w:val="14"/>
          <w:vertAlign w:val="subscript"/>
        </w:rPr>
        <w:t>2</w:t>
      </w:r>
      <w:r>
        <w:rPr>
          <w:rFonts w:ascii="Georgia" w:eastAsia="Times New Roman" w:hAnsi="Georgia" w:cs="Times New Roman"/>
          <w:color w:val="333333"/>
          <w:sz w:val="20"/>
          <w:szCs w:val="20"/>
        </w:rPr>
        <w:t>;</w:t>
      </w:r>
    </w:p>
    <w:p w:rsidR="00AD77BB" w:rsidRDefault="00B45BA0">
      <w:pPr>
        <w:numPr>
          <w:ilvl w:val="2"/>
          <w:numId w:val="30"/>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the upper set: all observations that are strictly greater than</w:t>
      </w:r>
      <w:r>
        <w:rPr>
          <w:rFonts w:ascii="Georgia" w:eastAsia="Times New Roman" w:hAnsi="Georgia" w:cs="Times New Roman"/>
          <w:color w:val="333333"/>
          <w:sz w:val="20"/>
          <w:szCs w:val="20"/>
        </w:rPr>
        <w:t> </w:t>
      </w:r>
      <w:r>
        <w:rPr>
          <w:rFonts w:ascii="MathJax_Math" w:eastAsia="Times New Roman" w:hAnsi="MathJax_Math" w:cs="Times New Roman"/>
          <w:i/>
          <w:iCs/>
          <w:color w:val="333333"/>
          <w:sz w:val="18"/>
          <w:szCs w:val="18"/>
        </w:rPr>
        <w:t>Q</w:t>
      </w:r>
      <w:r>
        <w:rPr>
          <w:rFonts w:ascii="MathJax_Main" w:eastAsia="Times New Roman" w:hAnsi="MathJax_Main" w:cs="Times New Roman"/>
          <w:color w:val="333333"/>
          <w:sz w:val="14"/>
          <w:szCs w:val="14"/>
          <w:vertAlign w:val="subscript"/>
        </w:rPr>
        <w:t>2</w:t>
      </w:r>
      <w:r>
        <w:rPr>
          <w:rFonts w:ascii="MathJax_Main" w:eastAsia="Times New Roman" w:hAnsi="MathJax_Main" w:cs="Times New Roman"/>
          <w:color w:val="333333"/>
          <w:sz w:val="18"/>
          <w:szCs w:val="18"/>
        </w:rPr>
        <w:t>.</w:t>
      </w:r>
    </w:p>
    <w:p w:rsidR="00AD77BB" w:rsidRDefault="00B45BA0">
      <w:pPr>
        <w:numPr>
          <w:ilvl w:val="0"/>
          <w:numId w:val="30"/>
        </w:numPr>
        <w:shd w:val="clear" w:color="auto" w:fill="F4F4F4"/>
        <w:spacing w:after="0"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The</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first quartile</w:t>
      </w:r>
      <w:r>
        <w:rPr>
          <w:rFonts w:ascii="Georgia" w:eastAsia="Times New Roman" w:hAnsi="Georgia" w:cs="Times New Roman"/>
          <w:color w:val="333333"/>
          <w:sz w:val="20"/>
          <w:szCs w:val="20"/>
        </w:rPr>
        <w:t> </w:t>
      </w:r>
      <w:r>
        <w:rPr>
          <w:rFonts w:ascii="MathJax_Math" w:eastAsia="Times New Roman" w:hAnsi="MathJax_Math" w:cs="Times New Roman"/>
          <w:i/>
          <w:iCs/>
          <w:color w:val="333333"/>
          <w:sz w:val="18"/>
          <w:szCs w:val="18"/>
        </w:rPr>
        <w:t>Q</w:t>
      </w:r>
      <w:r>
        <w:rPr>
          <w:rFonts w:ascii="MathJax_Main" w:eastAsia="Times New Roman" w:hAnsi="MathJax_Main" w:cs="Times New Roman"/>
          <w:color w:val="333333"/>
          <w:sz w:val="14"/>
          <w:szCs w:val="14"/>
          <w:vertAlign w:val="subscript"/>
        </w:rPr>
        <w:t>1</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of the data set is the median of the lower set.</w:t>
      </w:r>
    </w:p>
    <w:p w:rsidR="00AD77BB" w:rsidRDefault="00B45BA0">
      <w:pPr>
        <w:numPr>
          <w:ilvl w:val="0"/>
          <w:numId w:val="30"/>
        </w:numPr>
        <w:shd w:val="clear" w:color="auto" w:fill="F4F4F4"/>
        <w:spacing w:line="439" w:lineRule="atLeast"/>
        <w:ind w:left="360"/>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lastRenderedPageBreak/>
        <w:t>The</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third quartile</w:t>
      </w:r>
      <w:r>
        <w:rPr>
          <w:rFonts w:ascii="Georgia" w:eastAsia="Times New Roman" w:hAnsi="Georgia" w:cs="Times New Roman"/>
          <w:color w:val="333333"/>
          <w:sz w:val="20"/>
          <w:szCs w:val="20"/>
        </w:rPr>
        <w:t> </w:t>
      </w:r>
      <w:r>
        <w:rPr>
          <w:rFonts w:ascii="MathJax_Math" w:eastAsia="Times New Roman" w:hAnsi="MathJax_Math" w:cs="Times New Roman"/>
          <w:i/>
          <w:iCs/>
          <w:color w:val="333333"/>
          <w:sz w:val="18"/>
          <w:szCs w:val="18"/>
        </w:rPr>
        <w:t>Q</w:t>
      </w:r>
      <w:r>
        <w:rPr>
          <w:rFonts w:ascii="MathJax_Main" w:eastAsia="Times New Roman" w:hAnsi="MathJax_Main" w:cs="Times New Roman"/>
          <w:color w:val="333333"/>
          <w:sz w:val="14"/>
          <w:szCs w:val="14"/>
          <w:vertAlign w:val="subscript"/>
        </w:rPr>
        <w:t>3</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of the data set is the median of the upper set.</w:t>
      </w:r>
    </w:p>
    <w:p w:rsidR="00AD77BB" w:rsidRDefault="00B45BA0">
      <w:pPr>
        <w:shd w:val="clear" w:color="auto" w:fill="08629A"/>
        <w:spacing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EXAMPLE 14</w:t>
      </w:r>
    </w:p>
    <w:p w:rsidR="00AD77BB" w:rsidRDefault="00B45BA0">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Find the quartiles of the data set of GPAs of</w:t>
      </w:r>
      <w:r>
        <w:rPr>
          <w:rStyle w:val="apple-converted-space"/>
          <w:rFonts w:ascii="Calibri" w:hAnsi="Calibri"/>
          <w:color w:val="333333"/>
          <w:sz w:val="20"/>
          <w:szCs w:val="20"/>
        </w:rPr>
        <w:t> </w:t>
      </w:r>
      <w:r>
        <w:rPr>
          <w:rFonts w:ascii="Calibri" w:hAnsi="Calibri"/>
          <w:color w:val="2689C6"/>
          <w:sz w:val="20"/>
          <w:szCs w:val="20"/>
        </w:rPr>
        <w:t>Note 2.12 "Example 3"</w:t>
      </w:r>
      <w:r>
        <w:rPr>
          <w:rStyle w:val="apple-converted-space"/>
          <w:rFonts w:ascii="Calibri" w:hAnsi="Calibri"/>
          <w:color w:val="333333"/>
          <w:sz w:val="20"/>
          <w:szCs w:val="20"/>
        </w:rPr>
        <w:t> </w:t>
      </w:r>
      <w:r>
        <w:rPr>
          <w:rFonts w:ascii="Calibri" w:hAnsi="Calibri"/>
          <w:color w:val="333333"/>
          <w:sz w:val="20"/>
          <w:szCs w:val="20"/>
        </w:rPr>
        <w:t>in</w:t>
      </w:r>
      <w:r>
        <w:rPr>
          <w:rStyle w:val="apple-converted-space"/>
          <w:rFonts w:ascii="Calibri" w:hAnsi="Calibri"/>
          <w:color w:val="333333"/>
          <w:sz w:val="20"/>
          <w:szCs w:val="20"/>
        </w:rPr>
        <w:t> </w:t>
      </w:r>
      <w:r>
        <w:rPr>
          <w:rFonts w:ascii="Calibri" w:hAnsi="Calibri"/>
          <w:color w:val="2689C6"/>
          <w:sz w:val="20"/>
          <w:szCs w:val="20"/>
        </w:rPr>
        <w:t>Section 2.2 "Measures of Central Location"</w:t>
      </w:r>
      <w:r>
        <w:rPr>
          <w:rFonts w:ascii="Calibri" w:hAnsi="Calibri"/>
          <w:color w:val="333333"/>
          <w:sz w:val="20"/>
          <w:szCs w:val="20"/>
        </w:rPr>
        <w:t>.</w:t>
      </w:r>
    </w:p>
    <w:p w:rsidR="00AD77BB" w:rsidRDefault="00B45BA0">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Solution:</w:t>
      </w:r>
    </w:p>
    <w:p w:rsidR="00AD77BB" w:rsidRDefault="00B45BA0">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As in the previous example we first list the data in numerical order:</w:t>
      </w:r>
    </w:p>
    <w:p w:rsidR="00AD77BB" w:rsidRDefault="00B45BA0">
      <w:pPr>
        <w:shd w:val="clear" w:color="auto" w:fill="E3EFF7"/>
        <w:spacing w:line="270" w:lineRule="atLeast"/>
        <w:jc w:val="center"/>
        <w:textAlignment w:val="baseline"/>
        <w:rPr>
          <w:rFonts w:ascii="Calibri" w:hAnsi="Calibri"/>
          <w:b/>
          <w:color w:val="555555"/>
          <w:sz w:val="23"/>
          <w:szCs w:val="23"/>
        </w:rPr>
      </w:pPr>
      <w:r>
        <w:rPr>
          <w:rStyle w:val="mn"/>
          <w:rFonts w:ascii="MathJax_Main" w:hAnsi="MathJax_Main"/>
          <w:b/>
          <w:color w:val="555555"/>
          <w:sz w:val="18"/>
          <w:szCs w:val="18"/>
        </w:rPr>
        <w:t>1.39 1.76 1.90 2.12 2.53 2.71 3.00 3.33 3.71 4.00</w:t>
      </w:r>
    </w:p>
    <w:p w:rsidR="00AD77BB" w:rsidRDefault="00B45BA0">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This data set has</w:t>
      </w:r>
      <w:r>
        <w:rPr>
          <w:rStyle w:val="apple-converted-space"/>
          <w:rFonts w:ascii="Calibri" w:hAnsi="Calibri"/>
          <w:color w:val="333333"/>
          <w:sz w:val="20"/>
          <w:szCs w:val="20"/>
        </w:rPr>
        <w:t> </w:t>
      </w:r>
      <w:r>
        <w:rPr>
          <w:rStyle w:val="Emphasis"/>
          <w:rFonts w:ascii="Calibri" w:hAnsi="Calibri"/>
          <w:color w:val="333333"/>
          <w:sz w:val="20"/>
          <w:szCs w:val="20"/>
        </w:rPr>
        <w:t>n</w:t>
      </w:r>
      <w:r>
        <w:rPr>
          <w:rStyle w:val="apple-converted-space"/>
          <w:rFonts w:ascii="Calibri" w:hAnsi="Calibri"/>
          <w:color w:val="333333"/>
          <w:sz w:val="20"/>
          <w:szCs w:val="20"/>
        </w:rPr>
        <w:t> </w:t>
      </w:r>
      <w:r>
        <w:rPr>
          <w:rFonts w:ascii="Calibri" w:hAnsi="Calibri"/>
          <w:color w:val="333333"/>
          <w:sz w:val="20"/>
          <w:szCs w:val="20"/>
        </w:rPr>
        <w:t>= 10 observations. Since 10 is an even number, the median is the mean of the two middle observations:</w:t>
      </w:r>
      <w:r>
        <w:rPr>
          <w:rStyle w:val="apple-converted-space"/>
          <w:rFonts w:ascii="Calibri" w:hAnsi="Calibri"/>
          <w:color w:val="333333"/>
          <w:sz w:val="20"/>
          <w:szCs w:val="20"/>
        </w:rPr>
        <w:t> </w:t>
      </w:r>
      <w:r>
        <w:rPr>
          <w:rStyle w:val="mi"/>
          <w:rFonts w:ascii="MathJax_Math" w:hAnsi="MathJax_Math"/>
          <w:i/>
          <w:iCs/>
          <w:color w:val="333333"/>
          <w:sz w:val="20"/>
          <w:szCs w:val="20"/>
        </w:rPr>
        <w:t>x</w:t>
      </w:r>
      <w:r>
        <w:rPr>
          <w:rStyle w:val="mo"/>
          <w:rFonts w:ascii="MathJax_Size1" w:hAnsi="MathJax_Size1"/>
          <w:color w:val="333333"/>
          <w:sz w:val="15"/>
          <w:szCs w:val="15"/>
        </w:rPr>
        <w:t>˜</w:t>
      </w:r>
      <w:r>
        <w:rPr>
          <w:rStyle w:val="mo"/>
          <w:rFonts w:ascii="MathJax_Main" w:hAnsi="MathJax_Main"/>
          <w:color w:val="333333"/>
          <w:sz w:val="15"/>
          <w:szCs w:val="15"/>
        </w:rPr>
        <w:t>=(</w:t>
      </w:r>
      <w:r>
        <w:rPr>
          <w:rStyle w:val="mn"/>
          <w:rFonts w:ascii="MathJax_Main" w:hAnsi="MathJax_Main"/>
          <w:color w:val="333333"/>
          <w:sz w:val="15"/>
          <w:szCs w:val="15"/>
        </w:rPr>
        <w:t xml:space="preserve">2.53 </w:t>
      </w:r>
      <w:r>
        <w:rPr>
          <w:rStyle w:val="mo"/>
          <w:rFonts w:ascii="MathJax_Main" w:hAnsi="MathJax_Main"/>
          <w:color w:val="333333"/>
          <w:sz w:val="15"/>
          <w:szCs w:val="15"/>
        </w:rPr>
        <w:t xml:space="preserve">+ </w:t>
      </w:r>
      <w:r>
        <w:rPr>
          <w:rStyle w:val="mn"/>
          <w:rFonts w:ascii="MathJax_Main" w:hAnsi="MathJax_Main"/>
          <w:color w:val="333333"/>
          <w:sz w:val="15"/>
          <w:szCs w:val="15"/>
        </w:rPr>
        <w:t>2.71</w:t>
      </w:r>
      <w:r>
        <w:rPr>
          <w:rStyle w:val="mo"/>
          <w:rFonts w:ascii="MathJax_Main" w:hAnsi="MathJax_Main"/>
          <w:color w:val="333333"/>
          <w:sz w:val="15"/>
          <w:szCs w:val="15"/>
        </w:rPr>
        <w:t>)</w:t>
      </w:r>
      <w:r>
        <w:rPr>
          <w:rStyle w:val="mo"/>
          <w:rFonts w:ascii="MathJax_Size2" w:hAnsi="MathJax_Size2"/>
          <w:color w:val="333333"/>
          <w:sz w:val="15"/>
          <w:szCs w:val="15"/>
        </w:rPr>
        <w:t>/</w:t>
      </w:r>
      <w:r>
        <w:rPr>
          <w:rStyle w:val="mn"/>
          <w:rFonts w:ascii="MathJax_Main" w:hAnsi="MathJax_Main"/>
          <w:color w:val="333333"/>
          <w:sz w:val="15"/>
          <w:szCs w:val="15"/>
        </w:rPr>
        <w:t>2</w:t>
      </w:r>
      <w:r>
        <w:rPr>
          <w:rStyle w:val="mo"/>
          <w:rFonts w:ascii="MathJax_Main" w:hAnsi="MathJax_Main"/>
          <w:color w:val="333333"/>
          <w:sz w:val="15"/>
          <w:szCs w:val="15"/>
        </w:rPr>
        <w:t>=</w:t>
      </w:r>
      <w:r>
        <w:rPr>
          <w:rStyle w:val="mn"/>
          <w:rFonts w:ascii="MathJax_Main" w:hAnsi="MathJax_Main"/>
          <w:color w:val="333333"/>
          <w:sz w:val="15"/>
          <w:szCs w:val="15"/>
        </w:rPr>
        <w:t>2.62</w:t>
      </w:r>
      <w:r>
        <w:rPr>
          <w:rStyle w:val="mo"/>
          <w:rFonts w:ascii="MathJax_Main" w:hAnsi="MathJax_Main"/>
          <w:color w:val="333333"/>
          <w:sz w:val="15"/>
          <w:szCs w:val="15"/>
        </w:rPr>
        <w:t>.</w:t>
      </w:r>
      <w:r>
        <w:rPr>
          <w:rStyle w:val="apple-converted-space"/>
          <w:rFonts w:ascii="Calibri" w:hAnsi="Calibri"/>
          <w:color w:val="333333"/>
          <w:sz w:val="20"/>
          <w:szCs w:val="20"/>
        </w:rPr>
        <w:t> </w:t>
      </w:r>
      <w:r>
        <w:rPr>
          <w:rFonts w:ascii="Calibri" w:hAnsi="Calibri"/>
          <w:color w:val="333333"/>
          <w:sz w:val="20"/>
          <w:szCs w:val="20"/>
        </w:rPr>
        <w:t>Thus the second quartile is</w:t>
      </w:r>
      <w:r>
        <w:rPr>
          <w:rStyle w:val="apple-converted-space"/>
          <w:rFonts w:ascii="Calibri" w:hAnsi="Calibri"/>
          <w:color w:val="333333"/>
          <w:sz w:val="20"/>
          <w:szCs w:val="20"/>
        </w:rPr>
        <w:t> </w:t>
      </w:r>
      <w:r>
        <w:rPr>
          <w:rStyle w:val="mi"/>
          <w:rFonts w:ascii="MathJax_Math" w:hAnsi="MathJax_Math"/>
          <w:i/>
          <w:iCs/>
          <w:color w:val="333333"/>
          <w:sz w:val="15"/>
          <w:szCs w:val="15"/>
        </w:rPr>
        <w:t>Q</w:t>
      </w:r>
      <w:r>
        <w:rPr>
          <w:rStyle w:val="mn"/>
          <w:rFonts w:ascii="MathJax_Main" w:hAnsi="MathJax_Main"/>
          <w:color w:val="333333"/>
          <w:sz w:val="12"/>
          <w:szCs w:val="12"/>
          <w:vertAlign w:val="subscript"/>
        </w:rPr>
        <w:t>2</w:t>
      </w:r>
      <w:r>
        <w:rPr>
          <w:rStyle w:val="mo"/>
          <w:rFonts w:ascii="MathJax_Main" w:hAnsi="MathJax_Main"/>
          <w:color w:val="333333"/>
          <w:sz w:val="15"/>
          <w:szCs w:val="15"/>
        </w:rPr>
        <w:t>=</w:t>
      </w:r>
      <w:r>
        <w:rPr>
          <w:rStyle w:val="mn"/>
          <w:rFonts w:ascii="MathJax_Main" w:hAnsi="MathJax_Main"/>
          <w:color w:val="333333"/>
          <w:sz w:val="15"/>
          <w:szCs w:val="15"/>
        </w:rPr>
        <w:t>2.62</w:t>
      </w:r>
      <w:r>
        <w:rPr>
          <w:rStyle w:val="mo"/>
          <w:rFonts w:ascii="MathJax_Main" w:hAnsi="MathJax_Main"/>
          <w:color w:val="333333"/>
          <w:sz w:val="15"/>
          <w:szCs w:val="15"/>
        </w:rPr>
        <w:t>.</w:t>
      </w:r>
      <w:r>
        <w:rPr>
          <w:rStyle w:val="apple-converted-space"/>
          <w:rFonts w:ascii="Calibri" w:hAnsi="Calibri"/>
          <w:color w:val="333333"/>
          <w:sz w:val="20"/>
          <w:szCs w:val="20"/>
        </w:rPr>
        <w:t> </w:t>
      </w:r>
      <w:r>
        <w:rPr>
          <w:rFonts w:ascii="Calibri" w:hAnsi="Calibri"/>
          <w:color w:val="333333"/>
          <w:sz w:val="20"/>
          <w:szCs w:val="20"/>
        </w:rPr>
        <w:t>The lower and upper subsets are</w:t>
      </w:r>
    </w:p>
    <w:p w:rsidR="00AD77BB" w:rsidRDefault="00B45BA0">
      <w:pPr>
        <w:shd w:val="clear" w:color="auto" w:fill="E3EFF7"/>
        <w:spacing w:line="270" w:lineRule="atLeast"/>
        <w:ind w:left="2880"/>
        <w:textAlignment w:val="baseline"/>
        <w:rPr>
          <w:rStyle w:val="mi"/>
          <w:rFonts w:ascii="MathJax_Math" w:hAnsi="MathJax_Math"/>
          <w:i/>
          <w:iCs/>
          <w:color w:val="555555"/>
          <w:sz w:val="18"/>
          <w:szCs w:val="18"/>
        </w:rPr>
      </w:pPr>
      <w:r>
        <w:rPr>
          <w:rStyle w:val="mtext"/>
          <w:rFonts w:ascii="MathJax_Main" w:hAnsi="MathJax_Main"/>
          <w:color w:val="555555"/>
          <w:sz w:val="18"/>
          <w:szCs w:val="18"/>
        </w:rPr>
        <w:t>Lower:</w:t>
      </w:r>
      <w:r>
        <w:rPr>
          <w:rStyle w:val="mtext"/>
          <w:rFonts w:ascii="MathJax_Main" w:hAnsi="MathJax_Main"/>
          <w:color w:val="555555"/>
          <w:sz w:val="18"/>
          <w:szCs w:val="18"/>
        </w:rPr>
        <w:t> </w:t>
      </w:r>
      <w:r>
        <w:rPr>
          <w:rStyle w:val="mi"/>
          <w:rFonts w:ascii="MathJax_Math" w:hAnsi="MathJax_Math"/>
          <w:i/>
          <w:iCs/>
          <w:color w:val="555555"/>
          <w:sz w:val="18"/>
          <w:szCs w:val="18"/>
        </w:rPr>
        <w:t>L=</w:t>
      </w:r>
      <w:r>
        <w:rPr>
          <w:rStyle w:val="mo"/>
          <w:rFonts w:ascii="MathJax_Main" w:hAnsi="MathJax_Main"/>
          <w:color w:val="555555"/>
          <w:sz w:val="18"/>
          <w:szCs w:val="18"/>
        </w:rPr>
        <w:t>{</w:t>
      </w:r>
      <w:r>
        <w:rPr>
          <w:rStyle w:val="mn"/>
          <w:rFonts w:ascii="MathJax_Main" w:hAnsi="MathJax_Main"/>
          <w:color w:val="555555"/>
          <w:sz w:val="18"/>
          <w:szCs w:val="18"/>
        </w:rPr>
        <w:t>1</w:t>
      </w:r>
      <w:r>
        <w:rPr>
          <w:rStyle w:val="mo"/>
          <w:rFonts w:ascii="MathJax_Main" w:hAnsi="MathJax_Main"/>
          <w:color w:val="555555"/>
          <w:sz w:val="18"/>
          <w:szCs w:val="18"/>
        </w:rPr>
        <w:t>.</w:t>
      </w:r>
      <w:r>
        <w:rPr>
          <w:rStyle w:val="mn"/>
          <w:rFonts w:ascii="MathJax_Main" w:hAnsi="MathJax_Main"/>
          <w:color w:val="555555"/>
          <w:sz w:val="18"/>
          <w:szCs w:val="18"/>
        </w:rPr>
        <w:t>39,1</w:t>
      </w:r>
      <w:r>
        <w:rPr>
          <w:rStyle w:val="mo"/>
          <w:rFonts w:ascii="MathJax_Main" w:hAnsi="MathJax_Main"/>
          <w:color w:val="555555"/>
          <w:sz w:val="18"/>
          <w:szCs w:val="18"/>
        </w:rPr>
        <w:t>.</w:t>
      </w:r>
      <w:r>
        <w:rPr>
          <w:rStyle w:val="mn"/>
          <w:rFonts w:ascii="MathJax_Main" w:hAnsi="MathJax_Main"/>
          <w:color w:val="555555"/>
          <w:sz w:val="18"/>
          <w:szCs w:val="18"/>
        </w:rPr>
        <w:t>76,1</w:t>
      </w:r>
      <w:r>
        <w:rPr>
          <w:rStyle w:val="mo"/>
          <w:rFonts w:ascii="MathJax_Main" w:hAnsi="MathJax_Main"/>
          <w:color w:val="555555"/>
          <w:sz w:val="18"/>
          <w:szCs w:val="18"/>
        </w:rPr>
        <w:t>.</w:t>
      </w:r>
      <w:r>
        <w:rPr>
          <w:rStyle w:val="mn"/>
          <w:rFonts w:ascii="MathJax_Main" w:hAnsi="MathJax_Main"/>
          <w:color w:val="555555"/>
          <w:sz w:val="18"/>
          <w:szCs w:val="18"/>
        </w:rPr>
        <w:t>90,2</w:t>
      </w:r>
      <w:r>
        <w:rPr>
          <w:rStyle w:val="mo"/>
          <w:rFonts w:ascii="MathJax_Main" w:hAnsi="MathJax_Main"/>
          <w:color w:val="555555"/>
          <w:sz w:val="18"/>
          <w:szCs w:val="18"/>
        </w:rPr>
        <w:t>.</w:t>
      </w:r>
      <w:r>
        <w:rPr>
          <w:rStyle w:val="mn"/>
          <w:rFonts w:ascii="MathJax_Main" w:hAnsi="MathJax_Main"/>
          <w:color w:val="555555"/>
          <w:sz w:val="18"/>
          <w:szCs w:val="18"/>
        </w:rPr>
        <w:t>12,2</w:t>
      </w:r>
      <w:r>
        <w:rPr>
          <w:rStyle w:val="mo"/>
          <w:rFonts w:ascii="MathJax_Main" w:hAnsi="MathJax_Main"/>
          <w:color w:val="555555"/>
          <w:sz w:val="18"/>
          <w:szCs w:val="18"/>
        </w:rPr>
        <w:t>.</w:t>
      </w:r>
      <w:r>
        <w:rPr>
          <w:rStyle w:val="mn"/>
          <w:rFonts w:ascii="MathJax_Main" w:hAnsi="MathJax_Main"/>
          <w:color w:val="555555"/>
          <w:sz w:val="18"/>
          <w:szCs w:val="18"/>
        </w:rPr>
        <w:t>53</w:t>
      </w:r>
      <w:r>
        <w:rPr>
          <w:rStyle w:val="mo"/>
          <w:rFonts w:ascii="MathJax_Main" w:hAnsi="MathJax_Main"/>
          <w:color w:val="555555"/>
          <w:sz w:val="18"/>
          <w:szCs w:val="18"/>
        </w:rPr>
        <w:t>}</w:t>
      </w:r>
    </w:p>
    <w:p w:rsidR="00AD77BB" w:rsidRDefault="00B45BA0">
      <w:pPr>
        <w:shd w:val="clear" w:color="auto" w:fill="E3EFF7"/>
        <w:spacing w:line="270" w:lineRule="atLeast"/>
        <w:jc w:val="center"/>
        <w:textAlignment w:val="baseline"/>
        <w:rPr>
          <w:rFonts w:ascii="Calibri" w:hAnsi="Calibri"/>
          <w:sz w:val="23"/>
          <w:szCs w:val="23"/>
        </w:rPr>
      </w:pPr>
      <w:r>
        <w:rPr>
          <w:rStyle w:val="mtext"/>
          <w:rFonts w:ascii="MathJax_Main" w:hAnsi="MathJax_Main"/>
          <w:color w:val="555555"/>
          <w:sz w:val="18"/>
          <w:szCs w:val="18"/>
        </w:rPr>
        <w:t>Upper:</w:t>
      </w:r>
      <w:r>
        <w:rPr>
          <w:rStyle w:val="mtext"/>
          <w:rFonts w:ascii="MathJax_Main" w:hAnsi="MathJax_Main"/>
          <w:color w:val="555555"/>
          <w:sz w:val="18"/>
          <w:szCs w:val="18"/>
        </w:rPr>
        <w:t> </w:t>
      </w:r>
      <w:r>
        <w:rPr>
          <w:rStyle w:val="mi"/>
          <w:rFonts w:ascii="MathJax_Math" w:hAnsi="MathJax_Math"/>
          <w:i/>
          <w:iCs/>
          <w:color w:val="555555"/>
          <w:sz w:val="18"/>
          <w:szCs w:val="18"/>
        </w:rPr>
        <w:t>U</w:t>
      </w:r>
      <w:r>
        <w:rPr>
          <w:rStyle w:val="mo"/>
          <w:rFonts w:ascii="MathJax_Main" w:hAnsi="MathJax_Main"/>
          <w:color w:val="555555"/>
          <w:sz w:val="18"/>
          <w:szCs w:val="18"/>
        </w:rPr>
        <w:t>={</w:t>
      </w:r>
      <w:r>
        <w:rPr>
          <w:rStyle w:val="mn"/>
          <w:rFonts w:ascii="MathJax_Main" w:hAnsi="MathJax_Main"/>
          <w:color w:val="555555"/>
          <w:sz w:val="18"/>
          <w:szCs w:val="18"/>
        </w:rPr>
        <w:t>2</w:t>
      </w:r>
      <w:r>
        <w:rPr>
          <w:rStyle w:val="mo"/>
          <w:rFonts w:ascii="MathJax_Main" w:hAnsi="MathJax_Main"/>
          <w:color w:val="555555"/>
          <w:sz w:val="18"/>
          <w:szCs w:val="18"/>
        </w:rPr>
        <w:t>.</w:t>
      </w:r>
      <w:r>
        <w:rPr>
          <w:rStyle w:val="mn"/>
          <w:rFonts w:ascii="MathJax_Main" w:hAnsi="MathJax_Main"/>
          <w:color w:val="555555"/>
          <w:sz w:val="18"/>
          <w:szCs w:val="18"/>
        </w:rPr>
        <w:t>71,3</w:t>
      </w:r>
      <w:r>
        <w:rPr>
          <w:rStyle w:val="mo"/>
          <w:rFonts w:ascii="MathJax_Main" w:hAnsi="MathJax_Main"/>
          <w:color w:val="555555"/>
          <w:sz w:val="18"/>
          <w:szCs w:val="18"/>
        </w:rPr>
        <w:t>.</w:t>
      </w:r>
      <w:r>
        <w:rPr>
          <w:rStyle w:val="mn"/>
          <w:rFonts w:ascii="MathJax_Main" w:hAnsi="MathJax_Main"/>
          <w:color w:val="555555"/>
          <w:sz w:val="18"/>
          <w:szCs w:val="18"/>
        </w:rPr>
        <w:t>00,3</w:t>
      </w:r>
      <w:r>
        <w:rPr>
          <w:rStyle w:val="mo"/>
          <w:rFonts w:ascii="MathJax_Main" w:hAnsi="MathJax_Main"/>
          <w:color w:val="555555"/>
          <w:sz w:val="18"/>
          <w:szCs w:val="18"/>
        </w:rPr>
        <w:t>.</w:t>
      </w:r>
      <w:r>
        <w:rPr>
          <w:rStyle w:val="mn"/>
          <w:rFonts w:ascii="MathJax_Main" w:hAnsi="MathJax_Main"/>
          <w:color w:val="555555"/>
          <w:sz w:val="18"/>
          <w:szCs w:val="18"/>
        </w:rPr>
        <w:t>33,3</w:t>
      </w:r>
      <w:r>
        <w:rPr>
          <w:rStyle w:val="mo"/>
          <w:rFonts w:ascii="MathJax_Main" w:hAnsi="MathJax_Main"/>
          <w:color w:val="555555"/>
          <w:sz w:val="18"/>
          <w:szCs w:val="18"/>
        </w:rPr>
        <w:t>.</w:t>
      </w:r>
      <w:r>
        <w:rPr>
          <w:rStyle w:val="mn"/>
          <w:rFonts w:ascii="MathJax_Main" w:hAnsi="MathJax_Main"/>
          <w:color w:val="555555"/>
          <w:sz w:val="18"/>
          <w:szCs w:val="18"/>
        </w:rPr>
        <w:t>71,4</w:t>
      </w:r>
      <w:r>
        <w:rPr>
          <w:rStyle w:val="mo"/>
          <w:rFonts w:ascii="MathJax_Main" w:hAnsi="MathJax_Main"/>
          <w:color w:val="555555"/>
          <w:sz w:val="18"/>
          <w:szCs w:val="18"/>
        </w:rPr>
        <w:t>.</w:t>
      </w:r>
      <w:r>
        <w:rPr>
          <w:rStyle w:val="mn"/>
          <w:rFonts w:ascii="MathJax_Main" w:hAnsi="MathJax_Main"/>
          <w:color w:val="555555"/>
          <w:sz w:val="18"/>
          <w:szCs w:val="18"/>
        </w:rPr>
        <w:t>00</w:t>
      </w:r>
      <w:r>
        <w:rPr>
          <w:rStyle w:val="mo"/>
          <w:rFonts w:ascii="MathJax_Main" w:hAnsi="MathJax_Main"/>
          <w:color w:val="555555"/>
          <w:sz w:val="18"/>
          <w:szCs w:val="18"/>
        </w:rPr>
        <w:t>}</w:t>
      </w:r>
    </w:p>
    <w:p w:rsidR="00AD77BB" w:rsidRDefault="00B45BA0">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Each has an odd number of elements, so the median of each is its middle observation. Thus the first quartile is</w:t>
      </w:r>
      <w:r>
        <w:rPr>
          <w:rStyle w:val="apple-converted-space"/>
          <w:rFonts w:ascii="Calibri" w:hAnsi="Calibri"/>
          <w:color w:val="333333"/>
          <w:sz w:val="20"/>
          <w:szCs w:val="20"/>
        </w:rPr>
        <w:t> </w:t>
      </w:r>
      <w:r>
        <w:rPr>
          <w:rStyle w:val="mi"/>
          <w:rFonts w:ascii="MathJax_Math" w:hAnsi="MathJax_Math"/>
          <w:i/>
          <w:iCs/>
          <w:color w:val="333333"/>
          <w:sz w:val="15"/>
          <w:szCs w:val="15"/>
        </w:rPr>
        <w:t>Q</w:t>
      </w:r>
      <w:r>
        <w:rPr>
          <w:rStyle w:val="mn"/>
          <w:rFonts w:ascii="MathJax_Main" w:hAnsi="MathJax_Main"/>
          <w:color w:val="333333"/>
          <w:sz w:val="12"/>
          <w:szCs w:val="12"/>
          <w:vertAlign w:val="subscript"/>
        </w:rPr>
        <w:t>1</w:t>
      </w:r>
      <w:r>
        <w:rPr>
          <w:rStyle w:val="mo"/>
          <w:rFonts w:ascii="MathJax_Main" w:hAnsi="MathJax_Main"/>
          <w:color w:val="333333"/>
          <w:sz w:val="15"/>
          <w:szCs w:val="15"/>
        </w:rPr>
        <w:t>=</w:t>
      </w:r>
      <w:r>
        <w:rPr>
          <w:rStyle w:val="mn"/>
          <w:rFonts w:ascii="MathJax_Main" w:hAnsi="MathJax_Main"/>
          <w:color w:val="333333"/>
          <w:sz w:val="15"/>
          <w:szCs w:val="15"/>
        </w:rPr>
        <w:t>1.90</w:t>
      </w:r>
      <w:r>
        <w:rPr>
          <w:rFonts w:ascii="Calibri" w:hAnsi="Calibri"/>
          <w:color w:val="333333"/>
          <w:sz w:val="20"/>
          <w:szCs w:val="20"/>
        </w:rPr>
        <w:t>, the median of</w:t>
      </w:r>
      <w:r>
        <w:rPr>
          <w:rStyle w:val="apple-converted-space"/>
          <w:rFonts w:ascii="Calibri" w:hAnsi="Calibri"/>
          <w:color w:val="333333"/>
          <w:sz w:val="20"/>
          <w:szCs w:val="20"/>
        </w:rPr>
        <w:t> </w:t>
      </w:r>
      <w:r>
        <w:rPr>
          <w:rStyle w:val="Emphasis"/>
          <w:rFonts w:ascii="Calibri" w:hAnsi="Calibri"/>
          <w:color w:val="333333"/>
          <w:sz w:val="20"/>
          <w:szCs w:val="20"/>
        </w:rPr>
        <w:t>L</w:t>
      </w:r>
      <w:r>
        <w:rPr>
          <w:rFonts w:ascii="Calibri" w:hAnsi="Calibri"/>
          <w:color w:val="333333"/>
          <w:sz w:val="20"/>
          <w:szCs w:val="20"/>
        </w:rPr>
        <w:t>, and the third quartile is</w:t>
      </w:r>
      <w:r>
        <w:rPr>
          <w:rStyle w:val="apple-converted-space"/>
          <w:rFonts w:ascii="Calibri" w:hAnsi="Calibri"/>
          <w:color w:val="333333"/>
          <w:sz w:val="20"/>
          <w:szCs w:val="20"/>
        </w:rPr>
        <w:t> </w:t>
      </w:r>
      <w:r>
        <w:rPr>
          <w:rStyle w:val="mi"/>
          <w:rFonts w:ascii="MathJax_Math" w:hAnsi="MathJax_Math"/>
          <w:i/>
          <w:iCs/>
          <w:color w:val="333333"/>
          <w:sz w:val="15"/>
          <w:szCs w:val="15"/>
        </w:rPr>
        <w:t>Q</w:t>
      </w:r>
      <w:r>
        <w:rPr>
          <w:rStyle w:val="mn"/>
          <w:rFonts w:ascii="MathJax_Main" w:hAnsi="MathJax_Main"/>
          <w:color w:val="333333"/>
          <w:sz w:val="12"/>
          <w:szCs w:val="12"/>
          <w:vertAlign w:val="subscript"/>
        </w:rPr>
        <w:t>3</w:t>
      </w:r>
      <w:r>
        <w:rPr>
          <w:rStyle w:val="mo"/>
          <w:rFonts w:ascii="MathJax_Main" w:hAnsi="MathJax_Main"/>
          <w:color w:val="333333"/>
          <w:sz w:val="15"/>
          <w:szCs w:val="15"/>
        </w:rPr>
        <w:t>=</w:t>
      </w:r>
      <w:r>
        <w:rPr>
          <w:rStyle w:val="mn"/>
          <w:rFonts w:ascii="MathJax_Main" w:hAnsi="MathJax_Main"/>
          <w:color w:val="333333"/>
          <w:sz w:val="15"/>
          <w:szCs w:val="15"/>
        </w:rPr>
        <w:t>3.33</w:t>
      </w:r>
      <w:r>
        <w:rPr>
          <w:rFonts w:ascii="Calibri" w:hAnsi="Calibri"/>
          <w:color w:val="333333"/>
          <w:sz w:val="20"/>
          <w:szCs w:val="20"/>
        </w:rPr>
        <w:t>, the median of</w:t>
      </w:r>
      <w:r>
        <w:rPr>
          <w:rStyle w:val="apple-converted-space"/>
          <w:rFonts w:ascii="Calibri" w:hAnsi="Calibri"/>
          <w:color w:val="333333"/>
          <w:sz w:val="20"/>
          <w:szCs w:val="20"/>
        </w:rPr>
        <w:t> </w:t>
      </w:r>
      <w:r>
        <w:rPr>
          <w:rStyle w:val="Emphasis"/>
          <w:rFonts w:ascii="Calibri" w:hAnsi="Calibri"/>
          <w:color w:val="333333"/>
          <w:sz w:val="20"/>
          <w:szCs w:val="20"/>
        </w:rPr>
        <w:t>U</w:t>
      </w:r>
      <w:r>
        <w:rPr>
          <w:rFonts w:ascii="Calibri" w:hAnsi="Calibri"/>
          <w:color w:val="333333"/>
          <w:sz w:val="20"/>
          <w:szCs w:val="20"/>
        </w:rPr>
        <w:t>.</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15</w:t>
      </w:r>
    </w:p>
    <w:p w:rsidR="00AD77BB" w:rsidRDefault="00B45BA0">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Adjoin the observation 3.88 to the data set of the previous example and find the quartiles of the new set of data.</w:t>
      </w:r>
    </w:p>
    <w:p w:rsidR="00AD77BB" w:rsidRDefault="00B45BA0">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Solution:</w:t>
      </w:r>
    </w:p>
    <w:p w:rsidR="00AD77BB" w:rsidRDefault="00B45BA0">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As in the previous example we first list the data in numerical order:</w:t>
      </w:r>
    </w:p>
    <w:p w:rsidR="00AD77BB" w:rsidRDefault="00B45BA0">
      <w:pPr>
        <w:shd w:val="clear" w:color="auto" w:fill="E3EFF7"/>
        <w:spacing w:line="270" w:lineRule="atLeast"/>
        <w:jc w:val="center"/>
        <w:textAlignment w:val="baseline"/>
        <w:rPr>
          <w:rFonts w:ascii="Calibri" w:hAnsi="Calibri"/>
          <w:b/>
          <w:color w:val="555555"/>
          <w:sz w:val="23"/>
          <w:szCs w:val="23"/>
        </w:rPr>
      </w:pPr>
      <w:r>
        <w:rPr>
          <w:rStyle w:val="mn"/>
          <w:rFonts w:ascii="MathJax_Main" w:hAnsi="MathJax_Main"/>
          <w:b/>
          <w:color w:val="555555"/>
          <w:sz w:val="18"/>
          <w:szCs w:val="18"/>
        </w:rPr>
        <w:t>1.39 1.76 1.90 2.12 2.53 2.71 3.00 3.33 3.71 3.88 4.00</w:t>
      </w:r>
    </w:p>
    <w:p w:rsidR="00AD77BB" w:rsidRDefault="00B45BA0">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This data set has 11 observations. The second quartile is its median, the middle value 2.71. Thus</w:t>
      </w:r>
      <w:r>
        <w:rPr>
          <w:rStyle w:val="apple-converted-space"/>
          <w:rFonts w:ascii="Calibri" w:hAnsi="Calibri"/>
          <w:color w:val="333333"/>
          <w:sz w:val="20"/>
          <w:szCs w:val="20"/>
        </w:rPr>
        <w:t> </w:t>
      </w:r>
      <w:r>
        <w:rPr>
          <w:rStyle w:val="mi"/>
          <w:rFonts w:ascii="MathJax_Math" w:hAnsi="MathJax_Math"/>
          <w:i/>
          <w:iCs/>
          <w:color w:val="333333"/>
          <w:sz w:val="15"/>
          <w:szCs w:val="15"/>
        </w:rPr>
        <w:t>Q</w:t>
      </w:r>
      <w:r>
        <w:rPr>
          <w:rStyle w:val="mn"/>
          <w:rFonts w:ascii="MathJax_Main" w:hAnsi="MathJax_Main"/>
          <w:color w:val="333333"/>
          <w:sz w:val="12"/>
          <w:szCs w:val="12"/>
          <w:vertAlign w:val="subscript"/>
        </w:rPr>
        <w:t>2</w:t>
      </w:r>
      <w:r>
        <w:rPr>
          <w:rStyle w:val="mo"/>
          <w:rFonts w:ascii="MathJax_Main" w:hAnsi="MathJax_Main"/>
          <w:color w:val="333333"/>
          <w:sz w:val="15"/>
          <w:szCs w:val="15"/>
        </w:rPr>
        <w:t>=</w:t>
      </w:r>
      <w:r>
        <w:rPr>
          <w:rStyle w:val="mn"/>
          <w:rFonts w:ascii="MathJax_Main" w:hAnsi="MathJax_Main"/>
          <w:color w:val="333333"/>
          <w:sz w:val="15"/>
          <w:szCs w:val="15"/>
        </w:rPr>
        <w:t>2.71</w:t>
      </w:r>
      <w:r>
        <w:rPr>
          <w:rStyle w:val="mo"/>
          <w:rFonts w:ascii="MathJax_Main" w:hAnsi="MathJax_Main"/>
          <w:color w:val="333333"/>
          <w:sz w:val="15"/>
          <w:szCs w:val="15"/>
        </w:rPr>
        <w:t>.</w:t>
      </w:r>
      <w:r>
        <w:rPr>
          <w:rStyle w:val="apple-converted-space"/>
          <w:rFonts w:ascii="Calibri" w:hAnsi="Calibri"/>
          <w:color w:val="333333"/>
          <w:sz w:val="20"/>
          <w:szCs w:val="20"/>
        </w:rPr>
        <w:t> </w:t>
      </w:r>
      <w:r>
        <w:rPr>
          <w:rFonts w:ascii="Calibri" w:hAnsi="Calibri"/>
          <w:color w:val="333333"/>
          <w:sz w:val="20"/>
          <w:szCs w:val="20"/>
        </w:rPr>
        <w:t>The lower and upper subsets are now</w:t>
      </w:r>
    </w:p>
    <w:p w:rsidR="00AD77BB" w:rsidRDefault="00B45BA0">
      <w:pPr>
        <w:shd w:val="clear" w:color="auto" w:fill="E3EFF7"/>
        <w:spacing w:line="270" w:lineRule="atLeast"/>
        <w:jc w:val="center"/>
        <w:textAlignment w:val="baseline"/>
        <w:rPr>
          <w:rStyle w:val="mo"/>
          <w:rFonts w:ascii="MathJax_Main" w:hAnsi="MathJax_Main"/>
          <w:color w:val="555555"/>
          <w:sz w:val="18"/>
          <w:szCs w:val="18"/>
        </w:rPr>
      </w:pPr>
      <w:r>
        <w:rPr>
          <w:rStyle w:val="mtext"/>
          <w:rFonts w:ascii="MathJax_Main" w:hAnsi="MathJax_Main"/>
          <w:color w:val="555555"/>
          <w:sz w:val="18"/>
          <w:szCs w:val="18"/>
        </w:rPr>
        <w:t>Lower:</w:t>
      </w:r>
      <w:r>
        <w:rPr>
          <w:rStyle w:val="mtext"/>
          <w:rFonts w:ascii="MathJax_Main" w:hAnsi="MathJax_Main"/>
          <w:color w:val="555555"/>
          <w:sz w:val="18"/>
          <w:szCs w:val="18"/>
        </w:rPr>
        <w:t> </w:t>
      </w:r>
      <w:r>
        <w:rPr>
          <w:rStyle w:val="mi"/>
          <w:rFonts w:ascii="MathJax_Math" w:hAnsi="MathJax_Math"/>
          <w:i/>
          <w:iCs/>
          <w:color w:val="555555"/>
          <w:sz w:val="18"/>
          <w:szCs w:val="18"/>
        </w:rPr>
        <w:t>L</w:t>
      </w:r>
      <w:r>
        <w:rPr>
          <w:rStyle w:val="mtext"/>
          <w:rFonts w:ascii="MathJax_Main" w:hAnsi="MathJax_Main"/>
          <w:color w:val="555555"/>
          <w:sz w:val="18"/>
          <w:szCs w:val="18"/>
        </w:rPr>
        <w:t>=</w:t>
      </w:r>
      <w:r>
        <w:rPr>
          <w:rStyle w:val="mo"/>
          <w:rFonts w:ascii="MathJax_Main" w:hAnsi="MathJax_Main"/>
          <w:color w:val="555555"/>
          <w:sz w:val="18"/>
          <w:szCs w:val="18"/>
        </w:rPr>
        <w:t>{</w:t>
      </w:r>
      <w:r>
        <w:rPr>
          <w:rStyle w:val="mn"/>
          <w:rFonts w:ascii="MathJax_Main" w:hAnsi="MathJax_Main"/>
          <w:color w:val="555555"/>
          <w:sz w:val="18"/>
          <w:szCs w:val="18"/>
        </w:rPr>
        <w:t>1</w:t>
      </w:r>
      <w:r>
        <w:rPr>
          <w:rStyle w:val="mo"/>
          <w:rFonts w:ascii="MathJax_Main" w:hAnsi="MathJax_Main"/>
          <w:color w:val="555555"/>
          <w:sz w:val="18"/>
          <w:szCs w:val="18"/>
        </w:rPr>
        <w:t>.</w:t>
      </w:r>
      <w:r>
        <w:rPr>
          <w:rStyle w:val="mn"/>
          <w:rFonts w:ascii="MathJax_Main" w:hAnsi="MathJax_Main"/>
          <w:color w:val="555555"/>
          <w:sz w:val="18"/>
          <w:szCs w:val="18"/>
        </w:rPr>
        <w:t>39,1</w:t>
      </w:r>
      <w:r>
        <w:rPr>
          <w:rStyle w:val="mo"/>
          <w:rFonts w:ascii="MathJax_Main" w:hAnsi="MathJax_Main"/>
          <w:color w:val="555555"/>
          <w:sz w:val="18"/>
          <w:szCs w:val="18"/>
        </w:rPr>
        <w:t>.</w:t>
      </w:r>
      <w:r>
        <w:rPr>
          <w:rStyle w:val="mn"/>
          <w:rFonts w:ascii="MathJax_Main" w:hAnsi="MathJax_Main"/>
          <w:color w:val="555555"/>
          <w:sz w:val="18"/>
          <w:szCs w:val="18"/>
        </w:rPr>
        <w:t>76,1</w:t>
      </w:r>
      <w:r>
        <w:rPr>
          <w:rStyle w:val="mo"/>
          <w:rFonts w:ascii="MathJax_Main" w:hAnsi="MathJax_Main"/>
          <w:color w:val="555555"/>
          <w:sz w:val="18"/>
          <w:szCs w:val="18"/>
        </w:rPr>
        <w:t>.</w:t>
      </w:r>
      <w:r>
        <w:rPr>
          <w:rStyle w:val="mn"/>
          <w:rFonts w:ascii="MathJax_Main" w:hAnsi="MathJax_Main"/>
          <w:color w:val="555555"/>
          <w:sz w:val="18"/>
          <w:szCs w:val="18"/>
        </w:rPr>
        <w:t>90,2</w:t>
      </w:r>
      <w:r>
        <w:rPr>
          <w:rStyle w:val="mo"/>
          <w:rFonts w:ascii="MathJax_Main" w:hAnsi="MathJax_Main"/>
          <w:color w:val="555555"/>
          <w:sz w:val="18"/>
          <w:szCs w:val="18"/>
        </w:rPr>
        <w:t>.</w:t>
      </w:r>
      <w:r>
        <w:rPr>
          <w:rStyle w:val="mn"/>
          <w:rFonts w:ascii="MathJax_Main" w:hAnsi="MathJax_Main"/>
          <w:color w:val="555555"/>
          <w:sz w:val="18"/>
          <w:szCs w:val="18"/>
        </w:rPr>
        <w:t>12,2</w:t>
      </w:r>
      <w:r>
        <w:rPr>
          <w:rStyle w:val="mo"/>
          <w:rFonts w:ascii="MathJax_Main" w:hAnsi="MathJax_Main"/>
          <w:color w:val="555555"/>
          <w:sz w:val="18"/>
          <w:szCs w:val="18"/>
        </w:rPr>
        <w:t>.</w:t>
      </w:r>
      <w:r>
        <w:rPr>
          <w:rStyle w:val="mn"/>
          <w:rFonts w:ascii="MathJax_Main" w:hAnsi="MathJax_Main"/>
          <w:color w:val="555555"/>
          <w:sz w:val="18"/>
          <w:szCs w:val="18"/>
        </w:rPr>
        <w:t>53</w:t>
      </w:r>
      <w:r>
        <w:rPr>
          <w:rStyle w:val="mo"/>
          <w:rFonts w:ascii="MathJax_Main" w:hAnsi="MathJax_Main"/>
          <w:color w:val="555555"/>
          <w:sz w:val="18"/>
          <w:szCs w:val="18"/>
        </w:rPr>
        <w:t>}</w:t>
      </w:r>
    </w:p>
    <w:p w:rsidR="00AD77BB" w:rsidRDefault="00B45BA0">
      <w:pPr>
        <w:shd w:val="clear" w:color="auto" w:fill="E3EFF7"/>
        <w:spacing w:line="270" w:lineRule="atLeast"/>
        <w:jc w:val="center"/>
        <w:textAlignment w:val="baseline"/>
        <w:rPr>
          <w:rFonts w:ascii="Calibri" w:hAnsi="Calibri"/>
          <w:sz w:val="23"/>
          <w:szCs w:val="23"/>
        </w:rPr>
      </w:pPr>
      <w:r>
        <w:rPr>
          <w:rStyle w:val="mo"/>
          <w:rFonts w:ascii="MathJax_Main" w:hAnsi="MathJax_Main"/>
          <w:color w:val="555555"/>
          <w:sz w:val="18"/>
          <w:szCs w:val="18"/>
        </w:rPr>
        <w:t>Upper: U= {</w:t>
      </w:r>
      <w:r>
        <w:rPr>
          <w:rStyle w:val="mn"/>
          <w:rFonts w:ascii="MathJax_Main" w:hAnsi="MathJax_Main"/>
          <w:color w:val="555555"/>
          <w:sz w:val="18"/>
          <w:szCs w:val="18"/>
        </w:rPr>
        <w:t>3</w:t>
      </w:r>
      <w:r>
        <w:rPr>
          <w:rStyle w:val="mo"/>
          <w:rFonts w:ascii="MathJax_Main" w:hAnsi="MathJax_Main"/>
          <w:color w:val="555555"/>
          <w:sz w:val="18"/>
          <w:szCs w:val="18"/>
        </w:rPr>
        <w:t>.</w:t>
      </w:r>
      <w:r>
        <w:rPr>
          <w:rStyle w:val="mn"/>
          <w:rFonts w:ascii="MathJax_Main" w:hAnsi="MathJax_Main"/>
          <w:color w:val="555555"/>
          <w:sz w:val="18"/>
          <w:szCs w:val="18"/>
        </w:rPr>
        <w:t>00,3</w:t>
      </w:r>
      <w:r>
        <w:rPr>
          <w:rStyle w:val="mo"/>
          <w:rFonts w:ascii="MathJax_Main" w:hAnsi="MathJax_Main"/>
          <w:color w:val="555555"/>
          <w:sz w:val="18"/>
          <w:szCs w:val="18"/>
        </w:rPr>
        <w:t>.</w:t>
      </w:r>
      <w:r>
        <w:rPr>
          <w:rStyle w:val="mn"/>
          <w:rFonts w:ascii="MathJax_Main" w:hAnsi="MathJax_Main"/>
          <w:color w:val="555555"/>
          <w:sz w:val="18"/>
          <w:szCs w:val="18"/>
        </w:rPr>
        <w:t>33,3</w:t>
      </w:r>
      <w:r>
        <w:rPr>
          <w:rStyle w:val="mo"/>
          <w:rFonts w:ascii="MathJax_Main" w:hAnsi="MathJax_Main"/>
          <w:color w:val="555555"/>
          <w:sz w:val="18"/>
          <w:szCs w:val="18"/>
        </w:rPr>
        <w:t>.</w:t>
      </w:r>
      <w:r>
        <w:rPr>
          <w:rStyle w:val="mn"/>
          <w:rFonts w:ascii="MathJax_Main" w:hAnsi="MathJax_Main"/>
          <w:color w:val="555555"/>
          <w:sz w:val="18"/>
          <w:szCs w:val="18"/>
        </w:rPr>
        <w:t>71,3</w:t>
      </w:r>
      <w:r>
        <w:rPr>
          <w:rStyle w:val="mo"/>
          <w:rFonts w:ascii="MathJax_Main" w:hAnsi="MathJax_Main"/>
          <w:color w:val="555555"/>
          <w:sz w:val="18"/>
          <w:szCs w:val="18"/>
        </w:rPr>
        <w:t>.</w:t>
      </w:r>
      <w:r>
        <w:rPr>
          <w:rStyle w:val="mn"/>
          <w:rFonts w:ascii="MathJax_Main" w:hAnsi="MathJax_Main"/>
          <w:color w:val="555555"/>
          <w:sz w:val="18"/>
          <w:szCs w:val="18"/>
        </w:rPr>
        <w:t>88,4</w:t>
      </w:r>
      <w:r>
        <w:rPr>
          <w:rStyle w:val="mo"/>
          <w:rFonts w:ascii="MathJax_Main" w:hAnsi="MathJax_Main"/>
          <w:color w:val="555555"/>
          <w:sz w:val="18"/>
          <w:szCs w:val="18"/>
        </w:rPr>
        <w:t>.</w:t>
      </w:r>
      <w:r>
        <w:rPr>
          <w:rStyle w:val="mn"/>
          <w:rFonts w:ascii="MathJax_Main" w:hAnsi="MathJax_Main"/>
          <w:color w:val="555555"/>
          <w:sz w:val="18"/>
          <w:szCs w:val="18"/>
        </w:rPr>
        <w:t>00</w:t>
      </w:r>
      <w:r>
        <w:rPr>
          <w:rStyle w:val="mo"/>
          <w:rFonts w:ascii="MathJax_Main" w:hAnsi="MathJax_Main"/>
          <w:color w:val="555555"/>
          <w:sz w:val="18"/>
          <w:szCs w:val="18"/>
        </w:rPr>
        <w:t>}</w:t>
      </w:r>
    </w:p>
    <w:p w:rsidR="00AD77BB" w:rsidRDefault="00B45BA0">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The lower set</w:t>
      </w:r>
      <w:r>
        <w:rPr>
          <w:rStyle w:val="apple-converted-space"/>
          <w:rFonts w:ascii="Calibri" w:hAnsi="Calibri"/>
          <w:color w:val="333333"/>
          <w:sz w:val="20"/>
          <w:szCs w:val="20"/>
        </w:rPr>
        <w:t> </w:t>
      </w:r>
      <w:r>
        <w:rPr>
          <w:rStyle w:val="Emphasis"/>
          <w:rFonts w:ascii="Calibri" w:hAnsi="Calibri"/>
          <w:color w:val="333333"/>
          <w:sz w:val="20"/>
          <w:szCs w:val="20"/>
        </w:rPr>
        <w:t>L</w:t>
      </w:r>
      <w:r>
        <w:rPr>
          <w:rStyle w:val="apple-converted-space"/>
          <w:rFonts w:ascii="Calibri" w:hAnsi="Calibri"/>
          <w:color w:val="333333"/>
          <w:sz w:val="20"/>
          <w:szCs w:val="20"/>
        </w:rPr>
        <w:t> </w:t>
      </w:r>
      <w:r>
        <w:rPr>
          <w:rFonts w:ascii="Calibri" w:hAnsi="Calibri"/>
          <w:color w:val="333333"/>
          <w:sz w:val="20"/>
          <w:szCs w:val="20"/>
        </w:rPr>
        <w:t>has median the middle value 1.90, so</w:t>
      </w:r>
      <w:r>
        <w:rPr>
          <w:rStyle w:val="apple-converted-space"/>
          <w:rFonts w:ascii="Calibri" w:hAnsi="Calibri"/>
          <w:color w:val="333333"/>
          <w:sz w:val="20"/>
          <w:szCs w:val="20"/>
        </w:rPr>
        <w:t> </w:t>
      </w:r>
      <w:r>
        <w:rPr>
          <w:rStyle w:val="mi"/>
          <w:rFonts w:ascii="MathJax_Math" w:hAnsi="MathJax_Math"/>
          <w:i/>
          <w:iCs/>
          <w:color w:val="333333"/>
          <w:sz w:val="15"/>
          <w:szCs w:val="15"/>
        </w:rPr>
        <w:t>Q</w:t>
      </w:r>
      <w:r>
        <w:rPr>
          <w:rStyle w:val="mn"/>
          <w:rFonts w:ascii="MathJax_Main" w:hAnsi="MathJax_Main"/>
          <w:color w:val="333333"/>
          <w:sz w:val="12"/>
          <w:szCs w:val="12"/>
          <w:vertAlign w:val="subscript"/>
        </w:rPr>
        <w:t>1</w:t>
      </w:r>
      <w:r>
        <w:rPr>
          <w:rStyle w:val="mo"/>
          <w:rFonts w:ascii="MathJax_Main" w:hAnsi="MathJax_Main"/>
          <w:color w:val="333333"/>
          <w:sz w:val="15"/>
          <w:szCs w:val="15"/>
        </w:rPr>
        <w:t>=</w:t>
      </w:r>
      <w:r>
        <w:rPr>
          <w:rStyle w:val="mn"/>
          <w:rFonts w:ascii="MathJax_Main" w:hAnsi="MathJax_Main"/>
          <w:color w:val="333333"/>
          <w:sz w:val="15"/>
          <w:szCs w:val="15"/>
        </w:rPr>
        <w:t>1.90</w:t>
      </w:r>
      <w:r>
        <w:rPr>
          <w:rStyle w:val="mo"/>
          <w:rFonts w:ascii="MathJax_Main" w:hAnsi="MathJax_Main"/>
          <w:color w:val="333333"/>
          <w:sz w:val="15"/>
          <w:szCs w:val="15"/>
        </w:rPr>
        <w:t>.</w:t>
      </w:r>
      <w:r>
        <w:rPr>
          <w:rStyle w:val="apple-converted-space"/>
          <w:rFonts w:ascii="Calibri" w:hAnsi="Calibri"/>
          <w:color w:val="333333"/>
          <w:sz w:val="20"/>
          <w:szCs w:val="20"/>
        </w:rPr>
        <w:t> </w:t>
      </w:r>
      <w:r>
        <w:rPr>
          <w:rFonts w:ascii="Calibri" w:hAnsi="Calibri"/>
          <w:color w:val="333333"/>
          <w:sz w:val="20"/>
          <w:szCs w:val="20"/>
        </w:rPr>
        <w:t>The upper set has median the middle value 3.71, so</w:t>
      </w:r>
      <w:r>
        <w:rPr>
          <w:rStyle w:val="apple-converted-space"/>
          <w:rFonts w:ascii="Calibri" w:hAnsi="Calibri"/>
          <w:color w:val="333333"/>
          <w:sz w:val="20"/>
          <w:szCs w:val="20"/>
        </w:rPr>
        <w:t> </w:t>
      </w:r>
      <w:r>
        <w:rPr>
          <w:rStyle w:val="mi"/>
          <w:rFonts w:ascii="MathJax_Math" w:hAnsi="MathJax_Math"/>
          <w:i/>
          <w:iCs/>
          <w:color w:val="333333"/>
          <w:sz w:val="15"/>
          <w:szCs w:val="15"/>
        </w:rPr>
        <w:t>Q</w:t>
      </w:r>
      <w:r>
        <w:rPr>
          <w:rStyle w:val="mn"/>
          <w:rFonts w:ascii="MathJax_Main" w:hAnsi="MathJax_Main"/>
          <w:color w:val="333333"/>
          <w:sz w:val="12"/>
          <w:szCs w:val="12"/>
          <w:vertAlign w:val="subscript"/>
        </w:rPr>
        <w:t>3</w:t>
      </w:r>
      <w:r>
        <w:rPr>
          <w:rStyle w:val="mo"/>
          <w:rFonts w:ascii="MathJax_Main" w:hAnsi="MathJax_Main"/>
          <w:color w:val="333333"/>
          <w:sz w:val="15"/>
          <w:szCs w:val="15"/>
        </w:rPr>
        <w:t>=</w:t>
      </w:r>
      <w:r>
        <w:rPr>
          <w:rStyle w:val="mn"/>
          <w:rFonts w:ascii="MathJax_Main" w:hAnsi="MathJax_Main"/>
          <w:color w:val="333333"/>
          <w:sz w:val="15"/>
          <w:szCs w:val="15"/>
        </w:rPr>
        <w:t>3.71</w:t>
      </w:r>
      <w:r>
        <w:rPr>
          <w:rStyle w:val="mo"/>
          <w:rFonts w:ascii="MathJax_Main" w:hAnsi="MathJax_Main"/>
          <w:color w:val="333333"/>
          <w:sz w:val="15"/>
          <w:szCs w:val="15"/>
        </w:rPr>
        <w:t>.</w:t>
      </w:r>
    </w:p>
    <w:p w:rsidR="00AD77BB" w:rsidRDefault="00B45BA0">
      <w:pPr>
        <w:shd w:val="clear" w:color="auto" w:fill="FFFFFF"/>
        <w:spacing w:after="0" w:line="360" w:lineRule="auto"/>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In addition to the three quartiles, the two extreme values, the minimum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min and the maximum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max are also useful in describing the entire data set. Together these five numbers are called the </w:t>
      </w:r>
      <w:r>
        <w:rPr>
          <w:rFonts w:ascii="Georgia" w:eastAsia="Times New Roman" w:hAnsi="Georgia" w:cs="Times New Roman"/>
          <w:b/>
          <w:color w:val="333333"/>
          <w:sz w:val="20"/>
          <w:szCs w:val="20"/>
        </w:rPr>
        <w:t>five-number summary</w:t>
      </w:r>
      <w:r>
        <w:rPr>
          <w:rFonts w:ascii="Georgia" w:eastAsia="Times New Roman" w:hAnsi="Georgia" w:cs="Times New Roman"/>
          <w:color w:val="333333"/>
          <w:sz w:val="20"/>
          <w:szCs w:val="20"/>
        </w:rPr>
        <w:t> of the data set:</w:t>
      </w:r>
    </w:p>
    <w:p w:rsidR="00AD77BB" w:rsidRDefault="00B45BA0">
      <w:pPr>
        <w:spacing w:line="360" w:lineRule="auto"/>
        <w:jc w:val="center"/>
        <w:textAlignment w:val="baseline"/>
        <w:rPr>
          <w:rFonts w:ascii="Georgia" w:eastAsia="Times New Roman" w:hAnsi="Georgia" w:cs="Times New Roman"/>
          <w:color w:val="555555"/>
          <w:sz w:val="20"/>
          <w:szCs w:val="20"/>
          <w:shd w:val="clear" w:color="auto" w:fill="FFFFFF"/>
        </w:rPr>
      </w:pPr>
      <w:r>
        <w:rPr>
          <w:rFonts w:ascii="Georgia" w:eastAsia="Times New Roman" w:hAnsi="Georgia" w:cs="Times New Roman"/>
          <w:color w:val="555555"/>
          <w:sz w:val="20"/>
          <w:szCs w:val="20"/>
          <w:shd w:val="clear" w:color="auto" w:fill="FFFFFF"/>
        </w:rPr>
        <w:t>{</w:t>
      </w:r>
      <w:r>
        <w:rPr>
          <w:rFonts w:ascii="Georgia" w:eastAsia="Times New Roman" w:hAnsi="Georgia" w:cs="Times New Roman"/>
          <w:i/>
          <w:iCs/>
          <w:color w:val="555555"/>
          <w:sz w:val="20"/>
          <w:szCs w:val="20"/>
          <w:shd w:val="clear" w:color="auto" w:fill="FFFFFF"/>
        </w:rPr>
        <w:t>x</w:t>
      </w:r>
      <w:r>
        <w:rPr>
          <w:rFonts w:ascii="Georgia" w:eastAsia="Times New Roman" w:hAnsi="Georgia" w:cs="Times New Roman"/>
          <w:color w:val="555555"/>
          <w:sz w:val="20"/>
          <w:szCs w:val="20"/>
          <w:shd w:val="clear" w:color="auto" w:fill="FFFFFF"/>
        </w:rPr>
        <w:t>min,</w:t>
      </w:r>
      <w:r>
        <w:rPr>
          <w:rFonts w:ascii="Times New Roman" w:eastAsia="Times New Roman" w:hAnsi="Times New Roman" w:cs="Times New Roman"/>
          <w:color w:val="555555"/>
          <w:sz w:val="20"/>
          <w:szCs w:val="20"/>
          <w:shd w:val="clear" w:color="auto" w:fill="FFFFFF"/>
        </w:rPr>
        <w:t> </w:t>
      </w:r>
      <w:r>
        <w:rPr>
          <w:rFonts w:ascii="Georgia" w:eastAsia="Times New Roman" w:hAnsi="Georgia" w:cs="Times New Roman"/>
          <w:i/>
          <w:iCs/>
          <w:color w:val="555555"/>
          <w:sz w:val="20"/>
          <w:szCs w:val="20"/>
          <w:shd w:val="clear" w:color="auto" w:fill="FFFFFF"/>
        </w:rPr>
        <w:t>Q</w:t>
      </w:r>
      <w:r>
        <w:rPr>
          <w:rFonts w:ascii="Georgia" w:eastAsia="Times New Roman" w:hAnsi="Georgia" w:cs="Times New Roman"/>
          <w:color w:val="555555"/>
          <w:sz w:val="20"/>
          <w:szCs w:val="20"/>
          <w:shd w:val="clear" w:color="auto" w:fill="FFFFFF"/>
        </w:rPr>
        <w:t>1,</w:t>
      </w:r>
      <w:r>
        <w:rPr>
          <w:rFonts w:ascii="Times New Roman" w:eastAsia="Times New Roman" w:hAnsi="Times New Roman" w:cs="Times New Roman"/>
          <w:color w:val="555555"/>
          <w:sz w:val="20"/>
          <w:szCs w:val="20"/>
          <w:shd w:val="clear" w:color="auto" w:fill="FFFFFF"/>
        </w:rPr>
        <w:t> </w:t>
      </w:r>
      <w:r>
        <w:rPr>
          <w:rFonts w:ascii="Georgia" w:eastAsia="Times New Roman" w:hAnsi="Georgia" w:cs="Times New Roman"/>
          <w:i/>
          <w:iCs/>
          <w:color w:val="555555"/>
          <w:sz w:val="20"/>
          <w:szCs w:val="20"/>
          <w:shd w:val="clear" w:color="auto" w:fill="FFFFFF"/>
        </w:rPr>
        <w:t>Q</w:t>
      </w:r>
      <w:r>
        <w:rPr>
          <w:rFonts w:ascii="Georgia" w:eastAsia="Times New Roman" w:hAnsi="Georgia" w:cs="Times New Roman"/>
          <w:color w:val="555555"/>
          <w:sz w:val="20"/>
          <w:szCs w:val="20"/>
          <w:shd w:val="clear" w:color="auto" w:fill="FFFFFF"/>
        </w:rPr>
        <w:t>2,</w:t>
      </w:r>
      <w:r>
        <w:rPr>
          <w:rFonts w:ascii="Times New Roman" w:eastAsia="Times New Roman" w:hAnsi="Times New Roman" w:cs="Times New Roman"/>
          <w:color w:val="555555"/>
          <w:sz w:val="20"/>
          <w:szCs w:val="20"/>
          <w:shd w:val="clear" w:color="auto" w:fill="FFFFFF"/>
        </w:rPr>
        <w:t> </w:t>
      </w:r>
      <w:r>
        <w:rPr>
          <w:rFonts w:ascii="Georgia" w:eastAsia="Times New Roman" w:hAnsi="Georgia" w:cs="Times New Roman"/>
          <w:i/>
          <w:iCs/>
          <w:color w:val="555555"/>
          <w:sz w:val="20"/>
          <w:szCs w:val="20"/>
          <w:shd w:val="clear" w:color="auto" w:fill="FFFFFF"/>
        </w:rPr>
        <w:t>Q</w:t>
      </w:r>
      <w:r>
        <w:rPr>
          <w:rFonts w:ascii="Georgia" w:eastAsia="Times New Roman" w:hAnsi="Georgia" w:cs="Times New Roman"/>
          <w:color w:val="555555"/>
          <w:sz w:val="20"/>
          <w:szCs w:val="20"/>
          <w:shd w:val="clear" w:color="auto" w:fill="FFFFFF"/>
        </w:rPr>
        <w:t>3,</w:t>
      </w:r>
      <w:r>
        <w:rPr>
          <w:rFonts w:ascii="Times New Roman" w:eastAsia="Times New Roman" w:hAnsi="Times New Roman" w:cs="Times New Roman"/>
          <w:color w:val="555555"/>
          <w:sz w:val="20"/>
          <w:szCs w:val="20"/>
          <w:shd w:val="clear" w:color="auto" w:fill="FFFFFF"/>
        </w:rPr>
        <w:t> </w:t>
      </w:r>
      <w:r>
        <w:rPr>
          <w:rFonts w:ascii="Georgia" w:eastAsia="Times New Roman" w:hAnsi="Georgia" w:cs="Times New Roman"/>
          <w:i/>
          <w:iCs/>
          <w:color w:val="555555"/>
          <w:sz w:val="20"/>
          <w:szCs w:val="20"/>
          <w:shd w:val="clear" w:color="auto" w:fill="FFFFFF"/>
        </w:rPr>
        <w:t>x</w:t>
      </w:r>
      <w:r>
        <w:rPr>
          <w:rFonts w:ascii="Georgia" w:eastAsia="Times New Roman" w:hAnsi="Georgia" w:cs="Times New Roman"/>
          <w:color w:val="555555"/>
          <w:sz w:val="20"/>
          <w:szCs w:val="20"/>
          <w:shd w:val="clear" w:color="auto" w:fill="FFFFFF"/>
        </w:rPr>
        <w:t>max}</w:t>
      </w:r>
    </w:p>
    <w:p w:rsidR="00AD77BB" w:rsidRDefault="00B45BA0">
      <w:pPr>
        <w:spacing w:line="360" w:lineRule="auto"/>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The five-number summary is used to construct a</w:t>
      </w:r>
      <w:r>
        <w:rPr>
          <w:rStyle w:val="apple-converted-space"/>
          <w:rFonts w:ascii="Georgia" w:hAnsi="Georgia"/>
          <w:color w:val="333333"/>
          <w:sz w:val="20"/>
          <w:szCs w:val="20"/>
          <w:shd w:val="clear" w:color="auto" w:fill="FFFFFF"/>
        </w:rPr>
        <w:t> </w:t>
      </w:r>
      <w:r>
        <w:rPr>
          <w:rStyle w:val="marginterm"/>
          <w:rFonts w:ascii="Georgia" w:hAnsi="Georgia"/>
          <w:b/>
          <w:color w:val="333333"/>
          <w:sz w:val="20"/>
          <w:szCs w:val="20"/>
          <w:shd w:val="clear" w:color="auto" w:fill="FFFFFF"/>
        </w:rPr>
        <w:t>box plot</w:t>
      </w:r>
      <w:r>
        <w:rPr>
          <w:rStyle w:val="apple-converted-space"/>
          <w:rFonts w:ascii="Georgia" w:hAnsi="Georgia"/>
          <w:b/>
          <w:color w:val="333333"/>
          <w:sz w:val="20"/>
          <w:szCs w:val="20"/>
          <w:shd w:val="clear" w:color="auto" w:fill="FFFFFF"/>
        </w:rPr>
        <w:t> </w:t>
      </w:r>
      <w:r>
        <w:rPr>
          <w:rFonts w:ascii="Georgia" w:hAnsi="Georgia"/>
          <w:color w:val="333333"/>
          <w:sz w:val="20"/>
          <w:szCs w:val="20"/>
          <w:shd w:val="clear" w:color="auto" w:fill="FFFFFF"/>
        </w:rPr>
        <w:t>as in</w:t>
      </w:r>
      <w:r>
        <w:rPr>
          <w:rStyle w:val="apple-converted-space"/>
          <w:rFonts w:ascii="Georgia" w:hAnsi="Georgia"/>
          <w:color w:val="333333"/>
          <w:sz w:val="20"/>
          <w:szCs w:val="20"/>
          <w:shd w:val="clear" w:color="auto" w:fill="FFFFFF"/>
        </w:rPr>
        <w:t> </w:t>
      </w:r>
      <w:r>
        <w:rPr>
          <w:rFonts w:ascii="Georgia" w:hAnsi="Georgia"/>
          <w:color w:val="2689C6"/>
          <w:sz w:val="20"/>
          <w:szCs w:val="20"/>
          <w:shd w:val="clear" w:color="auto" w:fill="FFFFFF"/>
        </w:rPr>
        <w:t>Figure 2.13 "The Box Plot"</w:t>
      </w:r>
      <w:r>
        <w:rPr>
          <w:rFonts w:ascii="Georgia" w:hAnsi="Georgia"/>
          <w:color w:val="333333"/>
          <w:sz w:val="20"/>
          <w:szCs w:val="20"/>
          <w:shd w:val="clear" w:color="auto" w:fill="FFFFFF"/>
        </w:rPr>
        <w:t>. Each of the five numbers is represented by a vertical line segment, a box is formed using the line segments at</w:t>
      </w:r>
      <w:r>
        <w:rPr>
          <w:rStyle w:val="apple-converted-space"/>
          <w:rFonts w:ascii="Georgia" w:hAnsi="Georgia"/>
          <w:color w:val="333333"/>
          <w:sz w:val="20"/>
          <w:szCs w:val="20"/>
          <w:shd w:val="clear" w:color="auto" w:fill="FFFFFF"/>
        </w:rPr>
        <w:t> </w:t>
      </w:r>
      <w:r>
        <w:rPr>
          <w:rStyle w:val="mi"/>
          <w:rFonts w:ascii="Georgia" w:hAnsi="Georgia"/>
          <w:b/>
          <w:i/>
          <w:iCs/>
          <w:color w:val="333333"/>
          <w:sz w:val="20"/>
          <w:szCs w:val="20"/>
          <w:shd w:val="clear" w:color="auto" w:fill="FFFFFF"/>
        </w:rPr>
        <w:t>Q</w:t>
      </w:r>
      <w:r>
        <w:rPr>
          <w:rStyle w:val="mn"/>
          <w:rFonts w:ascii="Georgia" w:hAnsi="Georgia"/>
          <w:b/>
          <w:color w:val="333333"/>
          <w:sz w:val="20"/>
          <w:szCs w:val="20"/>
          <w:shd w:val="clear" w:color="auto" w:fill="FFFFFF"/>
        </w:rPr>
        <w:t>1</w:t>
      </w:r>
      <w:r>
        <w:rPr>
          <w:rStyle w:val="apple-converted-space"/>
          <w:rFonts w:ascii="Georgia" w:hAnsi="Georgia"/>
          <w:b/>
          <w:color w:val="333333"/>
          <w:sz w:val="20"/>
          <w:szCs w:val="20"/>
          <w:shd w:val="clear" w:color="auto" w:fill="FFFFFF"/>
        </w:rPr>
        <w:t> </w:t>
      </w:r>
      <w:r>
        <w:rPr>
          <w:rFonts w:ascii="Georgia" w:hAnsi="Georgia"/>
          <w:color w:val="333333"/>
          <w:sz w:val="20"/>
          <w:szCs w:val="20"/>
          <w:shd w:val="clear" w:color="auto" w:fill="FFFFFF"/>
        </w:rPr>
        <w:t>and</w:t>
      </w:r>
      <w:r>
        <w:rPr>
          <w:rStyle w:val="apple-converted-space"/>
          <w:rFonts w:ascii="Georgia" w:hAnsi="Georgia"/>
          <w:b/>
          <w:color w:val="333333"/>
          <w:sz w:val="20"/>
          <w:szCs w:val="20"/>
          <w:shd w:val="clear" w:color="auto" w:fill="FFFFFF"/>
        </w:rPr>
        <w:t> </w:t>
      </w:r>
      <w:r>
        <w:rPr>
          <w:rStyle w:val="mi"/>
          <w:rFonts w:ascii="Georgia" w:hAnsi="Georgia"/>
          <w:b/>
          <w:i/>
          <w:iCs/>
          <w:color w:val="333333"/>
          <w:sz w:val="20"/>
          <w:szCs w:val="20"/>
          <w:shd w:val="clear" w:color="auto" w:fill="FFFFFF"/>
        </w:rPr>
        <w:t>Q</w:t>
      </w:r>
      <w:r>
        <w:rPr>
          <w:rStyle w:val="mn"/>
          <w:rFonts w:ascii="Georgia" w:hAnsi="Georgia"/>
          <w:b/>
          <w:color w:val="333333"/>
          <w:sz w:val="20"/>
          <w:szCs w:val="20"/>
          <w:shd w:val="clear" w:color="auto" w:fill="FFFFFF"/>
        </w:rPr>
        <w:t>3</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 xml:space="preserve">as its two </w:t>
      </w:r>
      <w:r>
        <w:rPr>
          <w:rFonts w:ascii="Georgia" w:hAnsi="Georgia"/>
          <w:color w:val="333333"/>
          <w:sz w:val="21"/>
          <w:szCs w:val="21"/>
          <w:shd w:val="clear" w:color="auto" w:fill="FFFFFF"/>
        </w:rPr>
        <w:t>vertical</w:t>
      </w:r>
      <w:r>
        <w:rPr>
          <w:rFonts w:ascii="Georgia" w:hAnsi="Georgia"/>
          <w:color w:val="333333"/>
          <w:sz w:val="20"/>
          <w:szCs w:val="20"/>
          <w:shd w:val="clear" w:color="auto" w:fill="FFFFFF"/>
        </w:rPr>
        <w:t xml:space="preserve"> sides, and two horizontal line segments are extended from the vertical segments marking</w:t>
      </w:r>
      <w:r>
        <w:rPr>
          <w:rStyle w:val="apple-converted-space"/>
          <w:rFonts w:ascii="Georgia" w:hAnsi="Georgia"/>
          <w:color w:val="333333"/>
          <w:sz w:val="20"/>
          <w:szCs w:val="20"/>
          <w:shd w:val="clear" w:color="auto" w:fill="FFFFFF"/>
        </w:rPr>
        <w:t> </w:t>
      </w:r>
      <w:r>
        <w:rPr>
          <w:rStyle w:val="mi"/>
          <w:rFonts w:ascii="Georgia" w:hAnsi="Georgia"/>
          <w:b/>
          <w:i/>
          <w:iCs/>
          <w:color w:val="333333"/>
          <w:sz w:val="20"/>
          <w:szCs w:val="20"/>
          <w:shd w:val="clear" w:color="auto" w:fill="FFFFFF"/>
        </w:rPr>
        <w:t>Q</w:t>
      </w:r>
      <w:r>
        <w:rPr>
          <w:rStyle w:val="mn"/>
          <w:rFonts w:ascii="Georgia" w:hAnsi="Georgia"/>
          <w:b/>
          <w:color w:val="333333"/>
          <w:sz w:val="20"/>
          <w:szCs w:val="20"/>
          <w:shd w:val="clear" w:color="auto" w:fill="FFFFFF"/>
        </w:rPr>
        <w:t>1</w:t>
      </w:r>
      <w:r>
        <w:rPr>
          <w:rStyle w:val="apple-converted-space"/>
          <w:rFonts w:ascii="Georgia" w:hAnsi="Georgia"/>
          <w:b/>
          <w:color w:val="333333"/>
          <w:sz w:val="20"/>
          <w:szCs w:val="20"/>
          <w:shd w:val="clear" w:color="auto" w:fill="FFFFFF"/>
        </w:rPr>
        <w:t> </w:t>
      </w:r>
      <w:r>
        <w:rPr>
          <w:rFonts w:ascii="Georgia" w:hAnsi="Georgia"/>
          <w:color w:val="333333"/>
          <w:sz w:val="20"/>
          <w:szCs w:val="20"/>
          <w:shd w:val="clear" w:color="auto" w:fill="FFFFFF"/>
        </w:rPr>
        <w:t>and</w:t>
      </w:r>
      <w:r>
        <w:rPr>
          <w:rStyle w:val="apple-converted-space"/>
          <w:rFonts w:ascii="Georgia" w:hAnsi="Georgia"/>
          <w:b/>
          <w:color w:val="333333"/>
          <w:sz w:val="20"/>
          <w:szCs w:val="20"/>
          <w:shd w:val="clear" w:color="auto" w:fill="FFFFFF"/>
        </w:rPr>
        <w:t> </w:t>
      </w:r>
      <w:r>
        <w:rPr>
          <w:rStyle w:val="mi"/>
          <w:rFonts w:ascii="Georgia" w:hAnsi="Georgia"/>
          <w:b/>
          <w:i/>
          <w:iCs/>
          <w:color w:val="333333"/>
          <w:sz w:val="20"/>
          <w:szCs w:val="20"/>
          <w:shd w:val="clear" w:color="auto" w:fill="FFFFFF"/>
        </w:rPr>
        <w:t>Q</w:t>
      </w:r>
      <w:r>
        <w:rPr>
          <w:rStyle w:val="mn"/>
          <w:rFonts w:ascii="Georgia" w:hAnsi="Georgia"/>
          <w:b/>
          <w:color w:val="333333"/>
          <w:sz w:val="20"/>
          <w:szCs w:val="20"/>
          <w:shd w:val="clear" w:color="auto" w:fill="FFFFFF"/>
        </w:rPr>
        <w:t>3</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to the adjacent extreme values. (The two horizontal line segments are referred to as “whiskers,” and the diagram is sometimes called a “box and whisker plot.”) We caution the reader that there are other types of box plots that differ somewhat from the ones we are constructing, although all are based on the three quartiles.</w:t>
      </w:r>
    </w:p>
    <w:p w:rsidR="00AD77BB" w:rsidRDefault="00B45BA0">
      <w:pPr>
        <w:shd w:val="clear" w:color="auto" w:fill="FFFFFF"/>
        <w:spacing w:after="0" w:line="439" w:lineRule="atLeast"/>
        <w:textAlignment w:val="baseline"/>
        <w:rPr>
          <w:rFonts w:ascii="Georgia" w:eastAsia="Times New Roman" w:hAnsi="Georgia" w:cs="Times New Roman"/>
          <w:i/>
          <w:iCs/>
          <w:color w:val="BB9966"/>
        </w:rPr>
      </w:pPr>
      <w:r>
        <w:rPr>
          <w:rFonts w:ascii="Georgia" w:eastAsia="Times New Roman" w:hAnsi="Georgia" w:cs="Times New Roman"/>
          <w:i/>
          <w:iCs/>
          <w:color w:val="000000"/>
          <w:sz w:val="20"/>
          <w:szCs w:val="20"/>
        </w:rPr>
        <w:br/>
        <w:t>Figure 2.13</w:t>
      </w:r>
      <w:r>
        <w:rPr>
          <w:rFonts w:ascii="Georgia" w:eastAsia="Times New Roman" w:hAnsi="Georgia" w:cs="Times New Roman"/>
          <w:i/>
          <w:iCs/>
          <w:color w:val="BB9966"/>
        </w:rPr>
        <w:t> The Box Plot</w:t>
      </w:r>
    </w:p>
    <w:p w:rsidR="00AD77BB" w:rsidRDefault="00B45BA0">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14:anchorId="78F17EE1" wp14:editId="639D8415">
            <wp:extent cx="5715000" cy="1419225"/>
            <wp:effectExtent l="0" t="0" r="0" b="9525"/>
            <wp:docPr id="47" name="Picture 68" descr="http://images.flatworldknowledge.com/shafer/shafer-fig02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images.flatworldknowledge.com/shafer/shafer-fig02_01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15000" cy="1419225"/>
                    </a:xfrm>
                    <a:prstGeom prst="rect">
                      <a:avLst/>
                    </a:prstGeom>
                    <a:noFill/>
                    <a:ln>
                      <a:noFill/>
                    </a:ln>
                  </pic:spPr>
                </pic:pic>
              </a:graphicData>
            </a:graphic>
          </wp:inline>
        </w:drawing>
      </w:r>
    </w:p>
    <w:p w:rsidR="00AD77BB" w:rsidRDefault="00B45BA0">
      <w:pPr>
        <w:shd w:val="clear" w:color="auto" w:fill="FFFFFF"/>
        <w:spacing w:after="0"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Note that the distance from </w:t>
      </w:r>
      <w:r>
        <w:rPr>
          <w:rFonts w:ascii="MathJax_Math" w:eastAsia="Times New Roman" w:hAnsi="MathJax_Math" w:cs="Times New Roman"/>
          <w:b/>
          <w:i/>
          <w:iCs/>
          <w:color w:val="333333"/>
          <w:sz w:val="18"/>
          <w:szCs w:val="18"/>
        </w:rPr>
        <w:t>Q</w:t>
      </w:r>
      <w:r>
        <w:rPr>
          <w:rFonts w:ascii="MathJax_Main" w:eastAsia="Times New Roman" w:hAnsi="MathJax_Main" w:cs="Times New Roman"/>
          <w:b/>
          <w:color w:val="333333"/>
          <w:sz w:val="14"/>
          <w:szCs w:val="14"/>
        </w:rPr>
        <w:t>1</w:t>
      </w:r>
      <w:r>
        <w:rPr>
          <w:rFonts w:ascii="Georgia" w:eastAsia="Times New Roman" w:hAnsi="Georgia" w:cs="Times New Roman"/>
          <w:color w:val="333333"/>
          <w:sz w:val="21"/>
          <w:szCs w:val="21"/>
        </w:rPr>
        <w:t> to </w:t>
      </w:r>
      <w:r>
        <w:rPr>
          <w:rFonts w:ascii="MathJax_Math" w:eastAsia="Times New Roman" w:hAnsi="MathJax_Math" w:cs="Times New Roman"/>
          <w:b/>
          <w:i/>
          <w:iCs/>
          <w:color w:val="333333"/>
          <w:sz w:val="18"/>
          <w:szCs w:val="18"/>
        </w:rPr>
        <w:t>Q</w:t>
      </w:r>
      <w:r>
        <w:rPr>
          <w:rFonts w:ascii="MathJax_Main" w:eastAsia="Times New Roman" w:hAnsi="MathJax_Main" w:cs="Times New Roman"/>
          <w:b/>
          <w:color w:val="333333"/>
          <w:sz w:val="14"/>
          <w:szCs w:val="14"/>
        </w:rPr>
        <w:t>3</w:t>
      </w:r>
      <w:r>
        <w:rPr>
          <w:rFonts w:ascii="Georgia" w:eastAsia="Times New Roman" w:hAnsi="Georgia" w:cs="Times New Roman"/>
          <w:color w:val="333333"/>
          <w:sz w:val="21"/>
          <w:szCs w:val="21"/>
        </w:rPr>
        <w:t> is the length of the interval over which the middle half of the data range. Thus it has the following special name.</w:t>
      </w:r>
    </w:p>
    <w:p w:rsidR="00AD77BB" w:rsidRDefault="00AD77BB">
      <w:pPr>
        <w:spacing w:line="360" w:lineRule="auto"/>
        <w:textAlignment w:val="baseline"/>
        <w:rPr>
          <w:rFonts w:ascii="Georgia" w:eastAsia="Times New Roman" w:hAnsi="Georgia" w:cs="Times New Roman"/>
          <w:color w:val="555555"/>
          <w:sz w:val="20"/>
          <w:szCs w:val="20"/>
          <w:shd w:val="clear" w:color="auto" w:fill="FFFFFF"/>
        </w:rPr>
      </w:pPr>
    </w:p>
    <w:p w:rsidR="00AD77BB" w:rsidRDefault="00B45BA0">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Definition</w:t>
      </w:r>
    </w:p>
    <w:p w:rsidR="00AD77BB" w:rsidRDefault="00B45BA0">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Style w:val="Emphasis"/>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interquartile range (IQR)</w:t>
      </w:r>
      <w:r>
        <w:rPr>
          <w:rStyle w:val="apple-converted-space"/>
          <w:rFonts w:ascii="Georgia" w:hAnsi="Georgia"/>
          <w:color w:val="333333"/>
          <w:sz w:val="20"/>
          <w:szCs w:val="20"/>
        </w:rPr>
        <w:t> </w:t>
      </w:r>
      <w:r>
        <w:rPr>
          <w:rStyle w:val="Emphasis"/>
          <w:rFonts w:ascii="Georgia" w:hAnsi="Georgia"/>
          <w:color w:val="333333"/>
          <w:sz w:val="20"/>
          <w:szCs w:val="20"/>
        </w:rPr>
        <w:t>is the quantity</w:t>
      </w:r>
    </w:p>
    <w:p w:rsidR="00AD77BB" w:rsidRDefault="00B45BA0">
      <w:pPr>
        <w:shd w:val="clear" w:color="auto" w:fill="F4F4F4"/>
        <w:spacing w:line="270" w:lineRule="atLeast"/>
        <w:jc w:val="center"/>
        <w:textAlignment w:val="baseline"/>
        <w:rPr>
          <w:rFonts w:ascii="Calibri" w:hAnsi="Calibri"/>
          <w:color w:val="555555"/>
          <w:sz w:val="23"/>
          <w:szCs w:val="23"/>
        </w:rPr>
      </w:pPr>
      <w:r>
        <w:rPr>
          <w:rStyle w:val="mi"/>
          <w:rFonts w:ascii="MathJax_Math" w:hAnsi="MathJax_Math"/>
          <w:i/>
          <w:iCs/>
          <w:color w:val="555555"/>
          <w:sz w:val="18"/>
          <w:szCs w:val="18"/>
        </w:rPr>
        <w:t>IQR</w:t>
      </w:r>
      <w:r>
        <w:rPr>
          <w:rStyle w:val="mo"/>
          <w:rFonts w:ascii="MathJax_Main" w:hAnsi="MathJax_Main"/>
          <w:color w:val="555555"/>
          <w:sz w:val="18"/>
          <w:szCs w:val="18"/>
        </w:rPr>
        <w:t>=</w:t>
      </w:r>
      <w:r>
        <w:rPr>
          <w:rStyle w:val="mi"/>
          <w:rFonts w:ascii="MathJax_Math" w:hAnsi="MathJax_Math"/>
          <w:i/>
          <w:iCs/>
          <w:color w:val="555555"/>
          <w:sz w:val="18"/>
          <w:szCs w:val="18"/>
        </w:rPr>
        <w:t>Q</w:t>
      </w:r>
      <w:r>
        <w:rPr>
          <w:rStyle w:val="mn"/>
          <w:rFonts w:ascii="MathJax_Main" w:hAnsi="MathJax_Main"/>
          <w:color w:val="555555"/>
          <w:sz w:val="14"/>
          <w:szCs w:val="14"/>
        </w:rPr>
        <w:t>3</w:t>
      </w:r>
      <w:r>
        <w:rPr>
          <w:rStyle w:val="mo"/>
          <w:rFonts w:ascii="MathJax_Main" w:hAnsi="MathJax_Main"/>
          <w:color w:val="555555"/>
          <w:sz w:val="18"/>
          <w:szCs w:val="18"/>
        </w:rPr>
        <w:t>−</w:t>
      </w:r>
      <w:r>
        <w:rPr>
          <w:rStyle w:val="mi"/>
          <w:rFonts w:ascii="MathJax_Math" w:hAnsi="MathJax_Math"/>
          <w:i/>
          <w:iCs/>
          <w:color w:val="555555"/>
          <w:sz w:val="18"/>
          <w:szCs w:val="18"/>
        </w:rPr>
        <w:t>Q</w:t>
      </w:r>
      <w:r>
        <w:rPr>
          <w:rStyle w:val="mn"/>
          <w:rFonts w:ascii="MathJax_Main" w:hAnsi="MathJax_Main"/>
          <w:color w:val="555555"/>
          <w:sz w:val="14"/>
          <w:szCs w:val="14"/>
        </w:rPr>
        <w:t>1</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16</w:t>
      </w:r>
    </w:p>
    <w:p w:rsidR="00AD77BB" w:rsidRDefault="00B45BA0">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Construct a box plot and find the IQR for the data in</w:t>
      </w:r>
      <w:r>
        <w:rPr>
          <w:rStyle w:val="apple-converted-space"/>
          <w:rFonts w:ascii="Calibri" w:hAnsi="Calibri"/>
          <w:color w:val="333333"/>
          <w:sz w:val="20"/>
          <w:szCs w:val="20"/>
        </w:rPr>
        <w:t> </w:t>
      </w:r>
      <w:r>
        <w:rPr>
          <w:rFonts w:ascii="Calibri" w:hAnsi="Calibri"/>
          <w:color w:val="2689C6"/>
          <w:sz w:val="20"/>
          <w:szCs w:val="20"/>
        </w:rPr>
        <w:t>Note 2.44 "Example 14"</w:t>
      </w:r>
      <w:r>
        <w:rPr>
          <w:rFonts w:ascii="Calibri" w:hAnsi="Calibri"/>
          <w:color w:val="333333"/>
          <w:sz w:val="20"/>
          <w:szCs w:val="20"/>
        </w:rPr>
        <w:t>.</w:t>
      </w:r>
    </w:p>
    <w:p w:rsidR="00AD77BB" w:rsidRDefault="00B45BA0">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Solution:</w:t>
      </w:r>
    </w:p>
    <w:p w:rsidR="00AD77BB" w:rsidRDefault="00B45BA0">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From our work in</w:t>
      </w:r>
      <w:r>
        <w:rPr>
          <w:rStyle w:val="apple-converted-space"/>
          <w:rFonts w:ascii="Calibri" w:hAnsi="Calibri"/>
          <w:color w:val="333333"/>
          <w:sz w:val="20"/>
          <w:szCs w:val="20"/>
        </w:rPr>
        <w:t> </w:t>
      </w:r>
      <w:r>
        <w:rPr>
          <w:rFonts w:ascii="Calibri" w:hAnsi="Calibri"/>
          <w:color w:val="2689C6"/>
          <w:sz w:val="20"/>
          <w:szCs w:val="20"/>
        </w:rPr>
        <w:t>Note 2.44 "Example 14"</w:t>
      </w:r>
      <w:r>
        <w:rPr>
          <w:rStyle w:val="apple-converted-space"/>
          <w:rFonts w:ascii="Calibri" w:hAnsi="Calibri"/>
          <w:color w:val="333333"/>
          <w:sz w:val="20"/>
          <w:szCs w:val="20"/>
        </w:rPr>
        <w:t> </w:t>
      </w:r>
      <w:r>
        <w:rPr>
          <w:rFonts w:ascii="Calibri" w:hAnsi="Calibri"/>
          <w:color w:val="333333"/>
          <w:sz w:val="20"/>
          <w:szCs w:val="20"/>
        </w:rPr>
        <w:t>we know that the five-number summary is</w:t>
      </w:r>
    </w:p>
    <w:p w:rsidR="00AD77BB" w:rsidRDefault="00B45BA0">
      <w:pPr>
        <w:shd w:val="clear" w:color="auto" w:fill="E3EFF7"/>
        <w:spacing w:line="270" w:lineRule="atLeast"/>
        <w:jc w:val="center"/>
        <w:textAlignment w:val="baseline"/>
        <w:rPr>
          <w:rFonts w:ascii="Calibri" w:hAnsi="Calibri"/>
          <w:b/>
          <w:color w:val="555555"/>
          <w:sz w:val="23"/>
          <w:szCs w:val="23"/>
        </w:rPr>
      </w:pPr>
      <w:r>
        <w:rPr>
          <w:rStyle w:val="mi"/>
          <w:rFonts w:ascii="MathJax_Math" w:hAnsi="MathJax_Math"/>
          <w:b/>
          <w:i/>
          <w:iCs/>
          <w:color w:val="555555"/>
          <w:sz w:val="18"/>
          <w:szCs w:val="18"/>
        </w:rPr>
        <w:t>x</w:t>
      </w:r>
      <w:r>
        <w:rPr>
          <w:rStyle w:val="mtext"/>
          <w:rFonts w:ascii="MathJax_Main" w:hAnsi="MathJax_Main"/>
          <w:b/>
          <w:color w:val="555555"/>
          <w:sz w:val="14"/>
          <w:szCs w:val="14"/>
        </w:rPr>
        <w:t>min</w:t>
      </w:r>
      <w:r>
        <w:rPr>
          <w:rStyle w:val="mo"/>
          <w:rFonts w:ascii="MathJax_Main" w:hAnsi="MathJax_Main"/>
          <w:b/>
          <w:color w:val="555555"/>
          <w:sz w:val="18"/>
          <w:szCs w:val="18"/>
        </w:rPr>
        <w:t>=</w:t>
      </w:r>
      <w:r>
        <w:rPr>
          <w:rStyle w:val="mn"/>
          <w:rFonts w:ascii="MathJax_Main" w:hAnsi="MathJax_Main"/>
          <w:b/>
          <w:color w:val="555555"/>
          <w:sz w:val="18"/>
          <w:szCs w:val="18"/>
        </w:rPr>
        <w:t>1.39</w:t>
      </w:r>
      <w:r>
        <w:rPr>
          <w:rStyle w:val="mtext"/>
          <w:rFonts w:ascii="MathJax_Main" w:hAnsi="MathJax_Main"/>
          <w:b/>
          <w:color w:val="555555"/>
          <w:sz w:val="18"/>
          <w:szCs w:val="18"/>
        </w:rPr>
        <w:t> </w:t>
      </w:r>
      <w:r>
        <w:rPr>
          <w:rStyle w:val="mi"/>
          <w:rFonts w:ascii="MathJax_Math" w:hAnsi="MathJax_Math"/>
          <w:b/>
          <w:i/>
          <w:iCs/>
          <w:color w:val="555555"/>
          <w:sz w:val="18"/>
          <w:szCs w:val="18"/>
        </w:rPr>
        <w:t>Q</w:t>
      </w:r>
      <w:r>
        <w:rPr>
          <w:rStyle w:val="mn"/>
          <w:rFonts w:ascii="MathJax_Main" w:hAnsi="MathJax_Main"/>
          <w:b/>
          <w:color w:val="555555"/>
          <w:sz w:val="14"/>
          <w:szCs w:val="14"/>
        </w:rPr>
        <w:t>1</w:t>
      </w:r>
      <w:r>
        <w:rPr>
          <w:rStyle w:val="mo"/>
          <w:rFonts w:ascii="MathJax_Main" w:hAnsi="MathJax_Main"/>
          <w:b/>
          <w:color w:val="555555"/>
          <w:sz w:val="18"/>
          <w:szCs w:val="18"/>
        </w:rPr>
        <w:t>=</w:t>
      </w:r>
      <w:r>
        <w:rPr>
          <w:rStyle w:val="mn"/>
          <w:rFonts w:ascii="MathJax_Main" w:hAnsi="MathJax_Main"/>
          <w:b/>
          <w:color w:val="555555"/>
          <w:sz w:val="18"/>
          <w:szCs w:val="18"/>
        </w:rPr>
        <w:t>1.90</w:t>
      </w:r>
      <w:r>
        <w:rPr>
          <w:rStyle w:val="mtext"/>
          <w:rFonts w:ascii="MathJax_Main" w:hAnsi="MathJax_Main"/>
          <w:b/>
          <w:color w:val="555555"/>
          <w:sz w:val="18"/>
          <w:szCs w:val="18"/>
        </w:rPr>
        <w:t> </w:t>
      </w:r>
      <w:r>
        <w:rPr>
          <w:rStyle w:val="mi"/>
          <w:rFonts w:ascii="MathJax_Math" w:hAnsi="MathJax_Math"/>
          <w:b/>
          <w:i/>
          <w:iCs/>
          <w:color w:val="555555"/>
          <w:sz w:val="18"/>
          <w:szCs w:val="18"/>
        </w:rPr>
        <w:t>Q</w:t>
      </w:r>
      <w:r>
        <w:rPr>
          <w:rStyle w:val="mn"/>
          <w:rFonts w:ascii="MathJax_Main" w:hAnsi="MathJax_Main"/>
          <w:b/>
          <w:color w:val="555555"/>
          <w:sz w:val="14"/>
          <w:szCs w:val="14"/>
        </w:rPr>
        <w:t>2</w:t>
      </w:r>
      <w:r>
        <w:rPr>
          <w:rStyle w:val="mo"/>
          <w:rFonts w:ascii="MathJax_Main" w:hAnsi="MathJax_Main"/>
          <w:b/>
          <w:color w:val="555555"/>
          <w:sz w:val="18"/>
          <w:szCs w:val="18"/>
        </w:rPr>
        <w:t>=</w:t>
      </w:r>
      <w:r>
        <w:rPr>
          <w:rStyle w:val="mn"/>
          <w:rFonts w:ascii="MathJax_Main" w:hAnsi="MathJax_Main"/>
          <w:b/>
          <w:color w:val="555555"/>
          <w:sz w:val="18"/>
          <w:szCs w:val="18"/>
        </w:rPr>
        <w:t>2.62</w:t>
      </w:r>
      <w:r>
        <w:rPr>
          <w:rStyle w:val="mtext"/>
          <w:rFonts w:ascii="MathJax_Main" w:hAnsi="MathJax_Main"/>
          <w:b/>
          <w:color w:val="555555"/>
          <w:sz w:val="18"/>
          <w:szCs w:val="18"/>
        </w:rPr>
        <w:t> </w:t>
      </w:r>
      <w:r>
        <w:rPr>
          <w:rStyle w:val="mi"/>
          <w:rFonts w:ascii="MathJax_Math" w:hAnsi="MathJax_Math"/>
          <w:b/>
          <w:i/>
          <w:iCs/>
          <w:color w:val="555555"/>
          <w:sz w:val="18"/>
          <w:szCs w:val="18"/>
        </w:rPr>
        <w:t>Q</w:t>
      </w:r>
      <w:r>
        <w:rPr>
          <w:rStyle w:val="mn"/>
          <w:rFonts w:ascii="MathJax_Main" w:hAnsi="MathJax_Main"/>
          <w:b/>
          <w:color w:val="555555"/>
          <w:sz w:val="14"/>
          <w:szCs w:val="14"/>
        </w:rPr>
        <w:t>3</w:t>
      </w:r>
      <w:r>
        <w:rPr>
          <w:rStyle w:val="mo"/>
          <w:rFonts w:ascii="MathJax_Main" w:hAnsi="MathJax_Main"/>
          <w:b/>
          <w:color w:val="555555"/>
          <w:sz w:val="18"/>
          <w:szCs w:val="18"/>
        </w:rPr>
        <w:t>=</w:t>
      </w:r>
      <w:r>
        <w:rPr>
          <w:rStyle w:val="mn"/>
          <w:rFonts w:ascii="MathJax_Main" w:hAnsi="MathJax_Main"/>
          <w:b/>
          <w:color w:val="555555"/>
          <w:sz w:val="18"/>
          <w:szCs w:val="18"/>
        </w:rPr>
        <w:t>3.33</w:t>
      </w:r>
      <w:r>
        <w:rPr>
          <w:rStyle w:val="mtext"/>
          <w:rFonts w:ascii="MathJax_Main" w:hAnsi="MathJax_Main"/>
          <w:b/>
          <w:color w:val="555555"/>
          <w:sz w:val="18"/>
          <w:szCs w:val="18"/>
        </w:rPr>
        <w:t> </w:t>
      </w:r>
      <w:r>
        <w:rPr>
          <w:rStyle w:val="mi"/>
          <w:rFonts w:ascii="MathJax_Math" w:hAnsi="MathJax_Math"/>
          <w:b/>
          <w:i/>
          <w:iCs/>
          <w:color w:val="555555"/>
          <w:sz w:val="18"/>
          <w:szCs w:val="18"/>
        </w:rPr>
        <w:t>x</w:t>
      </w:r>
      <w:r>
        <w:rPr>
          <w:rStyle w:val="mtext"/>
          <w:rFonts w:ascii="MathJax_Main" w:hAnsi="MathJax_Main"/>
          <w:b/>
          <w:color w:val="555555"/>
          <w:sz w:val="14"/>
          <w:szCs w:val="14"/>
        </w:rPr>
        <w:t>max</w:t>
      </w:r>
      <w:r>
        <w:rPr>
          <w:rStyle w:val="mo"/>
          <w:rFonts w:ascii="MathJax_Main" w:hAnsi="MathJax_Main"/>
          <w:b/>
          <w:color w:val="555555"/>
          <w:sz w:val="18"/>
          <w:szCs w:val="18"/>
        </w:rPr>
        <w:t>=</w:t>
      </w:r>
      <w:r>
        <w:rPr>
          <w:rStyle w:val="mn"/>
          <w:rFonts w:ascii="MathJax_Main" w:hAnsi="MathJax_Main"/>
          <w:b/>
          <w:color w:val="555555"/>
          <w:sz w:val="18"/>
          <w:szCs w:val="18"/>
        </w:rPr>
        <w:t>4.00</w:t>
      </w:r>
    </w:p>
    <w:p w:rsidR="00AD77BB" w:rsidRDefault="00B45BA0">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lastRenderedPageBreak/>
        <w:t>The box plot is</w:t>
      </w:r>
    </w:p>
    <w:p w:rsidR="00AD77BB" w:rsidRDefault="00B45BA0">
      <w:pPr>
        <w:shd w:val="clear" w:color="auto" w:fill="E3EFF7"/>
        <w:spacing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2CE10DB2" wp14:editId="50D72700">
            <wp:extent cx="4838700" cy="1971675"/>
            <wp:effectExtent l="0" t="0" r="0" b="9525"/>
            <wp:docPr id="48" name="Picture 70" descr="http://images.flatworldknowledge.com/shafer/shafer-fig02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images.flatworldknowledge.com/shafer/shafer-fig02_02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38700" cy="1971675"/>
                    </a:xfrm>
                    <a:prstGeom prst="rect">
                      <a:avLst/>
                    </a:prstGeom>
                    <a:noFill/>
                    <a:ln>
                      <a:noFill/>
                    </a:ln>
                  </pic:spPr>
                </pic:pic>
              </a:graphicData>
            </a:graphic>
          </wp:inline>
        </w:drawing>
      </w:r>
    </w:p>
    <w:p w:rsidR="00AD77BB" w:rsidRDefault="00B45BA0">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The interquartile range is</w:t>
      </w:r>
      <w:r>
        <w:rPr>
          <w:rStyle w:val="apple-converted-space"/>
          <w:rFonts w:ascii="Calibri" w:hAnsi="Calibri"/>
          <w:color w:val="333333"/>
          <w:sz w:val="20"/>
          <w:szCs w:val="20"/>
        </w:rPr>
        <w:t> </w:t>
      </w:r>
      <w:r>
        <w:rPr>
          <w:rStyle w:val="mtext"/>
          <w:rFonts w:ascii="MathJax_Main" w:hAnsi="MathJax_Main"/>
          <w:color w:val="333333"/>
          <w:sz w:val="15"/>
          <w:szCs w:val="15"/>
        </w:rPr>
        <w:t>IQR</w:t>
      </w:r>
      <w:r>
        <w:rPr>
          <w:rStyle w:val="mo"/>
          <w:rFonts w:ascii="MathJax_Main" w:hAnsi="MathJax_Main"/>
          <w:color w:val="333333"/>
          <w:sz w:val="15"/>
          <w:szCs w:val="15"/>
        </w:rPr>
        <w:t>=</w:t>
      </w:r>
      <w:r>
        <w:rPr>
          <w:rStyle w:val="mn"/>
          <w:rFonts w:ascii="MathJax_Main" w:hAnsi="MathJax_Main"/>
          <w:color w:val="333333"/>
          <w:sz w:val="15"/>
          <w:szCs w:val="15"/>
        </w:rPr>
        <w:t>3.33</w:t>
      </w:r>
      <w:r>
        <w:rPr>
          <w:rStyle w:val="mo"/>
          <w:rFonts w:ascii="MathJax_Main" w:hAnsi="MathJax_Main"/>
          <w:color w:val="333333"/>
          <w:sz w:val="15"/>
          <w:szCs w:val="15"/>
        </w:rPr>
        <w:t>−</w:t>
      </w:r>
      <w:r>
        <w:rPr>
          <w:rStyle w:val="mn"/>
          <w:rFonts w:ascii="MathJax_Main" w:hAnsi="MathJax_Main"/>
          <w:color w:val="333333"/>
          <w:sz w:val="15"/>
          <w:szCs w:val="15"/>
        </w:rPr>
        <w:t>1.90</w:t>
      </w:r>
      <w:r>
        <w:rPr>
          <w:rStyle w:val="mo"/>
          <w:rFonts w:ascii="MathJax_Main" w:hAnsi="MathJax_Main"/>
          <w:color w:val="333333"/>
          <w:sz w:val="15"/>
          <w:szCs w:val="15"/>
        </w:rPr>
        <w:t>=</w:t>
      </w:r>
      <w:r>
        <w:rPr>
          <w:rStyle w:val="mn"/>
          <w:rFonts w:ascii="MathJax_Main" w:hAnsi="MathJax_Main"/>
          <w:color w:val="333333"/>
          <w:sz w:val="15"/>
          <w:szCs w:val="15"/>
        </w:rPr>
        <w:t>1.43</w:t>
      </w:r>
      <w:r>
        <w:rPr>
          <w:rStyle w:val="mo"/>
          <w:rFonts w:ascii="MathJax_Main" w:hAnsi="MathJax_Main"/>
          <w:color w:val="333333"/>
          <w:sz w:val="15"/>
          <w:szCs w:val="15"/>
        </w:rPr>
        <w:t>.</w:t>
      </w:r>
    </w:p>
    <w:p w:rsidR="00AD77BB" w:rsidRDefault="00AD77BB">
      <w:pPr>
        <w:pStyle w:val="Heading2"/>
        <w:shd w:val="clear" w:color="auto" w:fill="FFFFFF"/>
        <w:spacing w:before="0" w:line="439" w:lineRule="atLeast"/>
        <w:textAlignment w:val="baseline"/>
        <w:rPr>
          <w:rStyle w:val="Emphasis"/>
          <w:sz w:val="27"/>
          <w:szCs w:val="27"/>
        </w:rPr>
      </w:pPr>
    </w:p>
    <w:p w:rsidR="00AD77BB" w:rsidRDefault="00B45BA0">
      <w:pPr>
        <w:pStyle w:val="Heading2"/>
        <w:shd w:val="clear" w:color="auto" w:fill="FFFFFF"/>
        <w:spacing w:before="0" w:line="439" w:lineRule="atLeast"/>
        <w:textAlignment w:val="baseline"/>
        <w:rPr>
          <w:sz w:val="28"/>
          <w:szCs w:val="28"/>
        </w:rPr>
      </w:pPr>
      <w:r>
        <w:rPr>
          <w:rStyle w:val="Emphasis"/>
          <w:rFonts w:ascii="Calibri" w:hAnsi="Calibri"/>
          <w:color w:val="333333"/>
          <w:sz w:val="27"/>
          <w:szCs w:val="27"/>
        </w:rPr>
        <w:t>z</w:t>
      </w:r>
      <w:r>
        <w:rPr>
          <w:rFonts w:ascii="Calibri" w:hAnsi="Calibri"/>
          <w:color w:val="333333"/>
          <w:sz w:val="28"/>
          <w:szCs w:val="28"/>
        </w:rPr>
        <w:t>-scores</w:t>
      </w:r>
    </w:p>
    <w:p w:rsidR="00AD77BB" w:rsidRDefault="00AD77BB"/>
    <w:p w:rsidR="00AD77BB" w:rsidRDefault="00B45BA0">
      <w:pPr>
        <w:spacing w:line="360" w:lineRule="auto"/>
        <w:ind w:left="86"/>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Another way to locate a particular observation</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x</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in a data set is to compute its distance from the mean in units of standard deviation.</w:t>
      </w:r>
    </w:p>
    <w:p w:rsidR="00AD77BB" w:rsidRDefault="00B45BA0">
      <w:pPr>
        <w:spacing w:line="360" w:lineRule="auto"/>
        <w:ind w:left="86"/>
        <w:textAlignment w:val="baseline"/>
        <w:rPr>
          <w:rFonts w:ascii="Georgia" w:hAnsi="Georgia"/>
          <w:color w:val="333333"/>
          <w:sz w:val="20"/>
          <w:szCs w:val="20"/>
          <w:shd w:val="clear" w:color="auto" w:fill="FFFFFF"/>
        </w:rPr>
      </w:pPr>
      <w:r>
        <w:rPr>
          <w:rFonts w:ascii="Georgia" w:hAnsi="Georgia"/>
          <w:noProof/>
          <w:color w:val="333333"/>
          <w:sz w:val="20"/>
          <w:szCs w:val="20"/>
          <w:shd w:val="clear" w:color="auto" w:fill="FFFFFF"/>
        </w:rPr>
        <w:drawing>
          <wp:inline distT="0" distB="0" distL="0" distR="0" wp14:anchorId="690013D3" wp14:editId="430563EA">
            <wp:extent cx="5667375" cy="2390775"/>
            <wp:effectExtent l="0" t="0" r="9525" b="9525"/>
            <wp:docPr id="49"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67375" cy="2390775"/>
                    </a:xfrm>
                    <a:prstGeom prst="rect">
                      <a:avLst/>
                    </a:prstGeom>
                    <a:noFill/>
                    <a:ln>
                      <a:noFill/>
                    </a:ln>
                  </pic:spPr>
                </pic:pic>
              </a:graphicData>
            </a:graphic>
          </wp:inline>
        </w:drawing>
      </w:r>
    </w:p>
    <w:p w:rsidR="00AD77BB" w:rsidRDefault="00AD77BB">
      <w:pPr>
        <w:spacing w:line="360" w:lineRule="auto"/>
        <w:ind w:left="86"/>
        <w:textAlignment w:val="baseline"/>
        <w:rPr>
          <w:rFonts w:ascii="Georgia" w:hAnsi="Georgia"/>
          <w:color w:val="333333"/>
          <w:sz w:val="20"/>
          <w:szCs w:val="20"/>
          <w:shd w:val="clear" w:color="auto" w:fill="FFFFFF"/>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formulas in the definition allow us to compute the</w:t>
      </w:r>
      <w:r>
        <w:rPr>
          <w:rStyle w:val="apple-converted-space"/>
          <w:rFonts w:ascii="Georgia" w:hAnsi="Georgia"/>
          <w:color w:val="333333"/>
          <w:sz w:val="21"/>
          <w:szCs w:val="21"/>
        </w:rPr>
        <w:t> </w:t>
      </w:r>
      <w:r>
        <w:rPr>
          <w:rStyle w:val="Emphasis"/>
          <w:rFonts w:ascii="Georgia" w:hAnsi="Georgia"/>
          <w:color w:val="333333"/>
          <w:sz w:val="20"/>
          <w:szCs w:val="20"/>
        </w:rPr>
        <w:t>z</w:t>
      </w:r>
      <w:r>
        <w:rPr>
          <w:rFonts w:ascii="Georgia" w:hAnsi="Georgia"/>
          <w:color w:val="333333"/>
          <w:sz w:val="21"/>
          <w:szCs w:val="21"/>
        </w:rPr>
        <w:t>-score when</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is known. If the</w:t>
      </w:r>
      <w:r>
        <w:rPr>
          <w:rStyle w:val="apple-converted-space"/>
          <w:rFonts w:ascii="Georgia" w:hAnsi="Georgia"/>
          <w:color w:val="333333"/>
          <w:sz w:val="21"/>
          <w:szCs w:val="21"/>
        </w:rPr>
        <w:t> </w:t>
      </w:r>
      <w:r>
        <w:rPr>
          <w:rStyle w:val="Emphasis"/>
          <w:rFonts w:ascii="Georgia" w:hAnsi="Georgia"/>
          <w:color w:val="333333"/>
          <w:sz w:val="20"/>
          <w:szCs w:val="20"/>
        </w:rPr>
        <w:t>z</w:t>
      </w:r>
      <w:r>
        <w:rPr>
          <w:rFonts w:ascii="Georgia" w:hAnsi="Georgia"/>
          <w:color w:val="333333"/>
          <w:sz w:val="21"/>
          <w:szCs w:val="21"/>
        </w:rPr>
        <w:t>-score is known then</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can be recovered using the corresponding inverse formulas</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spacing w:line="360" w:lineRule="auto"/>
        <w:jc w:val="center"/>
        <w:textAlignment w:val="baseline"/>
        <w:rPr>
          <w:rFonts w:ascii="Calibri" w:hAnsi="Calibri"/>
          <w:color w:val="555555"/>
          <w:sz w:val="23"/>
          <w:szCs w:val="23"/>
          <w:shd w:val="clear" w:color="auto" w:fill="FFFFFF"/>
        </w:rPr>
      </w:pPr>
      <w:r>
        <w:rPr>
          <w:rStyle w:val="mi"/>
          <w:rFonts w:ascii="MathJax_Math" w:hAnsi="MathJax_Math"/>
          <w:i/>
          <w:iCs/>
          <w:color w:val="555555"/>
          <w:sz w:val="18"/>
          <w:szCs w:val="18"/>
          <w:shd w:val="clear" w:color="auto" w:fill="FFFFFF"/>
        </w:rPr>
        <w:t>x</w:t>
      </w:r>
      <w:r>
        <w:rPr>
          <w:rStyle w:val="mo"/>
          <w:rFonts w:ascii="MathJax_Main" w:hAnsi="MathJax_Main"/>
          <w:color w:val="555555"/>
          <w:sz w:val="18"/>
          <w:szCs w:val="18"/>
          <w:shd w:val="clear" w:color="auto" w:fill="FFFFFF"/>
        </w:rPr>
        <w:t>=(</w:t>
      </w:r>
      <w:r>
        <w:rPr>
          <w:rStyle w:val="mi"/>
          <w:rFonts w:ascii="MathJax_Math" w:hAnsi="MathJax_Math"/>
          <w:i/>
          <w:iCs/>
          <w:color w:val="555555"/>
          <w:sz w:val="18"/>
          <w:szCs w:val="18"/>
          <w:shd w:val="clear" w:color="auto" w:fill="FFFFFF"/>
        </w:rPr>
        <w:t>x</w:t>
      </w:r>
      <w:r>
        <w:rPr>
          <w:rStyle w:val="mi"/>
          <w:rFonts w:ascii="Times New Roman" w:hAnsi="Times New Roman" w:cs="Times New Roman"/>
          <w:i/>
          <w:iCs/>
          <w:color w:val="555555"/>
          <w:sz w:val="18"/>
          <w:szCs w:val="18"/>
          <w:shd w:val="clear" w:color="auto" w:fill="FFFFFF"/>
        </w:rPr>
        <w:t>^</w:t>
      </w:r>
      <w:r>
        <w:rPr>
          <w:rStyle w:val="mo"/>
          <w:rFonts w:ascii="MathJax_Main" w:hAnsi="MathJax_Main"/>
          <w:color w:val="555555"/>
          <w:sz w:val="18"/>
          <w:szCs w:val="18"/>
          <w:shd w:val="clear" w:color="auto" w:fill="FFFFFF"/>
        </w:rPr>
        <w:t>−)+</w:t>
      </w:r>
      <w:r>
        <w:rPr>
          <w:rStyle w:val="mi"/>
          <w:rFonts w:ascii="MathJax_Math" w:hAnsi="MathJax_Math"/>
          <w:i/>
          <w:iCs/>
          <w:color w:val="555555"/>
          <w:sz w:val="18"/>
          <w:szCs w:val="18"/>
          <w:shd w:val="clear" w:color="auto" w:fill="FFFFFF"/>
        </w:rPr>
        <w:t>sz</w:t>
      </w:r>
      <w:r>
        <w:rPr>
          <w:rStyle w:val="mtext"/>
          <w:rFonts w:ascii="MathJax_Main" w:hAnsi="MathJax_Main"/>
          <w:color w:val="555555"/>
          <w:sz w:val="18"/>
          <w:szCs w:val="18"/>
          <w:shd w:val="clear" w:color="auto" w:fill="FFFFFF"/>
        </w:rPr>
        <w:t> </w:t>
      </w:r>
      <w:r>
        <w:rPr>
          <w:rStyle w:val="mtext"/>
          <w:rFonts w:ascii="MathJax_Main" w:hAnsi="MathJax_Main"/>
          <w:color w:val="555555"/>
          <w:sz w:val="18"/>
          <w:szCs w:val="18"/>
          <w:shd w:val="clear" w:color="auto" w:fill="FFFFFF"/>
        </w:rPr>
        <w:t>or</w:t>
      </w:r>
      <w:r>
        <w:rPr>
          <w:rStyle w:val="mtext"/>
          <w:rFonts w:ascii="MathJax_Main" w:hAnsi="MathJax_Main"/>
          <w:color w:val="555555"/>
          <w:sz w:val="18"/>
          <w:szCs w:val="18"/>
          <w:shd w:val="clear" w:color="auto" w:fill="FFFFFF"/>
        </w:rPr>
        <w:t> </w:t>
      </w:r>
      <w:r>
        <w:rPr>
          <w:rStyle w:val="mi"/>
          <w:rFonts w:ascii="MathJax_Math" w:hAnsi="MathJax_Math"/>
          <w:i/>
          <w:iCs/>
          <w:color w:val="555555"/>
          <w:sz w:val="18"/>
          <w:szCs w:val="18"/>
          <w:shd w:val="clear" w:color="auto" w:fill="FFFFFF"/>
        </w:rPr>
        <w:t>x</w:t>
      </w:r>
      <w:r>
        <w:rPr>
          <w:rStyle w:val="mo"/>
          <w:rFonts w:ascii="MathJax_Main" w:hAnsi="MathJax_Main"/>
          <w:color w:val="555555"/>
          <w:sz w:val="18"/>
          <w:szCs w:val="18"/>
          <w:shd w:val="clear" w:color="auto" w:fill="FFFFFF"/>
        </w:rPr>
        <w:t>=</w:t>
      </w:r>
      <w:r>
        <w:rPr>
          <w:rStyle w:val="mi"/>
          <w:rFonts w:ascii="MathJax_Math" w:hAnsi="MathJax_Math"/>
          <w:i/>
          <w:iCs/>
          <w:color w:val="555555"/>
          <w:sz w:val="18"/>
          <w:szCs w:val="18"/>
          <w:shd w:val="clear" w:color="auto" w:fill="FFFFFF"/>
        </w:rPr>
        <w:t>μ</w:t>
      </w:r>
      <w:r>
        <w:rPr>
          <w:rStyle w:val="mo"/>
          <w:rFonts w:ascii="MathJax_Main" w:hAnsi="MathJax_Main"/>
          <w:color w:val="555555"/>
          <w:sz w:val="18"/>
          <w:szCs w:val="18"/>
          <w:shd w:val="clear" w:color="auto" w:fill="FFFFFF"/>
        </w:rPr>
        <w:t>+</w:t>
      </w:r>
      <w:r>
        <w:rPr>
          <w:rStyle w:val="mi"/>
          <w:rFonts w:ascii="MathJax_Math" w:hAnsi="MathJax_Math"/>
          <w:i/>
          <w:iCs/>
          <w:color w:val="555555"/>
          <w:sz w:val="18"/>
          <w:szCs w:val="18"/>
          <w:shd w:val="clear" w:color="auto" w:fill="FFFFFF"/>
        </w:rPr>
        <w:t>σz</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lastRenderedPageBreak/>
        <w:t>The</w:t>
      </w:r>
      <w:r>
        <w:rPr>
          <w:rStyle w:val="apple-converted-space"/>
          <w:rFonts w:ascii="Georgia" w:hAnsi="Georgia"/>
          <w:color w:val="333333"/>
          <w:sz w:val="21"/>
          <w:szCs w:val="21"/>
        </w:rPr>
        <w:t> </w:t>
      </w:r>
      <w:r>
        <w:rPr>
          <w:rStyle w:val="Emphasis"/>
          <w:rFonts w:ascii="Georgia" w:hAnsi="Georgia"/>
          <w:color w:val="333333"/>
          <w:sz w:val="20"/>
          <w:szCs w:val="20"/>
        </w:rPr>
        <w:t>z</w:t>
      </w:r>
      <w:r>
        <w:rPr>
          <w:rFonts w:ascii="Georgia" w:hAnsi="Georgia"/>
          <w:color w:val="333333"/>
          <w:sz w:val="21"/>
          <w:szCs w:val="21"/>
        </w:rPr>
        <w:t>-score indicates how many standard deviations an individual observation</w:t>
      </w:r>
      <w:r>
        <w:rPr>
          <w:rStyle w:val="apple-converted-space"/>
          <w:rFonts w:ascii="Georgia" w:hAnsi="Georgia"/>
          <w:color w:val="333333"/>
          <w:sz w:val="21"/>
          <w:szCs w:val="21"/>
        </w:rPr>
        <w:t> </w:t>
      </w:r>
      <w:r>
        <w:rPr>
          <w:rStyle w:val="Emphasis"/>
          <w:rFonts w:ascii="Georgia" w:hAnsi="Georgia"/>
          <w:color w:val="333333"/>
          <w:sz w:val="20"/>
          <w:szCs w:val="20"/>
        </w:rPr>
        <w:t xml:space="preserve">x </w:t>
      </w:r>
      <w:r>
        <w:rPr>
          <w:rFonts w:ascii="Georgia" w:hAnsi="Georgia"/>
          <w:color w:val="333333"/>
          <w:sz w:val="21"/>
          <w:szCs w:val="21"/>
        </w:rPr>
        <w:t>is from the center of the data set, its mean. If</w:t>
      </w:r>
      <w:r>
        <w:rPr>
          <w:rStyle w:val="apple-converted-space"/>
          <w:rFonts w:ascii="Georgia" w:hAnsi="Georgia"/>
          <w:color w:val="333333"/>
          <w:sz w:val="21"/>
          <w:szCs w:val="21"/>
        </w:rPr>
        <w:t> </w:t>
      </w:r>
      <w:r>
        <w:rPr>
          <w:rStyle w:val="Emphasis"/>
          <w:rFonts w:ascii="Georgia" w:hAnsi="Georgia"/>
          <w:color w:val="333333"/>
          <w:sz w:val="20"/>
          <w:szCs w:val="20"/>
        </w:rPr>
        <w:t>z</w:t>
      </w:r>
      <w:r>
        <w:rPr>
          <w:rStyle w:val="apple-converted-space"/>
          <w:rFonts w:ascii="Georgia" w:hAnsi="Georgia"/>
          <w:color w:val="333333"/>
          <w:sz w:val="21"/>
          <w:szCs w:val="21"/>
        </w:rPr>
        <w:t> </w:t>
      </w:r>
      <w:r>
        <w:rPr>
          <w:rFonts w:ascii="Georgia" w:hAnsi="Georgia"/>
          <w:color w:val="333333"/>
          <w:sz w:val="21"/>
          <w:szCs w:val="21"/>
        </w:rPr>
        <w:t>is negative then</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is below average. If</w:t>
      </w:r>
      <w:r>
        <w:rPr>
          <w:rStyle w:val="apple-converted-space"/>
          <w:rFonts w:ascii="Georgia" w:hAnsi="Georgia"/>
          <w:color w:val="333333"/>
          <w:sz w:val="21"/>
          <w:szCs w:val="21"/>
        </w:rPr>
        <w:t> </w:t>
      </w:r>
      <w:r>
        <w:rPr>
          <w:rStyle w:val="Emphasis"/>
          <w:rFonts w:ascii="Georgia" w:hAnsi="Georgia"/>
          <w:color w:val="333333"/>
          <w:sz w:val="20"/>
          <w:szCs w:val="20"/>
        </w:rPr>
        <w:t>z</w:t>
      </w:r>
      <w:r>
        <w:rPr>
          <w:rStyle w:val="apple-converted-space"/>
          <w:rFonts w:ascii="Georgia" w:hAnsi="Georgia"/>
          <w:color w:val="333333"/>
          <w:sz w:val="21"/>
          <w:szCs w:val="21"/>
        </w:rPr>
        <w:t> </w:t>
      </w:r>
      <w:r>
        <w:rPr>
          <w:rFonts w:ascii="Georgia" w:hAnsi="Georgia"/>
          <w:color w:val="333333"/>
          <w:sz w:val="21"/>
          <w:szCs w:val="21"/>
        </w:rPr>
        <w:t>is 0 then</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is equal to the average. If</w:t>
      </w:r>
      <w:r>
        <w:rPr>
          <w:rStyle w:val="apple-converted-space"/>
          <w:rFonts w:ascii="Georgia" w:hAnsi="Georgia"/>
          <w:color w:val="333333"/>
          <w:sz w:val="21"/>
          <w:szCs w:val="21"/>
        </w:rPr>
        <w:t> </w:t>
      </w:r>
      <w:r>
        <w:rPr>
          <w:rStyle w:val="Emphasis"/>
          <w:rFonts w:ascii="Georgia" w:hAnsi="Georgia"/>
          <w:color w:val="333333"/>
          <w:sz w:val="20"/>
          <w:szCs w:val="20"/>
        </w:rPr>
        <w:t>z</w:t>
      </w:r>
      <w:r>
        <w:rPr>
          <w:rStyle w:val="apple-converted-space"/>
          <w:rFonts w:ascii="Georgia" w:hAnsi="Georgia"/>
          <w:color w:val="333333"/>
          <w:sz w:val="21"/>
          <w:szCs w:val="21"/>
        </w:rPr>
        <w:t> </w:t>
      </w:r>
      <w:r>
        <w:rPr>
          <w:rFonts w:ascii="Georgia" w:hAnsi="Georgia"/>
          <w:color w:val="333333"/>
          <w:sz w:val="21"/>
          <w:szCs w:val="21"/>
        </w:rPr>
        <w:t>is positive then</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is above average. See</w:t>
      </w:r>
      <w:r>
        <w:rPr>
          <w:rStyle w:val="apple-converted-space"/>
          <w:rFonts w:ascii="Georgia" w:hAnsi="Georgia"/>
          <w:color w:val="333333"/>
          <w:sz w:val="21"/>
          <w:szCs w:val="21"/>
        </w:rPr>
        <w:t> </w:t>
      </w:r>
      <w:r>
        <w:rPr>
          <w:rFonts w:ascii="Georgia" w:hAnsi="Georgia"/>
          <w:color w:val="2689C6"/>
          <w:sz w:val="21"/>
          <w:szCs w:val="21"/>
        </w:rPr>
        <w:t>Figure 2.14</w:t>
      </w:r>
      <w:r>
        <w:rPr>
          <w:rFonts w:ascii="Georgia" w:hAnsi="Georgia"/>
          <w:color w:val="333333"/>
          <w:sz w:val="21"/>
          <w:szCs w:val="21"/>
        </w:rPr>
        <w:t>.</w:t>
      </w: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br/>
        <w:t>Figure 2.14</w:t>
      </w:r>
      <w:r>
        <w:rPr>
          <w:rFonts w:ascii="Georgia" w:eastAsia="Times New Roman" w:hAnsi="Georgia" w:cs="Times New Roman"/>
          <w:i/>
          <w:iCs/>
          <w:color w:val="BB9966"/>
          <w:sz w:val="19"/>
          <w:szCs w:val="19"/>
        </w:rPr>
        <w:t> </w:t>
      </w:r>
      <w:r>
        <w:rPr>
          <w:rFonts w:ascii="Georgia" w:eastAsia="Times New Roman" w:hAnsi="Georgia" w:cs="Times New Roman"/>
          <w:i/>
          <w:iCs/>
          <w:color w:val="BB9966"/>
          <w:sz w:val="20"/>
          <w:szCs w:val="20"/>
        </w:rPr>
        <w:t>x</w:t>
      </w:r>
      <w:r>
        <w:rPr>
          <w:rFonts w:ascii="Georgia" w:eastAsia="Times New Roman" w:hAnsi="Georgia" w:cs="Times New Roman"/>
          <w:i/>
          <w:iCs/>
          <w:color w:val="BB9966"/>
          <w:sz w:val="19"/>
          <w:szCs w:val="19"/>
        </w:rPr>
        <w:t>-Scale versus </w:t>
      </w:r>
      <w:r>
        <w:rPr>
          <w:rFonts w:ascii="Georgia" w:eastAsia="Times New Roman" w:hAnsi="Georgia" w:cs="Times New Roman"/>
          <w:i/>
          <w:iCs/>
          <w:color w:val="BB9966"/>
          <w:sz w:val="20"/>
          <w:szCs w:val="20"/>
        </w:rPr>
        <w:t>z</w:t>
      </w:r>
      <w:r>
        <w:rPr>
          <w:rFonts w:ascii="Georgia" w:eastAsia="Times New Roman" w:hAnsi="Georgia" w:cs="Times New Roman"/>
          <w:i/>
          <w:iCs/>
          <w:color w:val="BB9966"/>
          <w:sz w:val="19"/>
          <w:szCs w:val="19"/>
        </w:rPr>
        <w:t>-Score</w:t>
      </w:r>
    </w:p>
    <w:p w:rsidR="00AD77BB" w:rsidRDefault="00B45BA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sz w:val="26"/>
          <w:szCs w:val="26"/>
          <w:shd w:val="clear" w:color="auto" w:fill="FFFFFF"/>
        </w:rPr>
        <w:drawing>
          <wp:inline distT="0" distB="0" distL="0" distR="0" wp14:anchorId="40D6CED1" wp14:editId="0BC8F45B">
            <wp:extent cx="6048375" cy="4600575"/>
            <wp:effectExtent l="0" t="0" r="9525" b="9525"/>
            <wp:docPr id="50" name="Picture 72" descr="http://images.flatworldknowledge.com/shafer/shafer-fig02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images.flatworldknowledge.com/shafer/shafer-fig02_01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048375" cy="4600575"/>
                    </a:xfrm>
                    <a:prstGeom prst="rect">
                      <a:avLst/>
                    </a:prstGeom>
                    <a:noFill/>
                    <a:ln>
                      <a:noFill/>
                    </a:ln>
                  </pic:spPr>
                </pic:pic>
              </a:graphicData>
            </a:graphic>
          </wp:inline>
        </w:drawing>
      </w:r>
    </w:p>
    <w:p w:rsidR="00AD77BB" w:rsidRDefault="00B45BA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7530506" wp14:editId="06F49957">
            <wp:extent cx="5981700" cy="6457950"/>
            <wp:effectExtent l="0" t="0" r="0" b="0"/>
            <wp:docPr id="5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81700" cy="6457950"/>
                    </a:xfrm>
                    <a:prstGeom prst="rect">
                      <a:avLst/>
                    </a:prstGeom>
                    <a:noFill/>
                    <a:ln>
                      <a:noFill/>
                    </a:ln>
                  </pic:spPr>
                </pic:pic>
              </a:graphicData>
            </a:graphic>
          </wp:inline>
        </w:drawing>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EXAMPLE 18</w:t>
      </w:r>
    </w:p>
    <w:p w:rsidR="00AD77BB" w:rsidRDefault="00B45BA0">
      <w:pPr>
        <w:shd w:val="clear" w:color="auto" w:fill="E3EFF7"/>
        <w:spacing w:after="0" w:line="360" w:lineRule="auto"/>
        <w:ind w:left="302"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Suppose the mean and standard deviation of the GPAs of all currently registered students at a college are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 = 2.70 and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 0.50. The </w:t>
      </w:r>
      <w:r>
        <w:rPr>
          <w:rFonts w:ascii="Calibri" w:eastAsia="Times New Roman" w:hAnsi="Calibri" w:cs="Times New Roman"/>
          <w:i/>
          <w:iCs/>
          <w:color w:val="333333"/>
          <w:sz w:val="20"/>
          <w:szCs w:val="20"/>
        </w:rPr>
        <w:t>z</w:t>
      </w:r>
      <w:r>
        <w:rPr>
          <w:rFonts w:ascii="Calibri" w:eastAsia="Times New Roman" w:hAnsi="Calibri" w:cs="Times New Roman"/>
          <w:color w:val="333333"/>
          <w:sz w:val="20"/>
          <w:szCs w:val="20"/>
        </w:rPr>
        <w:t>-scores of the GPAs of two students, Antonio and Beatrice, are </w:t>
      </w:r>
      <w:r>
        <w:rPr>
          <w:rFonts w:ascii="MathJax_Math" w:eastAsia="Times New Roman" w:hAnsi="MathJax_Math" w:cs="Times New Roman"/>
          <w:i/>
          <w:iCs/>
          <w:color w:val="333333"/>
          <w:sz w:val="15"/>
          <w:szCs w:val="15"/>
        </w:rPr>
        <w:t>z</w:t>
      </w:r>
      <w:r>
        <w:rPr>
          <w:rFonts w:ascii="MathJax_Main" w:eastAsia="Times New Roman" w:hAnsi="MathJax_Main" w:cs="Times New Roman"/>
          <w:color w:val="333333"/>
          <w:sz w:val="15"/>
          <w:szCs w:val="15"/>
        </w:rPr>
        <w:t>=−0.62</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z</w:t>
      </w:r>
      <w:r>
        <w:rPr>
          <w:rFonts w:ascii="Calibri" w:eastAsia="Times New Roman" w:hAnsi="Calibri" w:cs="Times New Roman"/>
          <w:color w:val="333333"/>
          <w:sz w:val="20"/>
          <w:szCs w:val="20"/>
        </w:rPr>
        <w:t> = 1.28, respectively. What are their GPAs?</w:t>
      </w:r>
    </w:p>
    <w:p w:rsidR="00AD77BB" w:rsidRDefault="00B45BA0">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Solution:</w:t>
      </w:r>
    </w:p>
    <w:p w:rsidR="00AD77BB" w:rsidRDefault="00B45BA0">
      <w:pPr>
        <w:shd w:val="clear" w:color="auto" w:fill="E3EFF7"/>
        <w:spacing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Using the second formula right after the definition of </w:t>
      </w:r>
      <w:r>
        <w:rPr>
          <w:rFonts w:ascii="Calibri" w:eastAsia="Times New Roman" w:hAnsi="Calibri" w:cs="Times New Roman"/>
          <w:i/>
          <w:iCs/>
          <w:color w:val="333333"/>
          <w:sz w:val="20"/>
          <w:szCs w:val="20"/>
        </w:rPr>
        <w:t>z</w:t>
      </w:r>
      <w:r>
        <w:rPr>
          <w:rFonts w:ascii="Calibri" w:eastAsia="Times New Roman" w:hAnsi="Calibri" w:cs="Times New Roman"/>
          <w:color w:val="333333"/>
          <w:sz w:val="20"/>
          <w:szCs w:val="20"/>
        </w:rPr>
        <w:t>-scores we compute the GPAs as</w:t>
      </w:r>
    </w:p>
    <w:p w:rsidR="00AD77BB" w:rsidRDefault="00B45BA0">
      <w:pPr>
        <w:shd w:val="clear" w:color="auto" w:fill="E3EFF7"/>
        <w:spacing w:after="0" w:line="240" w:lineRule="auto"/>
        <w:jc w:val="center"/>
        <w:textAlignment w:val="baseline"/>
        <w:rPr>
          <w:rFonts w:ascii="MathJax_Main" w:eastAsia="Times New Roman" w:hAnsi="MathJax_Main" w:cs="Times New Roman"/>
          <w:b/>
          <w:color w:val="555555"/>
          <w:sz w:val="18"/>
          <w:szCs w:val="18"/>
        </w:rPr>
      </w:pPr>
      <w:r>
        <w:rPr>
          <w:rFonts w:ascii="MathJax_Main" w:eastAsia="Times New Roman" w:hAnsi="MathJax_Main" w:cs="Times New Roman"/>
          <w:b/>
          <w:color w:val="555555"/>
          <w:sz w:val="18"/>
          <w:szCs w:val="18"/>
        </w:rPr>
        <w:t>Antonio: </w:t>
      </w:r>
      <w:r>
        <w:rPr>
          <w:rFonts w:ascii="MathJax_Math" w:eastAsia="Times New Roman" w:hAnsi="MathJax_Math" w:cs="Times New Roman"/>
          <w:b/>
          <w:i/>
          <w:iCs/>
          <w:color w:val="555555"/>
          <w:sz w:val="18"/>
          <w:szCs w:val="18"/>
        </w:rPr>
        <w:t>x</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μ</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z</w:t>
      </w:r>
      <w:r>
        <w:rPr>
          <w:rFonts w:ascii="MathJax_Main" w:eastAsia="Times New Roman" w:hAnsi="MathJax_Main" w:cs="Times New Roman"/>
          <w:b/>
          <w:color w:val="555555"/>
          <w:sz w:val="18"/>
          <w:szCs w:val="18"/>
        </w:rPr>
        <w:t> </w:t>
      </w:r>
      <w:r>
        <w:rPr>
          <w:rFonts w:ascii="MathJax_Math" w:eastAsia="Times New Roman" w:hAnsi="MathJax_Math" w:cs="Times New Roman"/>
          <w:b/>
          <w:i/>
          <w:iCs/>
          <w:color w:val="555555"/>
          <w:sz w:val="18"/>
          <w:szCs w:val="18"/>
        </w:rPr>
        <w:t>σ</w:t>
      </w:r>
      <w:r>
        <w:rPr>
          <w:rFonts w:ascii="MathJax_Main" w:eastAsia="Times New Roman" w:hAnsi="MathJax_Main" w:cs="Times New Roman"/>
          <w:b/>
          <w:color w:val="555555"/>
          <w:sz w:val="18"/>
          <w:szCs w:val="18"/>
        </w:rPr>
        <w:t>=2.70+(−0.62)(0.50)=2.39</w:t>
      </w:r>
    </w:p>
    <w:p w:rsidR="00AD77BB" w:rsidRDefault="00B45BA0">
      <w:pPr>
        <w:shd w:val="clear" w:color="auto" w:fill="E3EFF7"/>
        <w:spacing w:after="0" w:line="240" w:lineRule="auto"/>
        <w:jc w:val="center"/>
        <w:textAlignment w:val="baseline"/>
        <w:rPr>
          <w:rFonts w:ascii="MathJax_Main" w:eastAsia="Times New Roman" w:hAnsi="MathJax_Main" w:cs="Times New Roman"/>
          <w:b/>
          <w:color w:val="555555"/>
          <w:sz w:val="18"/>
          <w:szCs w:val="18"/>
        </w:rPr>
      </w:pPr>
      <w:r>
        <w:rPr>
          <w:rFonts w:ascii="MathJax_Main" w:eastAsia="Times New Roman" w:hAnsi="MathJax_Main" w:cs="Times New Roman"/>
          <w:b/>
          <w:color w:val="555555"/>
          <w:sz w:val="18"/>
          <w:szCs w:val="18"/>
        </w:rPr>
        <w:t>Beatrice: </w:t>
      </w:r>
      <w:r>
        <w:rPr>
          <w:rFonts w:ascii="MathJax_Math" w:eastAsia="Times New Roman" w:hAnsi="MathJax_Math" w:cs="Times New Roman"/>
          <w:b/>
          <w:i/>
          <w:iCs/>
          <w:color w:val="555555"/>
          <w:sz w:val="18"/>
          <w:szCs w:val="18"/>
        </w:rPr>
        <w:t>x</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μ</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z</w:t>
      </w:r>
      <w:r>
        <w:rPr>
          <w:rFonts w:ascii="MathJax_Main" w:eastAsia="Times New Roman" w:hAnsi="MathJax_Main" w:cs="Times New Roman"/>
          <w:b/>
          <w:color w:val="555555"/>
          <w:sz w:val="18"/>
          <w:szCs w:val="18"/>
        </w:rPr>
        <w:t> </w:t>
      </w:r>
      <w:r>
        <w:rPr>
          <w:rFonts w:ascii="MathJax_Math" w:eastAsia="Times New Roman" w:hAnsi="MathJax_Math" w:cs="Times New Roman"/>
          <w:b/>
          <w:i/>
          <w:iCs/>
          <w:color w:val="555555"/>
          <w:sz w:val="18"/>
          <w:szCs w:val="18"/>
        </w:rPr>
        <w:t>σ</w:t>
      </w:r>
      <w:r>
        <w:rPr>
          <w:rFonts w:ascii="MathJax_Main" w:eastAsia="Times New Roman" w:hAnsi="MathJax_Main" w:cs="Times New Roman"/>
          <w:b/>
          <w:color w:val="555555"/>
          <w:sz w:val="18"/>
          <w:szCs w:val="18"/>
        </w:rPr>
        <w:t>=2.70+(1.28)(0.50)=3.34</w:t>
      </w:r>
    </w:p>
    <w:p w:rsidR="00AD77BB" w:rsidRDefault="00AD77BB">
      <w:pPr>
        <w:shd w:val="clear" w:color="auto" w:fill="E3EFF7"/>
        <w:spacing w:after="0" w:line="240" w:lineRule="auto"/>
        <w:jc w:val="center"/>
        <w:textAlignment w:val="baseline"/>
        <w:rPr>
          <w:rFonts w:ascii="Calibri" w:eastAsia="Times New Roman" w:hAnsi="Calibri" w:cs="Times New Roman"/>
          <w:b/>
          <w:color w:val="555555"/>
          <w:sz w:val="23"/>
          <w:szCs w:val="23"/>
        </w:rPr>
      </w:pP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AD77BB" w:rsidRDefault="00B45BA0">
      <w:pPr>
        <w:numPr>
          <w:ilvl w:val="0"/>
          <w:numId w:val="31"/>
        </w:numPr>
        <w:shd w:val="clear" w:color="auto" w:fill="ECF9EA"/>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percentile rank and </w:t>
      </w:r>
      <w:r>
        <w:rPr>
          <w:rFonts w:ascii="Calibri" w:eastAsia="Times New Roman" w:hAnsi="Calibri" w:cs="Times New Roman"/>
          <w:i/>
          <w:iCs/>
          <w:color w:val="333333"/>
          <w:sz w:val="20"/>
          <w:szCs w:val="20"/>
        </w:rPr>
        <w:t>z</w:t>
      </w:r>
      <w:r>
        <w:rPr>
          <w:rFonts w:ascii="Calibri" w:eastAsia="Times New Roman" w:hAnsi="Calibri" w:cs="Times New Roman"/>
          <w:color w:val="333333"/>
          <w:sz w:val="20"/>
          <w:szCs w:val="20"/>
        </w:rPr>
        <w:t>-score of a measurement indicate its relative position with regard to the other measurements in a data set.</w:t>
      </w:r>
    </w:p>
    <w:p w:rsidR="00AD77BB" w:rsidRDefault="00B45BA0">
      <w:pPr>
        <w:numPr>
          <w:ilvl w:val="0"/>
          <w:numId w:val="31"/>
        </w:numPr>
        <w:shd w:val="clear" w:color="auto" w:fill="ECF9EA"/>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three quartiles divide a data set into fourths.</w:t>
      </w:r>
    </w:p>
    <w:p w:rsidR="00AD77BB" w:rsidRDefault="00B45BA0">
      <w:pPr>
        <w:numPr>
          <w:ilvl w:val="0"/>
          <w:numId w:val="31"/>
        </w:numPr>
        <w:shd w:val="clear" w:color="auto" w:fill="ECF9EA"/>
        <w:spacing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five-number summary and its associated box plot summarize the location and distribution of the data.</w:t>
      </w:r>
    </w:p>
    <w:p w:rsidR="00AD77BB" w:rsidRDefault="00B45BA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0AB5021" wp14:editId="772E04A9">
            <wp:extent cx="5838825" cy="6038850"/>
            <wp:effectExtent l="0" t="0" r="9525" b="0"/>
            <wp:docPr id="52"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38825" cy="6038850"/>
                    </a:xfrm>
                    <a:prstGeom prst="rect">
                      <a:avLst/>
                    </a:prstGeom>
                    <a:noFill/>
                    <a:ln>
                      <a:noFill/>
                    </a:ln>
                  </pic:spPr>
                </pic:pic>
              </a:graphicData>
            </a:graphic>
          </wp:inline>
        </w:drawing>
      </w:r>
    </w:p>
    <w:p w:rsidR="00AD77BB" w:rsidRDefault="00B45BA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B75BF35" wp14:editId="2F3518D1">
            <wp:extent cx="5905500" cy="6800850"/>
            <wp:effectExtent l="0" t="0" r="0" b="0"/>
            <wp:docPr id="53"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05500" cy="6800850"/>
                    </a:xfrm>
                    <a:prstGeom prst="rect">
                      <a:avLst/>
                    </a:prstGeom>
                    <a:noFill/>
                    <a:ln>
                      <a:noFill/>
                    </a:ln>
                  </pic:spPr>
                </pic:pic>
              </a:graphicData>
            </a:graphic>
          </wp:inline>
        </w:drawing>
      </w:r>
    </w:p>
    <w:p w:rsidR="00AD77BB" w:rsidRDefault="00B45BA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2305C51F" wp14:editId="2F67FCC5">
            <wp:extent cx="5876925" cy="5724525"/>
            <wp:effectExtent l="0" t="0" r="9525" b="9525"/>
            <wp:docPr id="54"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76925" cy="5724525"/>
                    </a:xfrm>
                    <a:prstGeom prst="rect">
                      <a:avLst/>
                    </a:prstGeom>
                    <a:noFill/>
                    <a:ln>
                      <a:noFill/>
                    </a:ln>
                  </pic:spPr>
                </pic:pic>
              </a:graphicData>
            </a:graphic>
          </wp:inline>
        </w:drawing>
      </w:r>
    </w:p>
    <w:p w:rsidR="00AD77BB" w:rsidRDefault="00B45BA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358E87C" wp14:editId="44DBAB7F">
            <wp:extent cx="5934075" cy="6353175"/>
            <wp:effectExtent l="0" t="0" r="9525" b="9525"/>
            <wp:docPr id="55"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4075" cy="6353175"/>
                    </a:xfrm>
                    <a:prstGeom prst="rect">
                      <a:avLst/>
                    </a:prstGeom>
                    <a:noFill/>
                    <a:ln>
                      <a:noFill/>
                    </a:ln>
                  </pic:spPr>
                </pic:pic>
              </a:graphicData>
            </a:graphic>
          </wp:inline>
        </w:drawing>
      </w:r>
    </w:p>
    <w:p w:rsidR="00AD77BB" w:rsidRDefault="00B45BA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A4F07CB" wp14:editId="04EADCBA">
            <wp:extent cx="6105525" cy="6391275"/>
            <wp:effectExtent l="0" t="0" r="9525" b="9525"/>
            <wp:docPr id="56"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05525" cy="6391275"/>
                    </a:xfrm>
                    <a:prstGeom prst="rect">
                      <a:avLst/>
                    </a:prstGeom>
                    <a:noFill/>
                    <a:ln>
                      <a:noFill/>
                    </a:ln>
                  </pic:spPr>
                </pic:pic>
              </a:graphicData>
            </a:graphic>
          </wp:inline>
        </w:drawing>
      </w:r>
    </w:p>
    <w:p w:rsidR="00AD77BB" w:rsidRDefault="00B45BA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1228737" wp14:editId="64AA12EF">
            <wp:extent cx="6019800" cy="6762750"/>
            <wp:effectExtent l="0" t="0" r="0" b="0"/>
            <wp:docPr id="5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19800" cy="6762750"/>
                    </a:xfrm>
                    <a:prstGeom prst="rect">
                      <a:avLst/>
                    </a:prstGeom>
                    <a:noFill/>
                    <a:ln>
                      <a:noFill/>
                    </a:ln>
                  </pic:spPr>
                </pic:pic>
              </a:graphicData>
            </a:graphic>
          </wp:inline>
        </w:drawing>
      </w:r>
    </w:p>
    <w:p w:rsidR="00AD77BB" w:rsidRDefault="00B45BA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BA53F60" wp14:editId="3D7D3CF0">
            <wp:extent cx="6038850" cy="6229350"/>
            <wp:effectExtent l="0" t="0" r="0" b="0"/>
            <wp:docPr id="58"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38850" cy="6229350"/>
                    </a:xfrm>
                    <a:prstGeom prst="rect">
                      <a:avLst/>
                    </a:prstGeom>
                    <a:noFill/>
                    <a:ln>
                      <a:noFill/>
                    </a:ln>
                  </pic:spPr>
                </pic:pic>
              </a:graphicData>
            </a:graphic>
          </wp:inline>
        </w:drawing>
      </w:r>
    </w:p>
    <w:p w:rsidR="00AD77BB" w:rsidRDefault="00B45BA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8978ECB" wp14:editId="394DBFCA">
            <wp:extent cx="5991225" cy="7820025"/>
            <wp:effectExtent l="0" t="0" r="9525" b="9525"/>
            <wp:docPr id="59"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91225" cy="7820025"/>
                    </a:xfrm>
                    <a:prstGeom prst="rect">
                      <a:avLst/>
                    </a:prstGeom>
                    <a:noFill/>
                    <a:ln>
                      <a:noFill/>
                    </a:ln>
                  </pic:spPr>
                </pic:pic>
              </a:graphicData>
            </a:graphic>
          </wp:inline>
        </w:drawing>
      </w:r>
    </w:p>
    <w:p w:rsidR="00AD77BB" w:rsidRDefault="00B45BA0">
      <w:pPr>
        <w:pStyle w:val="para"/>
        <w:numPr>
          <w:ilvl w:val="0"/>
          <w:numId w:val="32"/>
        </w:numPr>
        <w:shd w:val="clear" w:color="auto" w:fill="E3EFF7"/>
        <w:spacing w:before="0" w:beforeAutospacing="0" w:after="0" w:afterAutospacing="0" w:line="439" w:lineRule="atLeast"/>
        <w:textAlignment w:val="baseline"/>
        <w:rPr>
          <w:rFonts w:ascii="Calibri" w:hAnsi="Calibri"/>
          <w:color w:val="333333"/>
          <w:sz w:val="20"/>
          <w:szCs w:val="20"/>
        </w:rPr>
      </w:pPr>
      <w:r>
        <w:rPr>
          <w:rFonts w:ascii="Calibri" w:hAnsi="Calibri"/>
          <w:color w:val="333333"/>
          <w:sz w:val="20"/>
          <w:szCs w:val="20"/>
        </w:rPr>
        <w:lastRenderedPageBreak/>
        <w:br/>
        <w:t>Emilia and Ferdinand took the same freshman chemistry course, Emilia in the fall, Ferdinand in the spring. Emilia made an 83 on the common final exam that she took, on which the mean was 76 and the standard deviation 8. Ferdinand made a 79 on the common final exam that he took, which was more difficult, since the mean was 65 and the standard deviation 12. The one who has a higher</w:t>
      </w:r>
      <w:r>
        <w:rPr>
          <w:rStyle w:val="apple-converted-space"/>
          <w:rFonts w:ascii="Calibri" w:hAnsi="Calibri"/>
          <w:color w:val="333333"/>
          <w:sz w:val="20"/>
          <w:szCs w:val="20"/>
        </w:rPr>
        <w:t> </w:t>
      </w:r>
      <w:r>
        <w:rPr>
          <w:rStyle w:val="Emphasis"/>
          <w:rFonts w:ascii="Calibri" w:hAnsi="Calibri"/>
          <w:color w:val="333333"/>
          <w:sz w:val="20"/>
          <w:szCs w:val="20"/>
        </w:rPr>
        <w:t>z</w:t>
      </w:r>
      <w:r>
        <w:rPr>
          <w:rFonts w:ascii="Calibri" w:hAnsi="Calibri"/>
          <w:color w:val="333333"/>
          <w:sz w:val="20"/>
          <w:szCs w:val="20"/>
        </w:rPr>
        <w:t>-score did relatively better. Was it Emilia or Ferdinand?</w:t>
      </w:r>
    </w:p>
    <w:p w:rsidR="00AD77BB" w:rsidRDefault="00B45BA0">
      <w:pPr>
        <w:pStyle w:val="para"/>
        <w:numPr>
          <w:ilvl w:val="0"/>
          <w:numId w:val="32"/>
        </w:numPr>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Refer to the previous exercise. On the final exam in the same course the following semester, the mean is 68 and the standard deviation is 9. What grade on the exam matches Emilia’s performance? Ferdinand’s?</w:t>
      </w:r>
    </w:p>
    <w:p w:rsidR="00AD77BB" w:rsidRDefault="00B45BA0">
      <w:pPr>
        <w:pStyle w:val="para"/>
        <w:numPr>
          <w:ilvl w:val="0"/>
          <w:numId w:val="32"/>
        </w:numPr>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Rosencrantz and Guildenstern are on a weight-reducing diet. Rosencrantz, who weighs 178 lb, belongs to an age and body-type group for which the mean weight is 145 lb and the standard deviation is 15 lb. Guildenstern, who weighs 204 lb, belongs to an age and body-type group for which the mean weight is 165 lb and the standard deviation is 20 lb. Assuming</w:t>
      </w:r>
      <w:r>
        <w:rPr>
          <w:rStyle w:val="apple-converted-space"/>
          <w:rFonts w:ascii="Calibri" w:hAnsi="Calibri"/>
          <w:color w:val="333333"/>
          <w:sz w:val="20"/>
          <w:szCs w:val="20"/>
        </w:rPr>
        <w:t> </w:t>
      </w:r>
      <w:r>
        <w:rPr>
          <w:rStyle w:val="Emphasis"/>
          <w:rFonts w:ascii="Calibri" w:hAnsi="Calibri"/>
          <w:color w:val="333333"/>
          <w:sz w:val="20"/>
          <w:szCs w:val="20"/>
        </w:rPr>
        <w:t>z</w:t>
      </w:r>
      <w:r>
        <w:rPr>
          <w:rFonts w:ascii="Calibri" w:hAnsi="Calibri"/>
          <w:color w:val="333333"/>
          <w:sz w:val="20"/>
          <w:szCs w:val="20"/>
        </w:rPr>
        <w:t>-scores are good measures for comparison in this context, who is more overweight for his age and body type?</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2"/>
          <w:szCs w:val="22"/>
        </w:rPr>
      </w:pPr>
      <w:r>
        <w:rPr>
          <w:rFonts w:ascii="Calibri" w:hAnsi="Calibri"/>
          <w:caps/>
          <w:color w:val="FFFFFF"/>
          <w:spacing w:val="30"/>
          <w:sz w:val="22"/>
          <w:szCs w:val="22"/>
        </w:rPr>
        <w:t>LARGE DATA SET EXERCISES</w:t>
      </w:r>
    </w:p>
    <w:p w:rsidR="00AD77BB" w:rsidRDefault="00B45BA0">
      <w:pPr>
        <w:pStyle w:val="para"/>
        <w:numPr>
          <w:ilvl w:val="0"/>
          <w:numId w:val="33"/>
        </w:numPr>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Large Data Set 1 lists the SAT scores and GPAs of 1,000 students.</w:t>
      </w:r>
    </w:p>
    <w:p w:rsidR="00AD77BB" w:rsidRDefault="00B45BA0">
      <w:pPr>
        <w:pStyle w:val="para"/>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eastAsiaTheme="majorEastAsia" w:hAnsi="Calibri"/>
          <w:color w:val="2689C6"/>
          <w:sz w:val="20"/>
          <w:szCs w:val="20"/>
        </w:rPr>
        <w:t>http://www.1.xls</w:t>
      </w:r>
    </w:p>
    <w:p w:rsidR="00AD77BB" w:rsidRDefault="00B45BA0">
      <w:pPr>
        <w:numPr>
          <w:ilvl w:val="1"/>
          <w:numId w:val="33"/>
        </w:numPr>
        <w:shd w:val="clear" w:color="auto" w:fill="E3EFF7"/>
        <w:spacing w:after="0" w:line="439" w:lineRule="atLeast"/>
        <w:ind w:left="450"/>
        <w:textAlignment w:val="baseline"/>
        <w:rPr>
          <w:rFonts w:ascii="Calibri" w:hAnsi="Calibri"/>
          <w:color w:val="333333"/>
          <w:sz w:val="20"/>
          <w:szCs w:val="20"/>
        </w:rPr>
      </w:pPr>
      <w:r>
        <w:rPr>
          <w:rFonts w:ascii="Calibri" w:hAnsi="Calibri"/>
          <w:color w:val="333333"/>
          <w:sz w:val="20"/>
          <w:szCs w:val="20"/>
        </w:rPr>
        <w:t>Compute the three quartiles and the interquartile range of the 1,000 SAT scores.</w:t>
      </w:r>
    </w:p>
    <w:p w:rsidR="00AD77BB" w:rsidRDefault="00B45BA0">
      <w:pPr>
        <w:numPr>
          <w:ilvl w:val="1"/>
          <w:numId w:val="33"/>
        </w:numPr>
        <w:shd w:val="clear" w:color="auto" w:fill="E3EFF7"/>
        <w:spacing w:after="0" w:line="439" w:lineRule="atLeast"/>
        <w:ind w:left="450"/>
        <w:textAlignment w:val="baseline"/>
        <w:rPr>
          <w:rFonts w:ascii="Calibri" w:hAnsi="Calibri"/>
          <w:color w:val="333333"/>
          <w:sz w:val="20"/>
          <w:szCs w:val="20"/>
        </w:rPr>
      </w:pPr>
      <w:r>
        <w:rPr>
          <w:rFonts w:ascii="Calibri" w:hAnsi="Calibri"/>
          <w:color w:val="333333"/>
          <w:sz w:val="20"/>
          <w:szCs w:val="20"/>
        </w:rPr>
        <w:t>Compute the three quartiles and the interquartile range of the 1,000 GPAs.</w:t>
      </w:r>
    </w:p>
    <w:p w:rsidR="00AD77BB" w:rsidRDefault="00B45BA0">
      <w:pPr>
        <w:pStyle w:val="para"/>
        <w:numPr>
          <w:ilvl w:val="0"/>
          <w:numId w:val="33"/>
        </w:numPr>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Large Data Set 10 records the scores of 72 students on a statistics exam.</w:t>
      </w:r>
    </w:p>
    <w:p w:rsidR="00AD77BB" w:rsidRDefault="00B45BA0">
      <w:pPr>
        <w:pStyle w:val="para"/>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eastAsiaTheme="majorEastAsia" w:hAnsi="Calibri"/>
          <w:color w:val="2689C6"/>
          <w:sz w:val="20"/>
          <w:szCs w:val="20"/>
        </w:rPr>
        <w:t>http://www.10.xls</w:t>
      </w:r>
    </w:p>
    <w:p w:rsidR="00AD77BB" w:rsidRDefault="00B45BA0">
      <w:pPr>
        <w:numPr>
          <w:ilvl w:val="1"/>
          <w:numId w:val="33"/>
        </w:numPr>
        <w:shd w:val="clear" w:color="auto" w:fill="E3EFF7"/>
        <w:spacing w:after="0" w:line="439" w:lineRule="atLeast"/>
        <w:ind w:left="450"/>
        <w:textAlignment w:val="baseline"/>
        <w:rPr>
          <w:rFonts w:ascii="Calibri" w:hAnsi="Calibri"/>
          <w:color w:val="333333"/>
          <w:sz w:val="20"/>
          <w:szCs w:val="20"/>
        </w:rPr>
      </w:pPr>
      <w:r>
        <w:rPr>
          <w:rFonts w:ascii="Calibri" w:hAnsi="Calibri"/>
          <w:color w:val="333333"/>
          <w:sz w:val="20"/>
          <w:szCs w:val="20"/>
        </w:rPr>
        <w:t>Compute the five-number summary of the data.</w:t>
      </w:r>
    </w:p>
    <w:p w:rsidR="00AD77BB" w:rsidRDefault="00B45BA0">
      <w:pPr>
        <w:numPr>
          <w:ilvl w:val="1"/>
          <w:numId w:val="33"/>
        </w:numPr>
        <w:shd w:val="clear" w:color="auto" w:fill="E3EFF7"/>
        <w:spacing w:after="0" w:line="439" w:lineRule="atLeast"/>
        <w:ind w:left="450"/>
        <w:textAlignment w:val="baseline"/>
        <w:rPr>
          <w:rFonts w:ascii="Calibri" w:hAnsi="Calibri"/>
          <w:color w:val="333333"/>
          <w:sz w:val="20"/>
          <w:szCs w:val="20"/>
        </w:rPr>
      </w:pPr>
      <w:r>
        <w:rPr>
          <w:rFonts w:ascii="Calibri" w:hAnsi="Calibri"/>
          <w:color w:val="333333"/>
          <w:sz w:val="20"/>
          <w:szCs w:val="20"/>
        </w:rPr>
        <w:t>Describe in words the performance of the class on the exam in the light of the result in part (a).</w:t>
      </w:r>
    </w:p>
    <w:p w:rsidR="00AD77BB" w:rsidRDefault="00B45BA0">
      <w:pPr>
        <w:pStyle w:val="para"/>
        <w:numPr>
          <w:ilvl w:val="0"/>
          <w:numId w:val="33"/>
        </w:numPr>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Large Data Sets 3 and 3A list the heights of 174 customers entering a shoe store.</w:t>
      </w:r>
    </w:p>
    <w:p w:rsidR="00AD77BB" w:rsidRDefault="00B45BA0">
      <w:pPr>
        <w:pStyle w:val="para"/>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eastAsiaTheme="majorEastAsia" w:hAnsi="Calibri"/>
          <w:color w:val="2689C6"/>
          <w:sz w:val="20"/>
          <w:szCs w:val="20"/>
        </w:rPr>
        <w:t>http://www.3.xls</w:t>
      </w:r>
    </w:p>
    <w:p w:rsidR="00AD77BB" w:rsidRDefault="00B45BA0">
      <w:pPr>
        <w:pStyle w:val="para"/>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eastAsiaTheme="majorEastAsia" w:hAnsi="Calibri"/>
          <w:color w:val="2689C6"/>
          <w:sz w:val="20"/>
          <w:szCs w:val="20"/>
        </w:rPr>
        <w:t>http://www.3A.xls</w:t>
      </w:r>
    </w:p>
    <w:p w:rsidR="00AD77BB" w:rsidRDefault="00B45BA0">
      <w:pPr>
        <w:numPr>
          <w:ilvl w:val="1"/>
          <w:numId w:val="33"/>
        </w:numPr>
        <w:shd w:val="clear" w:color="auto" w:fill="E3EFF7"/>
        <w:spacing w:after="0" w:line="439" w:lineRule="atLeast"/>
        <w:ind w:left="450"/>
        <w:textAlignment w:val="baseline"/>
        <w:rPr>
          <w:rFonts w:ascii="Calibri" w:hAnsi="Calibri"/>
          <w:color w:val="333333"/>
          <w:sz w:val="20"/>
          <w:szCs w:val="20"/>
        </w:rPr>
      </w:pPr>
      <w:r>
        <w:rPr>
          <w:rFonts w:ascii="Calibri" w:hAnsi="Calibri"/>
          <w:color w:val="333333"/>
          <w:sz w:val="20"/>
          <w:szCs w:val="20"/>
        </w:rPr>
        <w:t>Compute the five-number summary of the heights, without regard to gender.</w:t>
      </w:r>
    </w:p>
    <w:p w:rsidR="00AD77BB" w:rsidRDefault="00B45BA0">
      <w:pPr>
        <w:numPr>
          <w:ilvl w:val="1"/>
          <w:numId w:val="33"/>
        </w:numPr>
        <w:shd w:val="clear" w:color="auto" w:fill="E3EFF7"/>
        <w:spacing w:after="0" w:line="439" w:lineRule="atLeast"/>
        <w:ind w:left="450"/>
        <w:textAlignment w:val="baseline"/>
        <w:rPr>
          <w:rFonts w:ascii="Calibri" w:hAnsi="Calibri"/>
          <w:color w:val="333333"/>
          <w:sz w:val="20"/>
          <w:szCs w:val="20"/>
        </w:rPr>
      </w:pPr>
      <w:r>
        <w:rPr>
          <w:rFonts w:ascii="Calibri" w:hAnsi="Calibri"/>
          <w:color w:val="333333"/>
          <w:sz w:val="20"/>
          <w:szCs w:val="20"/>
        </w:rPr>
        <w:t>Compute the five-number summary of the heights of the men in the sample.</w:t>
      </w:r>
    </w:p>
    <w:p w:rsidR="00AD77BB" w:rsidRDefault="00B45BA0">
      <w:pPr>
        <w:numPr>
          <w:ilvl w:val="1"/>
          <w:numId w:val="33"/>
        </w:numPr>
        <w:shd w:val="clear" w:color="auto" w:fill="E3EFF7"/>
        <w:spacing w:after="0" w:line="439" w:lineRule="atLeast"/>
        <w:ind w:left="450"/>
        <w:textAlignment w:val="baseline"/>
        <w:rPr>
          <w:rFonts w:ascii="Calibri" w:hAnsi="Calibri"/>
          <w:color w:val="333333"/>
          <w:sz w:val="20"/>
          <w:szCs w:val="20"/>
        </w:rPr>
      </w:pPr>
      <w:r>
        <w:rPr>
          <w:rFonts w:ascii="Calibri" w:hAnsi="Calibri"/>
          <w:color w:val="333333"/>
          <w:sz w:val="20"/>
          <w:szCs w:val="20"/>
        </w:rPr>
        <w:t>Compute the five-number summary of the heights of the women in the sample.</w:t>
      </w:r>
    </w:p>
    <w:p w:rsidR="00AD77BB" w:rsidRDefault="00B45BA0">
      <w:pPr>
        <w:pStyle w:val="para"/>
        <w:numPr>
          <w:ilvl w:val="0"/>
          <w:numId w:val="33"/>
        </w:numPr>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lastRenderedPageBreak/>
        <w:t>Large Data Sets 7, 7A, and 7B list the survival times in days of 140 laboratory mice with thymic leukemia from onset to death.</w:t>
      </w:r>
    </w:p>
    <w:p w:rsidR="00AD77BB" w:rsidRDefault="00B45BA0">
      <w:pPr>
        <w:pStyle w:val="para"/>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eastAsiaTheme="majorEastAsia" w:hAnsi="Calibri"/>
          <w:color w:val="2689C6"/>
          <w:sz w:val="20"/>
          <w:szCs w:val="20"/>
        </w:rPr>
        <w:t>http://www.7.xls</w:t>
      </w:r>
    </w:p>
    <w:p w:rsidR="00AD77BB" w:rsidRDefault="00B45BA0">
      <w:pPr>
        <w:pStyle w:val="para"/>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eastAsiaTheme="majorEastAsia" w:hAnsi="Calibri"/>
          <w:color w:val="2689C6"/>
          <w:sz w:val="20"/>
          <w:szCs w:val="20"/>
        </w:rPr>
        <w:t>http://www.7A.xls</w:t>
      </w:r>
    </w:p>
    <w:p w:rsidR="00AD77BB" w:rsidRDefault="00B45BA0">
      <w:pPr>
        <w:pStyle w:val="para"/>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eastAsiaTheme="majorEastAsia" w:hAnsi="Calibri"/>
          <w:color w:val="2689C6"/>
          <w:sz w:val="20"/>
          <w:szCs w:val="20"/>
        </w:rPr>
        <w:t>http://www.7B.xls</w:t>
      </w:r>
    </w:p>
    <w:p w:rsidR="00AD77BB" w:rsidRDefault="00B45BA0">
      <w:pPr>
        <w:numPr>
          <w:ilvl w:val="1"/>
          <w:numId w:val="33"/>
        </w:numPr>
        <w:shd w:val="clear" w:color="auto" w:fill="E3EFF7"/>
        <w:spacing w:after="0" w:line="439" w:lineRule="atLeast"/>
        <w:ind w:left="450"/>
        <w:textAlignment w:val="baseline"/>
        <w:rPr>
          <w:rFonts w:ascii="Calibri" w:hAnsi="Calibri"/>
          <w:color w:val="333333"/>
          <w:sz w:val="20"/>
          <w:szCs w:val="20"/>
        </w:rPr>
      </w:pPr>
      <w:r>
        <w:rPr>
          <w:rFonts w:ascii="Calibri" w:hAnsi="Calibri"/>
          <w:color w:val="333333"/>
          <w:sz w:val="20"/>
          <w:szCs w:val="20"/>
        </w:rPr>
        <w:t>Compute the three quartiles and the interquartile range of the survival times for all mice, without regard to gender.</w:t>
      </w:r>
    </w:p>
    <w:p w:rsidR="00AD77BB" w:rsidRDefault="00B45BA0">
      <w:pPr>
        <w:numPr>
          <w:ilvl w:val="1"/>
          <w:numId w:val="33"/>
        </w:numPr>
        <w:shd w:val="clear" w:color="auto" w:fill="E3EFF7"/>
        <w:spacing w:after="0" w:line="439" w:lineRule="atLeast"/>
        <w:ind w:left="450"/>
        <w:textAlignment w:val="baseline"/>
        <w:rPr>
          <w:rFonts w:ascii="Calibri" w:hAnsi="Calibri"/>
          <w:color w:val="333333"/>
          <w:sz w:val="20"/>
          <w:szCs w:val="20"/>
        </w:rPr>
      </w:pPr>
      <w:r>
        <w:rPr>
          <w:rFonts w:ascii="Calibri" w:hAnsi="Calibri"/>
          <w:color w:val="333333"/>
          <w:sz w:val="20"/>
          <w:szCs w:val="20"/>
        </w:rPr>
        <w:t>Compute the three quartiles and the interquartile range of the survival times for the 65 male mice (separately recorded in Large Data Set 7A).</w:t>
      </w:r>
    </w:p>
    <w:p w:rsidR="00AD77BB" w:rsidRDefault="00B45BA0">
      <w:pPr>
        <w:numPr>
          <w:ilvl w:val="1"/>
          <w:numId w:val="33"/>
        </w:numPr>
        <w:shd w:val="clear" w:color="auto" w:fill="E3EFF7"/>
        <w:spacing w:after="0" w:line="439" w:lineRule="atLeast"/>
        <w:ind w:left="450"/>
        <w:textAlignment w:val="baseline"/>
        <w:rPr>
          <w:rFonts w:ascii="Calibri" w:hAnsi="Calibri"/>
          <w:color w:val="333333"/>
          <w:sz w:val="20"/>
          <w:szCs w:val="20"/>
        </w:rPr>
      </w:pPr>
      <w:r>
        <w:rPr>
          <w:rFonts w:ascii="Calibri" w:hAnsi="Calibri"/>
          <w:color w:val="333333"/>
          <w:sz w:val="20"/>
          <w:szCs w:val="20"/>
        </w:rPr>
        <w:t>Compute the three quartiles and the interquartile range of the survival times for the 75 female mice (separately recorded in Large Data Set 7B).</w:t>
      </w:r>
    </w:p>
    <w:p w:rsidR="00AD77BB" w:rsidRDefault="00B45BA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74E77EBF" wp14:editId="6FF64A2A">
            <wp:extent cx="5934075" cy="5029200"/>
            <wp:effectExtent l="0" t="0" r="9525" b="0"/>
            <wp:docPr id="6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4075" cy="5029200"/>
                    </a:xfrm>
                    <a:prstGeom prst="rect">
                      <a:avLst/>
                    </a:prstGeom>
                    <a:noFill/>
                    <a:ln>
                      <a:noFill/>
                    </a:ln>
                  </pic:spPr>
                </pic:pic>
              </a:graphicData>
            </a:graphic>
          </wp:inline>
        </w:drawing>
      </w:r>
    </w:p>
    <w:p w:rsidR="00AD77BB" w:rsidRDefault="00B45BA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68812EF" wp14:editId="3D4B4765">
            <wp:extent cx="5953125" cy="7048500"/>
            <wp:effectExtent l="0" t="0" r="9525" b="0"/>
            <wp:docPr id="6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53125" cy="7048500"/>
                    </a:xfrm>
                    <a:prstGeom prst="rect">
                      <a:avLst/>
                    </a:prstGeom>
                    <a:noFill/>
                    <a:ln>
                      <a:noFill/>
                    </a:ln>
                  </pic:spPr>
                </pic:pic>
              </a:graphicData>
            </a:graphic>
          </wp:inline>
        </w:drawing>
      </w:r>
    </w:p>
    <w:p w:rsidR="00AD77BB" w:rsidRDefault="00AD77BB">
      <w:pPr>
        <w:shd w:val="clear" w:color="auto" w:fill="FFFFFF"/>
        <w:spacing w:after="0" w:line="439" w:lineRule="atLeast"/>
        <w:textAlignment w:val="baseline"/>
        <w:outlineLvl w:val="1"/>
        <w:rPr>
          <w:rFonts w:ascii="Calibri" w:eastAsia="Times New Roman" w:hAnsi="Calibri" w:cs="Times New Roman"/>
          <w:b/>
          <w:bCs/>
          <w:color w:val="333333"/>
          <w:sz w:val="35"/>
          <w:szCs w:val="35"/>
        </w:rPr>
      </w:pPr>
    </w:p>
    <w:p w:rsidR="00AD77BB" w:rsidRDefault="00AD77BB">
      <w:pPr>
        <w:shd w:val="clear" w:color="auto" w:fill="FFFFFF"/>
        <w:spacing w:after="0" w:line="439" w:lineRule="atLeast"/>
        <w:textAlignment w:val="baseline"/>
        <w:outlineLvl w:val="1"/>
        <w:rPr>
          <w:rFonts w:ascii="Calibri" w:eastAsia="Times New Roman" w:hAnsi="Calibri" w:cs="Times New Roman"/>
          <w:b/>
          <w:bCs/>
          <w:color w:val="333333"/>
          <w:sz w:val="35"/>
          <w:szCs w:val="35"/>
        </w:rPr>
      </w:pPr>
    </w:p>
    <w:p w:rsidR="00AD77BB" w:rsidRDefault="00AD77BB">
      <w:pPr>
        <w:shd w:val="clear" w:color="auto" w:fill="FFFFFF"/>
        <w:spacing w:after="0" w:line="439" w:lineRule="atLeast"/>
        <w:textAlignment w:val="baseline"/>
        <w:outlineLvl w:val="1"/>
        <w:rPr>
          <w:rFonts w:ascii="Calibri" w:eastAsia="Times New Roman" w:hAnsi="Calibri" w:cs="Times New Roman"/>
          <w:b/>
          <w:bCs/>
          <w:color w:val="333333"/>
          <w:sz w:val="35"/>
          <w:szCs w:val="35"/>
        </w:rPr>
      </w:pPr>
    </w:p>
    <w:p w:rsidR="00AD77BB" w:rsidRDefault="00B45BA0">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2.5</w:t>
      </w:r>
      <w:r>
        <w:rPr>
          <w:rFonts w:ascii="Calibri" w:eastAsia="Times New Roman" w:hAnsi="Calibri" w:cs="Times New Roman"/>
          <w:b/>
          <w:bCs/>
          <w:color w:val="333333"/>
          <w:sz w:val="36"/>
          <w:szCs w:val="36"/>
        </w:rPr>
        <w:t> The Empirical Rule and Chebyshev’s Theorem</w:t>
      </w:r>
    </w:p>
    <w:p w:rsidR="00AD77BB" w:rsidRDefault="00B45BA0">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AD77BB" w:rsidRDefault="00B45BA0">
      <w:pPr>
        <w:numPr>
          <w:ilvl w:val="0"/>
          <w:numId w:val="34"/>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what the value of the standard deviation of a data set implies about how the data scatter away from the mean as described by the Empirical Rule and Chebyshev’s Theorem.</w:t>
      </w:r>
    </w:p>
    <w:p w:rsidR="00AD77BB" w:rsidRDefault="00B45BA0">
      <w:pPr>
        <w:numPr>
          <w:ilvl w:val="0"/>
          <w:numId w:val="34"/>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use the Empirical Rule and Chebyshev’s Theorem to draw conclusions about a data set.</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You probably have a good intuitive grasp of what the average of a data set says about that data set. In this section we begin to learn what the standard deviation has to tell us about the nature of the data set.</w:t>
      </w:r>
    </w:p>
    <w:p w:rsidR="00AD77BB" w:rsidRDefault="00B45BA0">
      <w:pPr>
        <w:shd w:val="clear" w:color="auto" w:fill="FFFFFF"/>
        <w:spacing w:after="0" w:line="360" w:lineRule="auto"/>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Empirical Rule</w:t>
      </w:r>
    </w:p>
    <w:p w:rsidR="00AD77BB" w:rsidRDefault="00B45BA0">
      <w:pPr>
        <w:shd w:val="clear" w:color="auto" w:fill="FFFFFF"/>
        <w:spacing w:after="0" w:line="360" w:lineRule="auto"/>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We start by examining a specific set of data. </w:t>
      </w:r>
      <w:r>
        <w:rPr>
          <w:rFonts w:ascii="Georgia" w:eastAsia="Times New Roman" w:hAnsi="Georgia" w:cs="Times New Roman"/>
          <w:color w:val="2689C6"/>
          <w:sz w:val="20"/>
          <w:szCs w:val="20"/>
        </w:rPr>
        <w:t>Table 2.2 "Heights of Men"</w:t>
      </w:r>
      <w:r>
        <w:rPr>
          <w:rFonts w:ascii="Georgia" w:eastAsia="Times New Roman" w:hAnsi="Georgia" w:cs="Times New Roman"/>
          <w:color w:val="333333"/>
          <w:sz w:val="20"/>
          <w:szCs w:val="20"/>
        </w:rPr>
        <w:t> shows the heights in inches of 100 randomly selected adult men. A relative frequency histogram for the data is shown in </w:t>
      </w:r>
      <w:r>
        <w:rPr>
          <w:rFonts w:ascii="Georgia" w:eastAsia="Times New Roman" w:hAnsi="Georgia" w:cs="Times New Roman"/>
          <w:color w:val="2689C6"/>
          <w:sz w:val="20"/>
          <w:szCs w:val="20"/>
        </w:rPr>
        <w:t>Figure 2.15 "Heights of Adult Men"</w:t>
      </w:r>
      <w:r>
        <w:rPr>
          <w:rFonts w:ascii="Georgia" w:eastAsia="Times New Roman" w:hAnsi="Georgia" w:cs="Times New Roman"/>
          <w:color w:val="333333"/>
          <w:sz w:val="20"/>
          <w:szCs w:val="20"/>
        </w:rPr>
        <w:t>. The mean and standard deviation of the data are, rounded to two decimal places, </w:t>
      </w:r>
      <w:r>
        <w:rPr>
          <w:rFonts w:ascii="MathJax_Math" w:eastAsia="Times New Roman" w:hAnsi="MathJax_Math" w:cs="Times New Roman"/>
          <w:b/>
          <w:i/>
          <w:iCs/>
          <w:color w:val="333333"/>
          <w:sz w:val="18"/>
          <w:szCs w:val="18"/>
        </w:rPr>
        <w:t>x</w:t>
      </w:r>
      <w:r>
        <w:rPr>
          <w:rFonts w:ascii="Times New Roman" w:eastAsia="Times New Roman" w:hAnsi="Times New Roman" w:cs="Times New Roman"/>
          <w:b/>
          <w:i/>
          <w:iCs/>
          <w:color w:val="333333"/>
          <w:sz w:val="18"/>
          <w:szCs w:val="18"/>
        </w:rPr>
        <w:t>^</w:t>
      </w:r>
      <w:r>
        <w:rPr>
          <w:rFonts w:ascii="MathJax_Main" w:eastAsia="Times New Roman" w:hAnsi="MathJax_Main" w:cs="Times New Roman"/>
          <w:b/>
          <w:color w:val="333333"/>
          <w:sz w:val="18"/>
          <w:szCs w:val="18"/>
        </w:rPr>
        <w:t>−=69.92</w:t>
      </w:r>
      <w:r>
        <w:rPr>
          <w:rFonts w:ascii="MathJax_Main" w:eastAsia="Times New Roman" w:hAnsi="MathJax_Main" w:cs="Times New Roman"/>
          <w:color w:val="333333"/>
          <w:sz w:val="18"/>
          <w:szCs w:val="18"/>
        </w:rPr>
        <w:t xml:space="preserve"> </w:t>
      </w:r>
      <w:r>
        <w:rPr>
          <w:rFonts w:ascii="Georgia" w:eastAsia="Times New Roman" w:hAnsi="Georgia" w:cs="Times New Roman"/>
          <w:color w:val="333333"/>
          <w:sz w:val="20"/>
          <w:szCs w:val="20"/>
        </w:rPr>
        <w:t>and </w:t>
      </w:r>
      <w:r>
        <w:rPr>
          <w:rFonts w:ascii="Georgia" w:eastAsia="Times New Roman" w:hAnsi="Georgia" w:cs="Times New Roman"/>
          <w:i/>
          <w:iCs/>
          <w:color w:val="333333"/>
          <w:sz w:val="20"/>
          <w:szCs w:val="20"/>
        </w:rPr>
        <w:t>s</w:t>
      </w:r>
      <w:r>
        <w:rPr>
          <w:rFonts w:ascii="Georgia" w:eastAsia="Times New Roman" w:hAnsi="Georgia" w:cs="Times New Roman"/>
          <w:color w:val="333333"/>
          <w:sz w:val="20"/>
          <w:szCs w:val="20"/>
        </w:rPr>
        <w:t> = 1.70. If we go through the data and count the number of observations that are within one standard deviation of the mean, that is, that are between </w:t>
      </w:r>
      <w:r>
        <w:rPr>
          <w:rFonts w:ascii="MathJax_Main" w:eastAsia="Times New Roman" w:hAnsi="MathJax_Main" w:cs="Times New Roman"/>
          <w:b/>
          <w:color w:val="333333"/>
          <w:sz w:val="18"/>
          <w:szCs w:val="18"/>
        </w:rPr>
        <w:t>69.92−1.70=68.22</w:t>
      </w:r>
      <w:r>
        <w:rPr>
          <w:rFonts w:ascii="Georgia" w:eastAsia="Times New Roman" w:hAnsi="Georgia" w:cs="Times New Roman"/>
          <w:color w:val="333333"/>
          <w:sz w:val="20"/>
          <w:szCs w:val="20"/>
        </w:rPr>
        <w:t> and </w:t>
      </w:r>
      <w:r>
        <w:rPr>
          <w:rFonts w:ascii="MathJax_Main" w:eastAsia="Times New Roman" w:hAnsi="MathJax_Main" w:cs="Times New Roman"/>
          <w:b/>
          <w:color w:val="333333"/>
          <w:sz w:val="18"/>
          <w:szCs w:val="18"/>
        </w:rPr>
        <w:t>69.92+1.70=71.62</w:t>
      </w:r>
      <w:r>
        <w:rPr>
          <w:rFonts w:ascii="Georgia" w:eastAsia="Times New Roman" w:hAnsi="Georgia" w:cs="Times New Roman"/>
          <w:color w:val="333333"/>
          <w:sz w:val="20"/>
          <w:szCs w:val="20"/>
        </w:rPr>
        <w:t xml:space="preserve"> inches, there are 69 of them. If we count the number of observations that are within two standard deviations of the mean, that is, that are </w:t>
      </w:r>
      <w:r>
        <w:rPr>
          <w:rFonts w:ascii="Georgia" w:eastAsia="Times New Roman" w:hAnsi="Georgia" w:cs="Times New Roman"/>
          <w:b/>
          <w:color w:val="333333"/>
          <w:sz w:val="20"/>
          <w:szCs w:val="20"/>
        </w:rPr>
        <w:t>between </w:t>
      </w:r>
      <w:r>
        <w:rPr>
          <w:rFonts w:ascii="MathJax_Main" w:eastAsia="Times New Roman" w:hAnsi="MathJax_Main" w:cs="Times New Roman"/>
          <w:b/>
          <w:color w:val="333333"/>
          <w:sz w:val="18"/>
          <w:szCs w:val="18"/>
        </w:rPr>
        <w:t>69.92−2(1.70)=66.52</w:t>
      </w:r>
      <w:r>
        <w:rPr>
          <w:rFonts w:ascii="Georgia" w:eastAsia="Times New Roman" w:hAnsi="Georgia" w:cs="Times New Roman"/>
          <w:color w:val="333333"/>
          <w:sz w:val="20"/>
          <w:szCs w:val="20"/>
        </w:rPr>
        <w:t> and </w:t>
      </w:r>
      <w:r>
        <w:rPr>
          <w:rFonts w:ascii="MathJax_Main" w:eastAsia="Times New Roman" w:hAnsi="MathJax_Main" w:cs="Times New Roman"/>
          <w:b/>
          <w:color w:val="333333"/>
          <w:sz w:val="18"/>
          <w:szCs w:val="18"/>
        </w:rPr>
        <w:t>69.92+2(1.70)=73.32</w:t>
      </w:r>
      <w:r>
        <w:rPr>
          <w:rFonts w:ascii="Georgia" w:eastAsia="Times New Roman" w:hAnsi="Georgia" w:cs="Times New Roman"/>
          <w:color w:val="333333"/>
          <w:sz w:val="20"/>
          <w:szCs w:val="20"/>
        </w:rPr>
        <w:t> inches, there are 95 of them. All of the measurements are within three standard deviations of the mean, that is, between </w:t>
      </w:r>
      <w:r>
        <w:rPr>
          <w:rFonts w:ascii="MathJax_Main" w:eastAsia="Times New Roman" w:hAnsi="MathJax_Main" w:cs="Times New Roman"/>
          <w:b/>
          <w:color w:val="333333"/>
          <w:sz w:val="18"/>
          <w:szCs w:val="18"/>
        </w:rPr>
        <w:t>69.92−3(1.70)=64.822</w:t>
      </w:r>
      <w:r>
        <w:rPr>
          <w:rFonts w:ascii="Georgia" w:eastAsia="Times New Roman" w:hAnsi="Georgia" w:cs="Times New Roman"/>
          <w:color w:val="333333"/>
          <w:sz w:val="20"/>
          <w:szCs w:val="20"/>
        </w:rPr>
        <w:t> and </w:t>
      </w:r>
      <w:r>
        <w:rPr>
          <w:rFonts w:ascii="MathJax_Main" w:eastAsia="Times New Roman" w:hAnsi="MathJax_Main" w:cs="Times New Roman"/>
          <w:b/>
          <w:color w:val="333333"/>
          <w:sz w:val="18"/>
          <w:szCs w:val="18"/>
        </w:rPr>
        <w:t>69.92+3(1.70)=75.02</w:t>
      </w:r>
      <w:r>
        <w:rPr>
          <w:rFonts w:ascii="Georgia" w:eastAsia="Times New Roman" w:hAnsi="Georgia" w:cs="Times New Roman"/>
          <w:color w:val="333333"/>
          <w:sz w:val="20"/>
          <w:szCs w:val="20"/>
        </w:rPr>
        <w:t> inches. These tallies are not coincidences, but are in agreement with the following result that has been found to be widely applicable.</w:t>
      </w:r>
    </w:p>
    <w:p w:rsidR="00AD77BB" w:rsidRDefault="00AD77BB">
      <w:pPr>
        <w:shd w:val="clear" w:color="auto" w:fill="FFFFFF"/>
        <w:spacing w:after="0" w:line="360" w:lineRule="auto"/>
        <w:textAlignment w:val="baseline"/>
        <w:rPr>
          <w:rFonts w:ascii="Georgia" w:eastAsia="Times New Roman" w:hAnsi="Georgia" w:cs="Times New Roman"/>
          <w:color w:val="333333"/>
          <w:sz w:val="20"/>
          <w:szCs w:val="20"/>
        </w:rPr>
      </w:pPr>
    </w:p>
    <w:p w:rsidR="00AD77BB" w:rsidRDefault="00B45BA0">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2.2 Heights of Men</w:t>
      </w:r>
    </w:p>
    <w:tbl>
      <w:tblPr>
        <w:tblW w:w="6540" w:type="dxa"/>
        <w:tblCellMar>
          <w:left w:w="0" w:type="dxa"/>
          <w:right w:w="0" w:type="dxa"/>
        </w:tblCellMar>
        <w:tblLook w:val="04A0" w:firstRow="1" w:lastRow="0" w:firstColumn="1" w:lastColumn="0" w:noHBand="0" w:noVBand="1"/>
      </w:tblPr>
      <w:tblGrid>
        <w:gridCol w:w="654"/>
        <w:gridCol w:w="654"/>
        <w:gridCol w:w="654"/>
        <w:gridCol w:w="654"/>
        <w:gridCol w:w="654"/>
        <w:gridCol w:w="654"/>
        <w:gridCol w:w="654"/>
        <w:gridCol w:w="654"/>
        <w:gridCol w:w="654"/>
        <w:gridCol w:w="654"/>
      </w:tblGrid>
      <w:tr w:rsidR="00AD77BB">
        <w:trPr>
          <w:trHeight w:val="245"/>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70.6</w:t>
            </w:r>
          </w:p>
        </w:tc>
      </w:tr>
      <w:tr w:rsidR="00AD77BB">
        <w:trPr>
          <w:trHeight w:val="257"/>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68.6</w:t>
            </w:r>
          </w:p>
        </w:tc>
      </w:tr>
      <w:tr w:rsidR="00AD77BB">
        <w:trPr>
          <w:trHeight w:val="245"/>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69.9</w:t>
            </w:r>
          </w:p>
        </w:tc>
      </w:tr>
      <w:tr w:rsidR="00AD77BB">
        <w:trPr>
          <w:trHeight w:val="257"/>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69.1</w:t>
            </w:r>
          </w:p>
        </w:tc>
      </w:tr>
      <w:tr w:rsidR="00AD77BB">
        <w:trPr>
          <w:trHeight w:val="245"/>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70.4</w:t>
            </w:r>
          </w:p>
        </w:tc>
      </w:tr>
      <w:tr w:rsidR="00AD77BB">
        <w:trPr>
          <w:trHeight w:val="257"/>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71.8</w:t>
            </w:r>
          </w:p>
        </w:tc>
      </w:tr>
      <w:tr w:rsidR="00AD77BB">
        <w:trPr>
          <w:trHeight w:val="245"/>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72.0</w:t>
            </w:r>
          </w:p>
        </w:tc>
      </w:tr>
      <w:tr w:rsidR="00AD77BB">
        <w:trPr>
          <w:trHeight w:val="257"/>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70.2</w:t>
            </w:r>
          </w:p>
        </w:tc>
      </w:tr>
      <w:tr w:rsidR="00AD77BB">
        <w:trPr>
          <w:trHeight w:val="245"/>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71.8</w:t>
            </w:r>
          </w:p>
        </w:tc>
      </w:tr>
      <w:tr w:rsidR="00AD77BB">
        <w:trPr>
          <w:trHeight w:val="257"/>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72.8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69.7</w:t>
            </w:r>
          </w:p>
        </w:tc>
      </w:tr>
    </w:tbl>
    <w:p w:rsidR="00AD77BB" w:rsidRDefault="00B45BA0">
      <w:pPr>
        <w:shd w:val="clear" w:color="auto" w:fill="FFFFFF"/>
        <w:spacing w:after="0" w:line="439" w:lineRule="atLeast"/>
        <w:textAlignment w:val="baseline"/>
        <w:rPr>
          <w:rFonts w:ascii="Georgia" w:eastAsia="Times New Roman" w:hAnsi="Georgia" w:cs="Times New Roman"/>
          <w:i/>
          <w:iCs/>
          <w:color w:val="BB9966"/>
        </w:rPr>
      </w:pPr>
      <w:r>
        <w:rPr>
          <w:rFonts w:ascii="Georgia" w:eastAsia="Times New Roman" w:hAnsi="Georgia" w:cs="Times New Roman"/>
          <w:i/>
          <w:iCs/>
          <w:color w:val="000000"/>
          <w:sz w:val="20"/>
          <w:szCs w:val="20"/>
        </w:rPr>
        <w:lastRenderedPageBreak/>
        <w:t>Figure 2.15</w:t>
      </w:r>
      <w:r>
        <w:rPr>
          <w:rFonts w:ascii="Georgia" w:eastAsia="Times New Roman" w:hAnsi="Georgia" w:cs="Times New Roman"/>
          <w:i/>
          <w:iCs/>
          <w:color w:val="BB9966"/>
        </w:rPr>
        <w:t> Heights of Adult Men</w:t>
      </w:r>
    </w:p>
    <w:p w:rsidR="00AD77BB" w:rsidRDefault="00B45BA0">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14:anchorId="0BFECF1A" wp14:editId="495BD104">
            <wp:extent cx="4562475" cy="3457575"/>
            <wp:effectExtent l="0" t="0" r="9525" b="9525"/>
            <wp:docPr id="62" name="Picture 16" descr="http://images.flatworldknowledge.com/shafer/shafer-fig02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shafer/shafer-fig02_015.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62475" cy="3457575"/>
                    </a:xfrm>
                    <a:prstGeom prst="rect">
                      <a:avLst/>
                    </a:prstGeom>
                    <a:noFill/>
                    <a:ln>
                      <a:noFill/>
                    </a:ln>
                  </pic:spPr>
                </pic:pic>
              </a:graphicData>
            </a:graphic>
          </wp:inline>
        </w:drawing>
      </w:r>
    </w:p>
    <w:p w:rsidR="00AD77BB" w:rsidRDefault="00B45BA0">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The Empirical Rule</w:t>
      </w:r>
    </w:p>
    <w:p w:rsidR="00AD77BB" w:rsidRDefault="00AD77BB">
      <w:pPr>
        <w:pStyle w:val="Heading3"/>
        <w:shd w:val="clear" w:color="auto" w:fill="F4F4F4"/>
        <w:spacing w:before="0" w:beforeAutospacing="0" w:after="0" w:afterAutospacing="0" w:line="264" w:lineRule="atLeast"/>
        <w:textAlignment w:val="baseline"/>
        <w:rPr>
          <w:rFonts w:ascii="Calibri" w:hAnsi="Calibri"/>
          <w:color w:val="333333"/>
          <w:sz w:val="30"/>
          <w:szCs w:val="30"/>
        </w:rPr>
      </w:pP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If a data set has an approximately bell-shaped relative frequency histogram, then (see</w:t>
      </w:r>
      <w:r>
        <w:rPr>
          <w:rStyle w:val="apple-converted-space"/>
          <w:rFonts w:ascii="Georgia" w:hAnsi="Georgia"/>
          <w:color w:val="333333"/>
          <w:sz w:val="20"/>
          <w:szCs w:val="20"/>
        </w:rPr>
        <w:t> </w:t>
      </w:r>
      <w:r>
        <w:rPr>
          <w:rFonts w:ascii="Georgia" w:hAnsi="Georgia"/>
          <w:color w:val="2689C6"/>
          <w:sz w:val="20"/>
          <w:szCs w:val="20"/>
        </w:rPr>
        <w:t>Figure 2.16 "The Empirical Rule"</w:t>
      </w:r>
      <w:r>
        <w:rPr>
          <w:rFonts w:ascii="Georgia" w:hAnsi="Georgia"/>
          <w:color w:val="333333"/>
          <w:sz w:val="20"/>
          <w:szCs w:val="20"/>
        </w:rPr>
        <w:t>)</w:t>
      </w:r>
    </w:p>
    <w:p w:rsidR="00AD77BB" w:rsidRDefault="00B45BA0">
      <w:pPr>
        <w:numPr>
          <w:ilvl w:val="0"/>
          <w:numId w:val="35"/>
        </w:numPr>
        <w:shd w:val="clear" w:color="auto" w:fill="F4F4F4"/>
        <w:spacing w:after="0" w:line="360" w:lineRule="auto"/>
        <w:ind w:left="360"/>
        <w:textAlignment w:val="baseline"/>
        <w:rPr>
          <w:rFonts w:ascii="Georgia" w:hAnsi="Georgia"/>
          <w:color w:val="333333"/>
          <w:sz w:val="20"/>
          <w:szCs w:val="20"/>
        </w:rPr>
      </w:pPr>
      <w:r>
        <w:rPr>
          <w:rFonts w:ascii="Georgia" w:hAnsi="Georgia"/>
          <w:color w:val="333333"/>
          <w:sz w:val="20"/>
          <w:szCs w:val="20"/>
        </w:rPr>
        <w:t>approximately 68% of the data lie within one standard deviation of the mean, that is, in the interval with endpoints</w:t>
      </w:r>
      <w:r>
        <w:rPr>
          <w:rStyle w:val="apple-converted-space"/>
          <w:rFonts w:ascii="Georgia" w:hAnsi="Georgia"/>
          <w:color w:val="333333"/>
          <w:sz w:val="20"/>
          <w:szCs w:val="20"/>
        </w:rPr>
        <w:t> </w:t>
      </w:r>
      <w:r>
        <w:rPr>
          <w:rStyle w:val="mi"/>
          <w:rFonts w:ascii="MathJax_Math" w:hAnsi="MathJax_Math"/>
          <w:i/>
          <w:iCs/>
          <w:color w:val="333333"/>
          <w:sz w:val="18"/>
          <w:szCs w:val="18"/>
        </w:rPr>
        <w:t>x</w:t>
      </w:r>
      <w:r>
        <w:rPr>
          <w:rStyle w:val="mi"/>
          <w:rFonts w:ascii="Times New Roman" w:hAnsi="Times New Roman" w:cs="Times New Roman"/>
          <w:i/>
          <w:iCs/>
          <w:color w:val="333333"/>
          <w:sz w:val="18"/>
          <w:szCs w:val="18"/>
        </w:rPr>
        <w:t>^</w:t>
      </w:r>
      <w:r>
        <w:rPr>
          <w:rStyle w:val="mo"/>
          <w:rFonts w:ascii="MathJax_Main" w:hAnsi="MathJax_Main"/>
          <w:color w:val="333333"/>
          <w:sz w:val="18"/>
          <w:szCs w:val="18"/>
        </w:rPr>
        <w:t>−±</w:t>
      </w:r>
      <w:r>
        <w:rPr>
          <w:rStyle w:val="mi"/>
          <w:rFonts w:ascii="MathJax_Math" w:hAnsi="MathJax_Math"/>
          <w:i/>
          <w:iCs/>
          <w:color w:val="333333"/>
          <w:sz w:val="18"/>
          <w:szCs w:val="18"/>
        </w:rPr>
        <w:t>s</w:t>
      </w:r>
      <w:r>
        <w:rPr>
          <w:rStyle w:val="apple-converted-space"/>
          <w:rFonts w:ascii="Georgia" w:hAnsi="Georgia"/>
          <w:color w:val="333333"/>
          <w:sz w:val="20"/>
          <w:szCs w:val="20"/>
        </w:rPr>
        <w:t> </w:t>
      </w:r>
      <w:r>
        <w:rPr>
          <w:rFonts w:ascii="Georgia" w:hAnsi="Georgia"/>
          <w:color w:val="333333"/>
          <w:sz w:val="20"/>
          <w:szCs w:val="20"/>
        </w:rPr>
        <w:t>for samples and with endpoints</w:t>
      </w:r>
      <w:r>
        <w:rPr>
          <w:rStyle w:val="apple-converted-space"/>
          <w:rFonts w:ascii="Georgia" w:hAnsi="Georgia"/>
          <w:color w:val="333333"/>
          <w:sz w:val="20"/>
          <w:szCs w:val="20"/>
        </w:rPr>
        <w:t> </w:t>
      </w:r>
      <w:r>
        <w:rPr>
          <w:rStyle w:val="mi"/>
          <w:rFonts w:ascii="MathJax_Math" w:hAnsi="MathJax_Math"/>
          <w:i/>
          <w:iCs/>
          <w:color w:val="333333"/>
          <w:sz w:val="18"/>
          <w:szCs w:val="18"/>
        </w:rPr>
        <w:t>μ</w:t>
      </w:r>
      <w:r>
        <w:rPr>
          <w:rStyle w:val="mo"/>
          <w:rFonts w:ascii="MathJax_Main" w:hAnsi="MathJax_Main"/>
          <w:color w:val="333333"/>
          <w:sz w:val="18"/>
          <w:szCs w:val="18"/>
        </w:rPr>
        <w:t>±</w:t>
      </w:r>
      <w:r>
        <w:rPr>
          <w:rStyle w:val="mi"/>
          <w:rFonts w:ascii="MathJax_Math" w:hAnsi="MathJax_Math"/>
          <w:i/>
          <w:iCs/>
          <w:color w:val="333333"/>
          <w:sz w:val="18"/>
          <w:szCs w:val="18"/>
        </w:rPr>
        <w:t>σ</w:t>
      </w:r>
      <w:r>
        <w:rPr>
          <w:rStyle w:val="apple-converted-space"/>
          <w:rFonts w:ascii="Georgia" w:hAnsi="Georgia"/>
          <w:color w:val="333333"/>
          <w:sz w:val="20"/>
          <w:szCs w:val="20"/>
        </w:rPr>
        <w:t> </w:t>
      </w:r>
      <w:r>
        <w:rPr>
          <w:rFonts w:ascii="Georgia" w:hAnsi="Georgia"/>
          <w:color w:val="333333"/>
          <w:sz w:val="20"/>
          <w:szCs w:val="20"/>
        </w:rPr>
        <w:t>for populations;</w:t>
      </w:r>
    </w:p>
    <w:p w:rsidR="00AD77BB" w:rsidRDefault="00B45BA0">
      <w:pPr>
        <w:numPr>
          <w:ilvl w:val="0"/>
          <w:numId w:val="35"/>
        </w:numPr>
        <w:shd w:val="clear" w:color="auto" w:fill="F4F4F4"/>
        <w:spacing w:after="0" w:line="360" w:lineRule="auto"/>
        <w:ind w:left="360"/>
        <w:textAlignment w:val="baseline"/>
        <w:rPr>
          <w:rFonts w:ascii="Georgia" w:hAnsi="Georgia"/>
          <w:color w:val="333333"/>
          <w:sz w:val="20"/>
          <w:szCs w:val="20"/>
        </w:rPr>
      </w:pPr>
      <w:r>
        <w:rPr>
          <w:rFonts w:ascii="Georgia" w:hAnsi="Georgia"/>
          <w:color w:val="333333"/>
          <w:sz w:val="20"/>
          <w:szCs w:val="20"/>
        </w:rPr>
        <w:t>approximately 95% of the data lie within two standard deviations of the mean, that is, in the interval with endpoints</w:t>
      </w:r>
      <w:r>
        <w:rPr>
          <w:rStyle w:val="apple-converted-space"/>
          <w:rFonts w:ascii="Georgia" w:hAnsi="Georgia"/>
          <w:color w:val="333333"/>
          <w:sz w:val="20"/>
          <w:szCs w:val="20"/>
        </w:rPr>
        <w:t> </w:t>
      </w:r>
      <w:r>
        <w:rPr>
          <w:rStyle w:val="mi"/>
          <w:rFonts w:ascii="MathJax_Math" w:hAnsi="MathJax_Math"/>
          <w:i/>
          <w:iCs/>
          <w:color w:val="333333"/>
          <w:sz w:val="18"/>
          <w:szCs w:val="18"/>
        </w:rPr>
        <w:t>x</w:t>
      </w:r>
      <w:r>
        <w:rPr>
          <w:rStyle w:val="mi"/>
          <w:rFonts w:ascii="Times New Roman" w:hAnsi="Times New Roman" w:cs="Times New Roman"/>
          <w:i/>
          <w:iCs/>
          <w:color w:val="333333"/>
          <w:sz w:val="18"/>
          <w:szCs w:val="18"/>
        </w:rPr>
        <w:t>^</w:t>
      </w:r>
      <w:r>
        <w:rPr>
          <w:rStyle w:val="mo"/>
          <w:rFonts w:ascii="MathJax_Main" w:hAnsi="MathJax_Main"/>
          <w:color w:val="333333"/>
          <w:sz w:val="18"/>
          <w:szCs w:val="18"/>
        </w:rPr>
        <w:t>−±</w:t>
      </w:r>
      <w:r>
        <w:rPr>
          <w:rStyle w:val="mn"/>
          <w:rFonts w:ascii="MathJax_Main" w:hAnsi="MathJax_Main"/>
          <w:color w:val="333333"/>
          <w:sz w:val="18"/>
          <w:szCs w:val="18"/>
        </w:rPr>
        <w:t>2</w:t>
      </w:r>
      <w:r>
        <w:rPr>
          <w:rStyle w:val="mi"/>
          <w:rFonts w:ascii="MathJax_Math" w:hAnsi="MathJax_Math"/>
          <w:i/>
          <w:iCs/>
          <w:color w:val="333333"/>
          <w:sz w:val="18"/>
          <w:szCs w:val="18"/>
        </w:rPr>
        <w:t>s</w:t>
      </w:r>
      <w:r>
        <w:rPr>
          <w:rStyle w:val="apple-converted-space"/>
          <w:rFonts w:ascii="Georgia" w:hAnsi="Georgia"/>
          <w:color w:val="333333"/>
          <w:sz w:val="20"/>
          <w:szCs w:val="20"/>
        </w:rPr>
        <w:t> </w:t>
      </w:r>
      <w:r>
        <w:rPr>
          <w:rFonts w:ascii="Georgia" w:hAnsi="Georgia"/>
          <w:color w:val="333333"/>
          <w:sz w:val="20"/>
          <w:szCs w:val="20"/>
        </w:rPr>
        <w:t>for samples and with endpoints</w:t>
      </w:r>
      <w:r>
        <w:rPr>
          <w:rStyle w:val="apple-converted-space"/>
          <w:rFonts w:ascii="Georgia" w:hAnsi="Georgia"/>
          <w:color w:val="333333"/>
          <w:sz w:val="20"/>
          <w:szCs w:val="20"/>
        </w:rPr>
        <w:t> </w:t>
      </w:r>
      <w:r>
        <w:rPr>
          <w:rStyle w:val="mi"/>
          <w:rFonts w:ascii="MathJax_Math" w:hAnsi="MathJax_Math"/>
          <w:i/>
          <w:iCs/>
          <w:color w:val="333333"/>
          <w:sz w:val="18"/>
          <w:szCs w:val="18"/>
        </w:rPr>
        <w:t>μ</w:t>
      </w:r>
      <w:r>
        <w:rPr>
          <w:rStyle w:val="mo"/>
          <w:rFonts w:ascii="MathJax_Main" w:hAnsi="MathJax_Main"/>
          <w:color w:val="333333"/>
          <w:sz w:val="18"/>
          <w:szCs w:val="18"/>
        </w:rPr>
        <w:t>±</w:t>
      </w:r>
      <w:r>
        <w:rPr>
          <w:rStyle w:val="mn"/>
          <w:rFonts w:ascii="MathJax_Main" w:hAnsi="MathJax_Main"/>
          <w:color w:val="333333"/>
          <w:sz w:val="18"/>
          <w:szCs w:val="18"/>
        </w:rPr>
        <w:t>2</w:t>
      </w:r>
      <w:r>
        <w:rPr>
          <w:rStyle w:val="mi"/>
          <w:rFonts w:ascii="MathJax_Math" w:hAnsi="MathJax_Math"/>
          <w:i/>
          <w:iCs/>
          <w:color w:val="333333"/>
          <w:sz w:val="18"/>
          <w:szCs w:val="18"/>
        </w:rPr>
        <w:t>σ</w:t>
      </w:r>
      <w:r>
        <w:rPr>
          <w:rStyle w:val="apple-converted-space"/>
          <w:rFonts w:ascii="Georgia" w:hAnsi="Georgia"/>
          <w:color w:val="333333"/>
          <w:sz w:val="20"/>
          <w:szCs w:val="20"/>
        </w:rPr>
        <w:t> </w:t>
      </w:r>
      <w:r>
        <w:rPr>
          <w:rFonts w:ascii="Georgia" w:hAnsi="Georgia"/>
          <w:color w:val="333333"/>
          <w:sz w:val="20"/>
          <w:szCs w:val="20"/>
        </w:rPr>
        <w:t>for populations; and</w:t>
      </w:r>
    </w:p>
    <w:p w:rsidR="00AD77BB" w:rsidRDefault="00B45BA0">
      <w:pPr>
        <w:numPr>
          <w:ilvl w:val="0"/>
          <w:numId w:val="35"/>
        </w:numPr>
        <w:shd w:val="clear" w:color="auto" w:fill="F4F4F4"/>
        <w:spacing w:after="0" w:line="360" w:lineRule="auto"/>
        <w:ind w:left="360"/>
        <w:textAlignment w:val="baseline"/>
        <w:rPr>
          <w:rFonts w:ascii="Georgia" w:hAnsi="Georgia"/>
          <w:color w:val="333333"/>
          <w:sz w:val="20"/>
          <w:szCs w:val="20"/>
        </w:rPr>
      </w:pPr>
      <w:r>
        <w:rPr>
          <w:rFonts w:ascii="Georgia" w:hAnsi="Georgia"/>
          <w:color w:val="333333"/>
          <w:sz w:val="20"/>
          <w:szCs w:val="20"/>
        </w:rPr>
        <w:t>approximately 99.7% of the data lies within three standard deviations of the mean, that is, in the interval with endpoints</w:t>
      </w:r>
      <w:r>
        <w:rPr>
          <w:rStyle w:val="apple-converted-space"/>
          <w:rFonts w:ascii="Georgia" w:hAnsi="Georgia"/>
          <w:color w:val="333333"/>
          <w:sz w:val="20"/>
          <w:szCs w:val="20"/>
        </w:rPr>
        <w:t> </w:t>
      </w:r>
      <w:r>
        <w:rPr>
          <w:rStyle w:val="mi"/>
          <w:rFonts w:ascii="MathJax_Math" w:hAnsi="MathJax_Math"/>
          <w:i/>
          <w:iCs/>
          <w:color w:val="333333"/>
          <w:sz w:val="18"/>
          <w:szCs w:val="18"/>
        </w:rPr>
        <w:t>x</w:t>
      </w:r>
      <w:r>
        <w:rPr>
          <w:rStyle w:val="mi"/>
          <w:rFonts w:ascii="Times New Roman" w:hAnsi="Times New Roman" w:cs="Times New Roman"/>
          <w:i/>
          <w:iCs/>
          <w:color w:val="333333"/>
          <w:sz w:val="18"/>
          <w:szCs w:val="18"/>
        </w:rPr>
        <w:t>^</w:t>
      </w:r>
      <w:r>
        <w:rPr>
          <w:rStyle w:val="mo"/>
          <w:rFonts w:ascii="MathJax_Main" w:hAnsi="MathJax_Main"/>
          <w:color w:val="333333"/>
          <w:sz w:val="18"/>
          <w:szCs w:val="18"/>
        </w:rPr>
        <w:t>−±</w:t>
      </w:r>
      <w:r>
        <w:rPr>
          <w:rStyle w:val="mn"/>
          <w:rFonts w:ascii="MathJax_Main" w:hAnsi="MathJax_Main"/>
          <w:color w:val="333333"/>
          <w:sz w:val="18"/>
          <w:szCs w:val="18"/>
        </w:rPr>
        <w:t>3</w:t>
      </w:r>
      <w:r>
        <w:rPr>
          <w:rStyle w:val="mi"/>
          <w:rFonts w:ascii="MathJax_Math" w:hAnsi="MathJax_Math"/>
          <w:i/>
          <w:iCs/>
          <w:color w:val="333333"/>
          <w:sz w:val="18"/>
          <w:szCs w:val="18"/>
        </w:rPr>
        <w:t>s</w:t>
      </w:r>
      <w:r>
        <w:rPr>
          <w:rStyle w:val="apple-converted-space"/>
          <w:rFonts w:ascii="Georgia" w:hAnsi="Georgia"/>
          <w:color w:val="333333"/>
          <w:sz w:val="20"/>
          <w:szCs w:val="20"/>
        </w:rPr>
        <w:t> </w:t>
      </w:r>
      <w:r>
        <w:rPr>
          <w:rFonts w:ascii="Georgia" w:hAnsi="Georgia"/>
          <w:color w:val="333333"/>
          <w:sz w:val="20"/>
          <w:szCs w:val="20"/>
        </w:rPr>
        <w:t>for samples and with endpoints</w:t>
      </w:r>
      <w:r>
        <w:rPr>
          <w:rStyle w:val="apple-converted-space"/>
          <w:rFonts w:ascii="Georgia" w:hAnsi="Georgia"/>
          <w:color w:val="333333"/>
          <w:sz w:val="20"/>
          <w:szCs w:val="20"/>
        </w:rPr>
        <w:t> </w:t>
      </w:r>
      <w:r>
        <w:rPr>
          <w:rStyle w:val="mi"/>
          <w:rFonts w:ascii="MathJax_Math" w:hAnsi="MathJax_Math"/>
          <w:i/>
          <w:iCs/>
          <w:color w:val="333333"/>
          <w:sz w:val="18"/>
          <w:szCs w:val="18"/>
        </w:rPr>
        <w:t>μ</w:t>
      </w:r>
      <w:r>
        <w:rPr>
          <w:rStyle w:val="mo"/>
          <w:rFonts w:ascii="MathJax_Main" w:hAnsi="MathJax_Main"/>
          <w:color w:val="333333"/>
          <w:sz w:val="18"/>
          <w:szCs w:val="18"/>
        </w:rPr>
        <w:t>±</w:t>
      </w:r>
      <w:r>
        <w:rPr>
          <w:rStyle w:val="mn"/>
          <w:rFonts w:ascii="MathJax_Main" w:hAnsi="MathJax_Main"/>
          <w:color w:val="333333"/>
          <w:sz w:val="18"/>
          <w:szCs w:val="18"/>
        </w:rPr>
        <w:t>3</w:t>
      </w:r>
      <w:r>
        <w:rPr>
          <w:rStyle w:val="mi"/>
          <w:rFonts w:ascii="MathJax_Math" w:hAnsi="MathJax_Math"/>
          <w:i/>
          <w:iCs/>
          <w:color w:val="333333"/>
          <w:sz w:val="18"/>
          <w:szCs w:val="18"/>
        </w:rPr>
        <w:t>σ</w:t>
      </w:r>
      <w:r>
        <w:rPr>
          <w:rStyle w:val="apple-converted-space"/>
          <w:rFonts w:ascii="Georgia" w:hAnsi="Georgia"/>
          <w:color w:val="333333"/>
          <w:sz w:val="20"/>
          <w:szCs w:val="20"/>
        </w:rPr>
        <w:t> </w:t>
      </w:r>
      <w:r>
        <w:rPr>
          <w:rFonts w:ascii="Georgia" w:hAnsi="Georgia"/>
          <w:color w:val="333333"/>
          <w:sz w:val="20"/>
          <w:szCs w:val="20"/>
        </w:rPr>
        <w:t>for populations.</w:t>
      </w:r>
    </w:p>
    <w:p w:rsidR="00AD77BB" w:rsidRDefault="00AD77BB">
      <w:pPr>
        <w:pStyle w:val="Title3"/>
        <w:shd w:val="clear" w:color="auto" w:fill="FFFFFF"/>
        <w:spacing w:before="0" w:beforeAutospacing="0" w:after="0" w:afterAutospacing="0" w:line="439" w:lineRule="atLeast"/>
        <w:textAlignment w:val="baseline"/>
        <w:rPr>
          <w:rStyle w:val="title-prefix"/>
          <w:i/>
          <w:iCs/>
          <w:color w:val="000000"/>
        </w:rPr>
      </w:pPr>
    </w:p>
    <w:p w:rsidR="00AD77BB" w:rsidRDefault="00AD77BB">
      <w:pPr>
        <w:pStyle w:val="Title3"/>
        <w:shd w:val="clear" w:color="auto" w:fill="FFFFFF"/>
        <w:spacing w:before="0" w:beforeAutospacing="0" w:after="0" w:afterAutospacing="0" w:line="439" w:lineRule="atLeast"/>
        <w:textAlignment w:val="baseline"/>
        <w:rPr>
          <w:rStyle w:val="title-prefix"/>
          <w:rFonts w:ascii="Georgia" w:hAnsi="Georgia"/>
          <w:i/>
          <w:iCs/>
          <w:color w:val="000000"/>
          <w:sz w:val="20"/>
          <w:szCs w:val="20"/>
        </w:rPr>
      </w:pPr>
    </w:p>
    <w:p w:rsidR="00AD77BB" w:rsidRDefault="00AD77BB">
      <w:pPr>
        <w:pStyle w:val="Title3"/>
        <w:shd w:val="clear" w:color="auto" w:fill="FFFFFF"/>
        <w:spacing w:before="0" w:beforeAutospacing="0" w:after="0" w:afterAutospacing="0" w:line="439" w:lineRule="atLeast"/>
        <w:textAlignment w:val="baseline"/>
        <w:rPr>
          <w:rStyle w:val="title-prefix"/>
          <w:rFonts w:ascii="Georgia" w:hAnsi="Georgia"/>
          <w:i/>
          <w:iCs/>
          <w:color w:val="000000"/>
          <w:sz w:val="20"/>
          <w:szCs w:val="20"/>
        </w:rPr>
      </w:pPr>
    </w:p>
    <w:p w:rsidR="00AD77BB" w:rsidRDefault="00AD77BB">
      <w:pPr>
        <w:pStyle w:val="Title3"/>
        <w:shd w:val="clear" w:color="auto" w:fill="FFFFFF"/>
        <w:spacing w:before="0" w:beforeAutospacing="0" w:after="0" w:afterAutospacing="0" w:line="439" w:lineRule="atLeast"/>
        <w:textAlignment w:val="baseline"/>
        <w:rPr>
          <w:rStyle w:val="title-prefix"/>
          <w:rFonts w:ascii="Georgia" w:hAnsi="Georgia"/>
          <w:i/>
          <w:iCs/>
          <w:color w:val="000000"/>
          <w:sz w:val="20"/>
          <w:szCs w:val="20"/>
        </w:rPr>
      </w:pPr>
    </w:p>
    <w:p w:rsidR="00AD77BB" w:rsidRDefault="00AD77BB">
      <w:pPr>
        <w:pStyle w:val="Title3"/>
        <w:shd w:val="clear" w:color="auto" w:fill="FFFFFF"/>
        <w:spacing w:before="0" w:beforeAutospacing="0" w:after="0" w:afterAutospacing="0" w:line="439" w:lineRule="atLeast"/>
        <w:textAlignment w:val="baseline"/>
        <w:rPr>
          <w:rStyle w:val="title-prefix"/>
          <w:rFonts w:ascii="Georgia" w:hAnsi="Georgia"/>
          <w:i/>
          <w:iCs/>
          <w:color w:val="000000"/>
          <w:sz w:val="20"/>
          <w:szCs w:val="20"/>
        </w:rPr>
      </w:pPr>
    </w:p>
    <w:p w:rsidR="00AD77BB" w:rsidRDefault="00AD77BB">
      <w:pPr>
        <w:pStyle w:val="Title3"/>
        <w:shd w:val="clear" w:color="auto" w:fill="FFFFFF"/>
        <w:spacing w:before="0" w:beforeAutospacing="0" w:after="0" w:afterAutospacing="0" w:line="439" w:lineRule="atLeast"/>
        <w:textAlignment w:val="baseline"/>
        <w:rPr>
          <w:rStyle w:val="title-prefix"/>
          <w:rFonts w:ascii="Georgia" w:hAnsi="Georgia"/>
          <w:i/>
          <w:iCs/>
          <w:color w:val="000000"/>
          <w:sz w:val="20"/>
          <w:szCs w:val="20"/>
        </w:rPr>
      </w:pPr>
    </w:p>
    <w:p w:rsidR="00AD77BB" w:rsidRDefault="00AD77BB">
      <w:pPr>
        <w:pStyle w:val="Title3"/>
        <w:shd w:val="clear" w:color="auto" w:fill="FFFFFF"/>
        <w:spacing w:before="0" w:beforeAutospacing="0" w:after="0" w:afterAutospacing="0" w:line="439" w:lineRule="atLeast"/>
        <w:textAlignment w:val="baseline"/>
        <w:rPr>
          <w:rStyle w:val="title-prefix"/>
          <w:rFonts w:ascii="Georgia" w:hAnsi="Georgia"/>
          <w:i/>
          <w:iCs/>
          <w:color w:val="000000"/>
          <w:sz w:val="20"/>
          <w:szCs w:val="20"/>
        </w:rPr>
      </w:pPr>
    </w:p>
    <w:p w:rsidR="00AD77BB" w:rsidRDefault="00B45BA0">
      <w:pPr>
        <w:pStyle w:val="Title3"/>
        <w:shd w:val="clear" w:color="auto" w:fill="FFFFFF"/>
        <w:spacing w:before="0" w:beforeAutospacing="0" w:after="0" w:afterAutospacing="0" w:line="439" w:lineRule="atLeast"/>
        <w:textAlignment w:val="baseline"/>
        <w:rPr>
          <w:color w:val="BB9966"/>
          <w:sz w:val="22"/>
          <w:szCs w:val="22"/>
        </w:rPr>
      </w:pPr>
      <w:r>
        <w:rPr>
          <w:rStyle w:val="title-prefix"/>
          <w:rFonts w:ascii="Georgia" w:hAnsi="Georgia"/>
          <w:i/>
          <w:iCs/>
          <w:color w:val="000000"/>
          <w:sz w:val="20"/>
          <w:szCs w:val="20"/>
        </w:rPr>
        <w:lastRenderedPageBreak/>
        <w:t>Figure 2.16</w:t>
      </w:r>
      <w:r>
        <w:rPr>
          <w:rStyle w:val="apple-converted-space"/>
          <w:rFonts w:ascii="Georgia" w:hAnsi="Georgia"/>
          <w:i/>
          <w:iCs/>
          <w:color w:val="BB9966"/>
          <w:sz w:val="22"/>
          <w:szCs w:val="22"/>
        </w:rPr>
        <w:t> </w:t>
      </w:r>
      <w:r>
        <w:rPr>
          <w:rFonts w:ascii="Georgia" w:hAnsi="Georgia"/>
          <w:i/>
          <w:iCs/>
          <w:color w:val="BB9966"/>
          <w:sz w:val="22"/>
          <w:szCs w:val="22"/>
        </w:rPr>
        <w:t>The Empirical Rule</w:t>
      </w:r>
    </w:p>
    <w:p w:rsidR="00AD77BB" w:rsidRDefault="00B45BA0">
      <w:pPr>
        <w:shd w:val="clear" w:color="auto" w:fill="FFFFFF"/>
        <w:spacing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14:anchorId="626E659C" wp14:editId="403D05BC">
            <wp:extent cx="4972050" cy="3762375"/>
            <wp:effectExtent l="0" t="0" r="0" b="9525"/>
            <wp:docPr id="63" name="Picture 17" descr="http://images.flatworldknowledge.com/shafer/shafer-fig02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shafer/shafer-fig02_016.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72050" cy="3762375"/>
                    </a:xfrm>
                    <a:prstGeom prst="rect">
                      <a:avLst/>
                    </a:prstGeom>
                    <a:noFill/>
                    <a:ln>
                      <a:noFill/>
                    </a:ln>
                  </pic:spPr>
                </pic:pic>
              </a:graphicData>
            </a:graphic>
          </wp:inline>
        </w:drawing>
      </w:r>
    </w:p>
    <w:p w:rsidR="00AD77BB" w:rsidRDefault="00AD77BB">
      <w:pPr>
        <w:shd w:val="clear" w:color="auto" w:fill="FFFFFF"/>
        <w:spacing w:line="270" w:lineRule="atLeast"/>
        <w:textAlignment w:val="baseline"/>
        <w:rPr>
          <w:rFonts w:ascii="Calibri" w:eastAsia="Times New Roman" w:hAnsi="Calibri" w:cs="Times New Roman"/>
          <w:color w:val="555555"/>
          <w:sz w:val="27"/>
          <w:szCs w:val="27"/>
        </w:rPr>
      </w:pPr>
    </w:p>
    <w:p w:rsidR="00AD77BB" w:rsidRDefault="00B45BA0">
      <w:pPr>
        <w:shd w:val="clear" w:color="auto" w:fill="FFFFFF"/>
        <w:spacing w:after="0" w:line="360" w:lineRule="auto"/>
        <w:textAlignment w:val="baseline"/>
        <w:rPr>
          <w:rFonts w:ascii="Georgia" w:eastAsia="Times New Roman" w:hAnsi="Georgia" w:cs="Times New Roman"/>
          <w:color w:val="333333"/>
          <w:sz w:val="20"/>
          <w:szCs w:val="20"/>
        </w:rPr>
      </w:pPr>
      <w:r>
        <w:rPr>
          <w:rFonts w:ascii="Georgia" w:hAnsi="Georgia"/>
          <w:color w:val="333333"/>
          <w:sz w:val="20"/>
          <w:szCs w:val="20"/>
          <w:shd w:val="clear" w:color="auto" w:fill="FFFFFF"/>
        </w:rPr>
        <w:t>Two key points in regard to the Empirical Rule are that the data distribution must be approximately</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bell-shaped</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 xml:space="preserve">and that the percentages are only </w:t>
      </w:r>
      <w:r>
        <w:rPr>
          <w:rStyle w:val="Emphasis"/>
          <w:rFonts w:ascii="Georgia" w:hAnsi="Georgia"/>
          <w:color w:val="333333"/>
          <w:sz w:val="20"/>
          <w:szCs w:val="20"/>
          <w:shd w:val="clear" w:color="auto" w:fill="FFFFFF"/>
        </w:rPr>
        <w:t>approximately</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true. The Empirical Rule does not apply to data sets with severely asymmetric distributions, and the actual percentage of observations in any of the intervals specified by the rule could be either greater or less than those given in the rule. We see this with the example of the heights of the men: the Empirical Rule suggested 68 observations between 68.22 and 71.62 inches but we counted 69.</w:t>
      </w:r>
    </w:p>
    <w:p w:rsidR="00AD77BB" w:rsidRDefault="00B45BA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011E500" wp14:editId="498AF376">
            <wp:extent cx="5800725" cy="6810375"/>
            <wp:effectExtent l="0" t="0" r="9525" b="9525"/>
            <wp:docPr id="6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00725" cy="6810375"/>
                    </a:xfrm>
                    <a:prstGeom prst="rect">
                      <a:avLst/>
                    </a:prstGeom>
                    <a:noFill/>
                    <a:ln>
                      <a:noFill/>
                    </a:ln>
                  </pic:spPr>
                </pic:pic>
              </a:graphicData>
            </a:graphic>
          </wp:inline>
        </w:drawing>
      </w:r>
    </w:p>
    <w:p w:rsidR="00AD77BB" w:rsidRDefault="00AD77BB">
      <w:pPr>
        <w:shd w:val="clear" w:color="auto" w:fill="E3EFF7"/>
        <w:spacing w:after="0" w:line="439" w:lineRule="atLeast"/>
        <w:ind w:left="300" w:right="375"/>
        <w:textAlignment w:val="baseline"/>
        <w:rPr>
          <w:rFonts w:ascii="Calibri" w:eastAsia="Times New Roman" w:hAnsi="Calibri" w:cs="Times New Roman"/>
          <w:i/>
          <w:iCs/>
          <w:color w:val="000000"/>
          <w:sz w:val="20"/>
          <w:szCs w:val="20"/>
        </w:rPr>
      </w:pPr>
    </w:p>
    <w:p w:rsidR="00AD77BB" w:rsidRDefault="00AD77BB">
      <w:pPr>
        <w:shd w:val="clear" w:color="auto" w:fill="E3EFF7"/>
        <w:spacing w:after="0" w:line="439" w:lineRule="atLeast"/>
        <w:ind w:left="300" w:right="375"/>
        <w:textAlignment w:val="baseline"/>
        <w:rPr>
          <w:rFonts w:ascii="Calibri" w:eastAsia="Times New Roman" w:hAnsi="Calibri" w:cs="Times New Roman"/>
          <w:i/>
          <w:iCs/>
          <w:color w:val="000000"/>
          <w:sz w:val="20"/>
          <w:szCs w:val="20"/>
        </w:rPr>
      </w:pPr>
    </w:p>
    <w:p w:rsidR="00AD77BB" w:rsidRDefault="00AD77BB">
      <w:pPr>
        <w:shd w:val="clear" w:color="auto" w:fill="E3EFF7"/>
        <w:spacing w:after="0" w:line="439" w:lineRule="atLeast"/>
        <w:ind w:left="300" w:right="375"/>
        <w:textAlignment w:val="baseline"/>
        <w:rPr>
          <w:rFonts w:ascii="Calibri" w:eastAsia="Times New Roman" w:hAnsi="Calibri" w:cs="Times New Roman"/>
          <w:i/>
          <w:iCs/>
          <w:color w:val="000000"/>
          <w:sz w:val="20"/>
          <w:szCs w:val="20"/>
        </w:rPr>
      </w:pPr>
    </w:p>
    <w:p w:rsidR="00AD77BB" w:rsidRDefault="00AD77BB">
      <w:pPr>
        <w:shd w:val="clear" w:color="auto" w:fill="E3EFF7"/>
        <w:spacing w:after="0" w:line="439" w:lineRule="atLeast"/>
        <w:ind w:left="300" w:right="375"/>
        <w:textAlignment w:val="baseline"/>
        <w:rPr>
          <w:rFonts w:ascii="Calibri" w:eastAsia="Times New Roman" w:hAnsi="Calibri" w:cs="Times New Roman"/>
          <w:i/>
          <w:iCs/>
          <w:color w:val="000000"/>
          <w:sz w:val="20"/>
          <w:szCs w:val="20"/>
        </w:rPr>
      </w:pPr>
    </w:p>
    <w:p w:rsidR="00AD77BB" w:rsidRDefault="00B45BA0">
      <w:pPr>
        <w:shd w:val="clear" w:color="auto" w:fill="E3EFF7"/>
        <w:spacing w:after="0" w:line="439" w:lineRule="atLeast"/>
        <w:ind w:left="300" w:right="375"/>
        <w:textAlignment w:val="baseline"/>
        <w:rPr>
          <w:rFonts w:ascii="Calibri" w:eastAsia="Times New Roman" w:hAnsi="Calibri" w:cs="Times New Roman"/>
          <w:i/>
          <w:iCs/>
          <w:color w:val="BB9966"/>
          <w:sz w:val="19"/>
          <w:szCs w:val="19"/>
        </w:rPr>
      </w:pPr>
      <w:r>
        <w:rPr>
          <w:rFonts w:ascii="Calibri" w:eastAsia="Times New Roman" w:hAnsi="Calibri" w:cs="Times New Roman"/>
          <w:i/>
          <w:iCs/>
          <w:color w:val="000000"/>
          <w:sz w:val="20"/>
          <w:szCs w:val="20"/>
        </w:rPr>
        <w:lastRenderedPageBreak/>
        <w:t>Figure 2.17</w:t>
      </w:r>
      <w:r>
        <w:rPr>
          <w:rFonts w:ascii="Calibri" w:eastAsia="Times New Roman" w:hAnsi="Calibri" w:cs="Times New Roman"/>
          <w:i/>
          <w:iCs/>
          <w:color w:val="BB9966"/>
          <w:sz w:val="19"/>
          <w:szCs w:val="19"/>
        </w:rPr>
        <w:t>Distribution of Heights</w:t>
      </w:r>
    </w:p>
    <w:p w:rsidR="00AD77BB" w:rsidRDefault="00B45BA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sz w:val="26"/>
          <w:szCs w:val="26"/>
          <w:shd w:val="clear" w:color="auto" w:fill="E3EFF7"/>
        </w:rPr>
        <w:drawing>
          <wp:inline distT="0" distB="0" distL="0" distR="0" wp14:anchorId="72AAD420" wp14:editId="1E98CA6F">
            <wp:extent cx="5667375" cy="4295775"/>
            <wp:effectExtent l="0" t="0" r="9525" b="9525"/>
            <wp:docPr id="65" name="Picture 27" descr="http://images.flatworldknowledge.com/shafer/shafer-fig02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shafer/shafer-fig02_017.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67375" cy="4295775"/>
                    </a:xfrm>
                    <a:prstGeom prst="rect">
                      <a:avLst/>
                    </a:prstGeom>
                    <a:noFill/>
                    <a:ln>
                      <a:noFill/>
                    </a:ln>
                  </pic:spPr>
                </pic:pic>
              </a:graphicData>
            </a:graphic>
          </wp:inline>
        </w:drawing>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20</w:t>
      </w:r>
    </w:p>
    <w:p w:rsidR="00AD77BB" w:rsidRDefault="00B45BA0">
      <w:pPr>
        <w:pStyle w:val="para"/>
        <w:shd w:val="clear" w:color="auto" w:fill="E3EFF7"/>
        <w:spacing w:before="0" w:beforeAutospacing="0" w:after="0" w:afterAutospacing="0" w:line="360" w:lineRule="auto"/>
        <w:ind w:left="302" w:right="374"/>
        <w:textAlignment w:val="baseline"/>
        <w:rPr>
          <w:rFonts w:ascii="Calibri" w:hAnsi="Calibri"/>
          <w:color w:val="333333"/>
          <w:sz w:val="20"/>
          <w:szCs w:val="20"/>
        </w:rPr>
      </w:pPr>
      <w:r>
        <w:rPr>
          <w:rFonts w:ascii="Calibri" w:hAnsi="Calibri"/>
          <w:color w:val="333333"/>
          <w:sz w:val="20"/>
          <w:szCs w:val="20"/>
        </w:rPr>
        <w:t>Scores on IQ tests have a bell-shaped distribution with mean</w:t>
      </w:r>
      <w:r>
        <w:rPr>
          <w:rStyle w:val="apple-converted-space"/>
          <w:rFonts w:ascii="Calibri" w:hAnsi="Calibri"/>
          <w:color w:val="333333"/>
          <w:sz w:val="20"/>
          <w:szCs w:val="20"/>
        </w:rPr>
        <w:t> </w:t>
      </w:r>
      <w:r>
        <w:rPr>
          <w:rStyle w:val="Emphasis"/>
          <w:rFonts w:ascii="Calibri" w:hAnsi="Calibri"/>
          <w:color w:val="333333"/>
          <w:sz w:val="20"/>
          <w:szCs w:val="20"/>
        </w:rPr>
        <w:t>μ</w:t>
      </w:r>
      <w:r>
        <w:rPr>
          <w:rStyle w:val="apple-converted-space"/>
          <w:rFonts w:ascii="Calibri" w:hAnsi="Calibri"/>
          <w:color w:val="333333"/>
          <w:sz w:val="20"/>
          <w:szCs w:val="20"/>
        </w:rPr>
        <w:t> </w:t>
      </w:r>
      <w:r>
        <w:rPr>
          <w:rFonts w:ascii="Calibri" w:hAnsi="Calibri"/>
          <w:color w:val="333333"/>
          <w:sz w:val="20"/>
          <w:szCs w:val="20"/>
        </w:rPr>
        <w:t>= 100 and standard deviation</w:t>
      </w:r>
      <w:r>
        <w:rPr>
          <w:rStyle w:val="apple-converted-space"/>
          <w:rFonts w:ascii="Calibri" w:hAnsi="Calibri"/>
          <w:color w:val="333333"/>
          <w:sz w:val="20"/>
          <w:szCs w:val="20"/>
        </w:rPr>
        <w:t> </w:t>
      </w:r>
      <w:r>
        <w:rPr>
          <w:rStyle w:val="Emphasis"/>
          <w:rFonts w:ascii="Calibri" w:hAnsi="Calibri"/>
          <w:color w:val="333333"/>
          <w:sz w:val="20"/>
          <w:szCs w:val="20"/>
        </w:rPr>
        <w:t>σ</w:t>
      </w:r>
      <w:r>
        <w:rPr>
          <w:rStyle w:val="apple-converted-space"/>
          <w:rFonts w:ascii="Calibri" w:hAnsi="Calibri"/>
          <w:color w:val="333333"/>
          <w:sz w:val="20"/>
          <w:szCs w:val="20"/>
        </w:rPr>
        <w:t> </w:t>
      </w:r>
      <w:r>
        <w:rPr>
          <w:rFonts w:ascii="Calibri" w:hAnsi="Calibri"/>
          <w:color w:val="333333"/>
          <w:sz w:val="20"/>
          <w:szCs w:val="20"/>
        </w:rPr>
        <w:t>= 10. Discuss what the Empirical Rule implies concerning individuals with IQ scores of 110, 120, and 130.</w:t>
      </w:r>
    </w:p>
    <w:p w:rsidR="00AD77BB" w:rsidRDefault="00B45BA0">
      <w:pPr>
        <w:pStyle w:val="simpara"/>
        <w:shd w:val="clear" w:color="auto" w:fill="E3EFF7"/>
        <w:spacing w:before="150" w:beforeAutospacing="0" w:after="0" w:afterAutospacing="0" w:line="360" w:lineRule="auto"/>
        <w:ind w:left="302" w:right="374"/>
        <w:textAlignment w:val="baseline"/>
        <w:rPr>
          <w:rFonts w:ascii="Calibri" w:hAnsi="Calibri"/>
          <w:color w:val="333333"/>
          <w:sz w:val="20"/>
          <w:szCs w:val="20"/>
        </w:rPr>
      </w:pPr>
      <w:r>
        <w:rPr>
          <w:rFonts w:ascii="Calibri" w:hAnsi="Calibri"/>
          <w:color w:val="333333"/>
          <w:sz w:val="20"/>
          <w:szCs w:val="20"/>
        </w:rPr>
        <w:t>Solution:</w:t>
      </w:r>
    </w:p>
    <w:p w:rsidR="00AD77BB" w:rsidRDefault="00B45BA0">
      <w:pPr>
        <w:pStyle w:val="para"/>
        <w:shd w:val="clear" w:color="auto" w:fill="E3EFF7"/>
        <w:spacing w:before="0" w:beforeAutospacing="0" w:after="0" w:afterAutospacing="0" w:line="360" w:lineRule="auto"/>
        <w:ind w:left="302" w:right="374"/>
        <w:textAlignment w:val="baseline"/>
        <w:rPr>
          <w:rFonts w:ascii="Calibri" w:hAnsi="Calibri"/>
          <w:color w:val="333333"/>
          <w:sz w:val="20"/>
          <w:szCs w:val="20"/>
        </w:rPr>
      </w:pPr>
      <w:r>
        <w:rPr>
          <w:rFonts w:ascii="Calibri" w:hAnsi="Calibri"/>
          <w:color w:val="333333"/>
          <w:sz w:val="20"/>
          <w:szCs w:val="20"/>
        </w:rPr>
        <w:t>A sketch of the IQ distribution is given in</w:t>
      </w:r>
      <w:r>
        <w:rPr>
          <w:rStyle w:val="apple-converted-space"/>
          <w:rFonts w:ascii="Calibri" w:hAnsi="Calibri"/>
          <w:color w:val="333333"/>
          <w:sz w:val="20"/>
          <w:szCs w:val="20"/>
        </w:rPr>
        <w:t> </w:t>
      </w:r>
      <w:r>
        <w:rPr>
          <w:rFonts w:ascii="Calibri" w:hAnsi="Calibri"/>
          <w:color w:val="2689C6"/>
          <w:sz w:val="20"/>
          <w:szCs w:val="20"/>
        </w:rPr>
        <w:t>Figure 2.18 "Distribution of IQ Scores"</w:t>
      </w:r>
      <w:r>
        <w:rPr>
          <w:rFonts w:ascii="Calibri" w:hAnsi="Calibri"/>
          <w:color w:val="333333"/>
          <w:sz w:val="20"/>
          <w:szCs w:val="20"/>
        </w:rPr>
        <w:t>. The Empirical Rule states that</w:t>
      </w:r>
    </w:p>
    <w:p w:rsidR="00AD77BB" w:rsidRDefault="00B45BA0">
      <w:pPr>
        <w:numPr>
          <w:ilvl w:val="0"/>
          <w:numId w:val="36"/>
        </w:numPr>
        <w:shd w:val="clear" w:color="auto" w:fill="E3EFF7"/>
        <w:spacing w:after="0" w:line="360" w:lineRule="auto"/>
        <w:ind w:left="360" w:right="374"/>
        <w:textAlignment w:val="baseline"/>
        <w:rPr>
          <w:rFonts w:ascii="Calibri" w:hAnsi="Calibri"/>
          <w:color w:val="333333"/>
          <w:sz w:val="20"/>
          <w:szCs w:val="20"/>
        </w:rPr>
      </w:pPr>
      <w:r>
        <w:rPr>
          <w:rFonts w:ascii="Calibri" w:hAnsi="Calibri"/>
          <w:color w:val="333333"/>
          <w:sz w:val="20"/>
          <w:szCs w:val="20"/>
        </w:rPr>
        <w:t>approximately 68% of the IQ scores in the population lie between 90 and 110,</w:t>
      </w:r>
    </w:p>
    <w:p w:rsidR="00AD77BB" w:rsidRDefault="00B45BA0">
      <w:pPr>
        <w:numPr>
          <w:ilvl w:val="0"/>
          <w:numId w:val="36"/>
        </w:numPr>
        <w:shd w:val="clear" w:color="auto" w:fill="E3EFF7"/>
        <w:spacing w:after="0" w:line="360" w:lineRule="auto"/>
        <w:ind w:left="360" w:right="374"/>
        <w:textAlignment w:val="baseline"/>
        <w:rPr>
          <w:rFonts w:ascii="Calibri" w:hAnsi="Calibri"/>
          <w:color w:val="333333"/>
          <w:sz w:val="20"/>
          <w:szCs w:val="20"/>
        </w:rPr>
      </w:pPr>
      <w:r>
        <w:rPr>
          <w:rFonts w:ascii="Calibri" w:hAnsi="Calibri"/>
          <w:color w:val="333333"/>
          <w:sz w:val="20"/>
          <w:szCs w:val="20"/>
        </w:rPr>
        <w:t>approximately 95% of the IQ scores in the population lie between 80 and 120, and</w:t>
      </w:r>
    </w:p>
    <w:p w:rsidR="00AD77BB" w:rsidRDefault="00B45BA0">
      <w:pPr>
        <w:numPr>
          <w:ilvl w:val="0"/>
          <w:numId w:val="36"/>
        </w:numPr>
        <w:shd w:val="clear" w:color="auto" w:fill="E3EFF7"/>
        <w:spacing w:after="0" w:line="360" w:lineRule="auto"/>
        <w:ind w:left="360" w:right="374"/>
        <w:textAlignment w:val="baseline"/>
        <w:rPr>
          <w:rFonts w:ascii="Calibri" w:hAnsi="Calibri"/>
          <w:color w:val="333333"/>
          <w:sz w:val="20"/>
          <w:szCs w:val="20"/>
        </w:rPr>
      </w:pPr>
      <w:r>
        <w:rPr>
          <w:rFonts w:ascii="Calibri" w:hAnsi="Calibri"/>
          <w:color w:val="333333"/>
          <w:sz w:val="20"/>
          <w:szCs w:val="20"/>
        </w:rPr>
        <w:t>approximately 99.7% of the IQ scores in the population lie between 70 and 130.</w:t>
      </w:r>
    </w:p>
    <w:p w:rsidR="00AD77BB" w:rsidRDefault="00AD77BB">
      <w:pPr>
        <w:pStyle w:val="Title3"/>
        <w:shd w:val="clear" w:color="auto" w:fill="E3EFF7"/>
        <w:spacing w:before="0" w:beforeAutospacing="0" w:after="0" w:afterAutospacing="0" w:line="439" w:lineRule="atLeast"/>
        <w:ind w:left="300" w:right="375"/>
        <w:textAlignment w:val="baseline"/>
        <w:rPr>
          <w:rStyle w:val="title-prefix"/>
          <w:i/>
          <w:iCs/>
          <w:color w:val="000000"/>
        </w:rPr>
      </w:pPr>
    </w:p>
    <w:p w:rsidR="00AD77BB" w:rsidRDefault="00AD77BB">
      <w:pPr>
        <w:pStyle w:val="Title3"/>
        <w:shd w:val="clear" w:color="auto" w:fill="E3EFF7"/>
        <w:spacing w:before="0" w:beforeAutospacing="0" w:after="0" w:afterAutospacing="0" w:line="439" w:lineRule="atLeast"/>
        <w:ind w:left="300" w:right="375"/>
        <w:textAlignment w:val="baseline"/>
        <w:rPr>
          <w:rStyle w:val="title-prefix"/>
          <w:rFonts w:ascii="Calibri" w:hAnsi="Calibri"/>
          <w:i/>
          <w:iCs/>
          <w:color w:val="000000"/>
          <w:sz w:val="20"/>
          <w:szCs w:val="20"/>
        </w:rPr>
      </w:pPr>
    </w:p>
    <w:p w:rsidR="00AD77BB" w:rsidRDefault="00AD77BB">
      <w:pPr>
        <w:pStyle w:val="Title3"/>
        <w:shd w:val="clear" w:color="auto" w:fill="E3EFF7"/>
        <w:spacing w:before="0" w:beforeAutospacing="0" w:after="0" w:afterAutospacing="0" w:line="439" w:lineRule="atLeast"/>
        <w:ind w:left="300" w:right="375"/>
        <w:textAlignment w:val="baseline"/>
        <w:rPr>
          <w:rStyle w:val="title-prefix"/>
          <w:rFonts w:ascii="Calibri" w:hAnsi="Calibri"/>
          <w:i/>
          <w:iCs/>
          <w:color w:val="000000"/>
          <w:sz w:val="20"/>
          <w:szCs w:val="20"/>
        </w:rPr>
      </w:pPr>
    </w:p>
    <w:p w:rsidR="00AD77BB" w:rsidRDefault="00AD77BB">
      <w:pPr>
        <w:pStyle w:val="Title3"/>
        <w:shd w:val="clear" w:color="auto" w:fill="E3EFF7"/>
        <w:spacing w:before="0" w:beforeAutospacing="0" w:after="0" w:afterAutospacing="0" w:line="439" w:lineRule="atLeast"/>
        <w:ind w:left="300" w:right="375"/>
        <w:textAlignment w:val="baseline"/>
        <w:rPr>
          <w:rStyle w:val="title-prefix"/>
          <w:rFonts w:ascii="Calibri" w:hAnsi="Calibri"/>
          <w:i/>
          <w:iCs/>
          <w:color w:val="000000"/>
          <w:sz w:val="20"/>
          <w:szCs w:val="20"/>
        </w:rPr>
      </w:pPr>
    </w:p>
    <w:p w:rsidR="00AD77BB" w:rsidRDefault="00B45BA0">
      <w:pPr>
        <w:pStyle w:val="Title3"/>
        <w:shd w:val="clear" w:color="auto" w:fill="E3EFF7"/>
        <w:spacing w:before="0" w:beforeAutospacing="0" w:after="0" w:afterAutospacing="0" w:line="439" w:lineRule="atLeast"/>
        <w:ind w:left="300" w:right="375"/>
        <w:textAlignment w:val="baseline"/>
        <w:rPr>
          <w:color w:val="BB9966"/>
          <w:sz w:val="21"/>
          <w:szCs w:val="21"/>
        </w:rPr>
      </w:pPr>
      <w:r>
        <w:rPr>
          <w:rStyle w:val="title-prefix"/>
          <w:rFonts w:ascii="Calibri" w:hAnsi="Calibri"/>
          <w:i/>
          <w:iCs/>
          <w:color w:val="000000"/>
          <w:sz w:val="20"/>
          <w:szCs w:val="20"/>
        </w:rPr>
        <w:lastRenderedPageBreak/>
        <w:t>Figure 2.18</w:t>
      </w:r>
      <w:r>
        <w:rPr>
          <w:rFonts w:ascii="Calibri" w:hAnsi="Calibri"/>
          <w:i/>
          <w:iCs/>
          <w:color w:val="BB9966"/>
          <w:sz w:val="21"/>
          <w:szCs w:val="21"/>
        </w:rPr>
        <w:t>Distribution of IQ Scores</w:t>
      </w:r>
    </w:p>
    <w:p w:rsidR="00AD77BB" w:rsidRDefault="00B45BA0">
      <w:pPr>
        <w:shd w:val="clear" w:color="auto" w:fill="E3EFF7"/>
        <w:spacing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669AD312" wp14:editId="5CA05612">
            <wp:extent cx="5553075" cy="2286000"/>
            <wp:effectExtent l="0" t="0" r="9525" b="0"/>
            <wp:docPr id="66" name="Picture 29" descr="http://images.flatworldknowledge.com/shafer/shafer-fig02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ages.flatworldknowledge.com/shafer/shafer-fig02_01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553075" cy="2286000"/>
                    </a:xfrm>
                    <a:prstGeom prst="rect">
                      <a:avLst/>
                    </a:prstGeom>
                    <a:noFill/>
                    <a:ln>
                      <a:noFill/>
                    </a:ln>
                  </pic:spPr>
                </pic:pic>
              </a:graphicData>
            </a:graphic>
          </wp:inline>
        </w:drawing>
      </w:r>
    </w:p>
    <w:p w:rsidR="00AD77BB" w:rsidRDefault="00B45BA0">
      <w:pPr>
        <w:pStyle w:val="para"/>
        <w:shd w:val="clear" w:color="auto" w:fill="E3EFF7"/>
        <w:spacing w:before="0" w:beforeAutospacing="0" w:after="0" w:afterAutospacing="0" w:line="360" w:lineRule="auto"/>
        <w:ind w:left="302" w:right="374"/>
        <w:textAlignment w:val="baseline"/>
        <w:rPr>
          <w:rFonts w:ascii="Calibri" w:hAnsi="Calibri"/>
          <w:color w:val="333333"/>
          <w:sz w:val="20"/>
          <w:szCs w:val="20"/>
        </w:rPr>
      </w:pPr>
      <w:r>
        <w:rPr>
          <w:rFonts w:ascii="Calibri" w:hAnsi="Calibri"/>
          <w:color w:val="333333"/>
          <w:sz w:val="20"/>
          <w:szCs w:val="20"/>
        </w:rPr>
        <w:t>Since 68% of the IQ scores lie</w:t>
      </w:r>
      <w:r>
        <w:rPr>
          <w:rStyle w:val="apple-converted-space"/>
          <w:rFonts w:ascii="Calibri" w:hAnsi="Calibri"/>
          <w:color w:val="333333"/>
          <w:sz w:val="20"/>
          <w:szCs w:val="20"/>
        </w:rPr>
        <w:t> </w:t>
      </w:r>
      <w:r>
        <w:rPr>
          <w:rStyle w:val="Emphasis"/>
          <w:rFonts w:ascii="Calibri" w:hAnsi="Calibri"/>
          <w:color w:val="333333"/>
          <w:sz w:val="20"/>
          <w:szCs w:val="20"/>
        </w:rPr>
        <w:t>within</w:t>
      </w:r>
      <w:r>
        <w:rPr>
          <w:rStyle w:val="apple-converted-space"/>
          <w:rFonts w:ascii="Calibri" w:hAnsi="Calibri"/>
          <w:color w:val="333333"/>
          <w:sz w:val="20"/>
          <w:szCs w:val="20"/>
        </w:rPr>
        <w:t> </w:t>
      </w:r>
      <w:r>
        <w:rPr>
          <w:rFonts w:ascii="Calibri" w:hAnsi="Calibri"/>
          <w:color w:val="333333"/>
          <w:sz w:val="20"/>
          <w:szCs w:val="20"/>
        </w:rPr>
        <w:t>the interval from 90 to 110, it must be the case that 32% lie</w:t>
      </w:r>
      <w:r>
        <w:rPr>
          <w:rStyle w:val="apple-converted-space"/>
          <w:rFonts w:ascii="Calibri" w:hAnsi="Calibri"/>
          <w:color w:val="333333"/>
          <w:sz w:val="20"/>
          <w:szCs w:val="20"/>
        </w:rPr>
        <w:t> </w:t>
      </w:r>
      <w:r>
        <w:rPr>
          <w:rStyle w:val="Emphasis"/>
          <w:rFonts w:ascii="Calibri" w:hAnsi="Calibri"/>
          <w:color w:val="333333"/>
          <w:sz w:val="20"/>
          <w:szCs w:val="20"/>
        </w:rPr>
        <w:t>outside</w:t>
      </w:r>
      <w:r>
        <w:rPr>
          <w:rStyle w:val="apple-converted-space"/>
          <w:rFonts w:ascii="Calibri" w:hAnsi="Calibri"/>
          <w:color w:val="333333"/>
          <w:sz w:val="20"/>
          <w:szCs w:val="20"/>
        </w:rPr>
        <w:t> </w:t>
      </w:r>
      <w:r>
        <w:rPr>
          <w:rFonts w:ascii="Calibri" w:hAnsi="Calibri"/>
          <w:color w:val="333333"/>
          <w:sz w:val="20"/>
          <w:szCs w:val="20"/>
        </w:rPr>
        <w:t>that interval. By symmetry approximately half of that 32%, or 16% of all IQ scores, will lie above 110. If 16% lie above 110, then 84% lie below. We conclude that the IQ score 110 is the 84th percentile.</w:t>
      </w:r>
    </w:p>
    <w:p w:rsidR="00AD77BB" w:rsidRDefault="00B45BA0">
      <w:pPr>
        <w:pStyle w:val="para"/>
        <w:shd w:val="clear" w:color="auto" w:fill="E3EFF7"/>
        <w:spacing w:before="150" w:beforeAutospacing="0" w:after="0" w:afterAutospacing="0" w:line="360" w:lineRule="auto"/>
        <w:ind w:left="302" w:right="374"/>
        <w:textAlignment w:val="baseline"/>
        <w:rPr>
          <w:rFonts w:ascii="Calibri" w:hAnsi="Calibri"/>
          <w:color w:val="333333"/>
          <w:sz w:val="20"/>
          <w:szCs w:val="20"/>
        </w:rPr>
      </w:pPr>
      <w:r>
        <w:rPr>
          <w:rFonts w:ascii="Calibri" w:hAnsi="Calibri"/>
          <w:color w:val="333333"/>
          <w:sz w:val="20"/>
          <w:szCs w:val="20"/>
        </w:rPr>
        <w:t>The same analysis applies to the score 120. Since approximately 95% of all IQ scores lie within the interval form 80 to 120, only 5% lie outside it, and half of them, or 2.5% of all scores, are above 120. The IQ score 120 is thus higher than 97.5% of all IQ scores, and is quite a high score.</w:t>
      </w:r>
    </w:p>
    <w:p w:rsidR="00AD77BB" w:rsidRDefault="00B45BA0">
      <w:pPr>
        <w:pStyle w:val="para"/>
        <w:shd w:val="clear" w:color="auto" w:fill="E3EFF7"/>
        <w:spacing w:before="150" w:beforeAutospacing="0" w:after="0" w:afterAutospacing="0" w:line="360" w:lineRule="auto"/>
        <w:ind w:left="302" w:right="374"/>
        <w:textAlignment w:val="baseline"/>
        <w:rPr>
          <w:rFonts w:ascii="Calibri" w:hAnsi="Calibri"/>
          <w:color w:val="333333"/>
          <w:sz w:val="20"/>
          <w:szCs w:val="20"/>
        </w:rPr>
      </w:pPr>
      <w:r>
        <w:rPr>
          <w:rFonts w:ascii="Calibri" w:hAnsi="Calibri"/>
          <w:color w:val="333333"/>
          <w:sz w:val="20"/>
          <w:szCs w:val="20"/>
        </w:rPr>
        <w:t>By a similar argument, only 15/100 of 1% of all adults, or about one or two in every thousand, would have an IQ score above 130. This fact makes the score 130 extremely high.</w:t>
      </w:r>
    </w:p>
    <w:p w:rsidR="00AD77BB" w:rsidRDefault="00AD77BB">
      <w:pPr>
        <w:pStyle w:val="Heading2"/>
        <w:shd w:val="clear" w:color="auto" w:fill="FFFFFF"/>
        <w:spacing w:before="0" w:line="439" w:lineRule="atLeast"/>
        <w:textAlignment w:val="baseline"/>
        <w:rPr>
          <w:rFonts w:ascii="Calibri" w:hAnsi="Calibri"/>
          <w:color w:val="333333"/>
          <w:sz w:val="28"/>
          <w:szCs w:val="28"/>
        </w:rPr>
      </w:pPr>
    </w:p>
    <w:p w:rsidR="00AD77BB" w:rsidRDefault="00B45BA0">
      <w:pPr>
        <w:pStyle w:val="Heading2"/>
        <w:shd w:val="clear" w:color="auto" w:fill="FFFFFF"/>
        <w:spacing w:before="0" w:line="439" w:lineRule="atLeast"/>
        <w:textAlignment w:val="baseline"/>
        <w:rPr>
          <w:rFonts w:ascii="Calibri" w:hAnsi="Calibri"/>
          <w:color w:val="333333"/>
          <w:sz w:val="28"/>
          <w:szCs w:val="28"/>
        </w:rPr>
      </w:pPr>
      <w:r>
        <w:rPr>
          <w:rFonts w:ascii="Calibri" w:hAnsi="Calibri"/>
          <w:color w:val="333333"/>
          <w:sz w:val="28"/>
          <w:szCs w:val="28"/>
        </w:rPr>
        <w:t>Chebyshev’s Theorem</w:t>
      </w:r>
    </w:p>
    <w:p w:rsidR="00AD77BB" w:rsidRDefault="00AD77BB">
      <w:pPr>
        <w:spacing w:line="360" w:lineRule="auto"/>
        <w:ind w:left="86"/>
        <w:textAlignment w:val="baseline"/>
        <w:rPr>
          <w:rFonts w:ascii="Georgia" w:hAnsi="Georgia"/>
          <w:color w:val="333333"/>
          <w:sz w:val="20"/>
          <w:szCs w:val="20"/>
          <w:shd w:val="clear" w:color="auto" w:fill="FFFFFF"/>
        </w:rPr>
      </w:pPr>
    </w:p>
    <w:p w:rsidR="00AD77BB" w:rsidRDefault="00B45BA0">
      <w:pPr>
        <w:spacing w:line="360" w:lineRule="auto"/>
        <w:ind w:left="86"/>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The Empirical Rule does not apply to all data sets, only to those that are bell-shaped, and even then is stated in terms of approximations. A result that applies to every data set is known as Chebyshev’s Theorem.</w:t>
      </w:r>
    </w:p>
    <w:p w:rsidR="00AD77BB" w:rsidRDefault="00B45BA0">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Chebyshev’s Theorem</w:t>
      </w:r>
    </w:p>
    <w:p w:rsidR="00AD77BB" w:rsidRDefault="00B45BA0">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For any numerical data set,</w:t>
      </w:r>
    </w:p>
    <w:p w:rsidR="00AD77BB" w:rsidRDefault="00B45BA0">
      <w:pPr>
        <w:numPr>
          <w:ilvl w:val="0"/>
          <w:numId w:val="37"/>
        </w:numPr>
        <w:shd w:val="clear" w:color="auto" w:fill="F4F4F4"/>
        <w:spacing w:after="0" w:line="439" w:lineRule="atLeast"/>
        <w:ind w:left="360"/>
        <w:textAlignment w:val="baseline"/>
        <w:rPr>
          <w:rFonts w:ascii="Georgia" w:hAnsi="Georgia"/>
          <w:color w:val="333333"/>
          <w:sz w:val="20"/>
          <w:szCs w:val="20"/>
        </w:rPr>
      </w:pPr>
      <w:r>
        <w:rPr>
          <w:rFonts w:ascii="Georgia" w:hAnsi="Georgia"/>
          <w:color w:val="333333"/>
          <w:sz w:val="20"/>
          <w:szCs w:val="20"/>
        </w:rPr>
        <w:t>at least 3/4 of the data lie within two standard deviations of the mean, that is, in the interval with endpoints</w:t>
      </w:r>
      <w:r>
        <w:rPr>
          <w:rStyle w:val="apple-converted-space"/>
          <w:rFonts w:ascii="Georgia" w:hAnsi="Georgia"/>
          <w:color w:val="333333"/>
          <w:sz w:val="20"/>
          <w:szCs w:val="20"/>
        </w:rPr>
        <w:t> </w:t>
      </w:r>
      <w:r>
        <w:rPr>
          <w:rStyle w:val="mi"/>
          <w:rFonts w:ascii="MathJax_Math" w:hAnsi="MathJax_Math"/>
          <w:i/>
          <w:iCs/>
          <w:color w:val="333333"/>
          <w:sz w:val="18"/>
          <w:szCs w:val="18"/>
        </w:rPr>
        <w:t>x</w:t>
      </w:r>
      <w:r>
        <w:rPr>
          <w:rStyle w:val="mi"/>
          <w:rFonts w:ascii="Times New Roman" w:hAnsi="Times New Roman" w:cs="Times New Roman"/>
          <w:i/>
          <w:iCs/>
          <w:color w:val="333333"/>
          <w:sz w:val="18"/>
          <w:szCs w:val="18"/>
        </w:rPr>
        <w:t>^</w:t>
      </w:r>
      <w:r>
        <w:rPr>
          <w:rStyle w:val="mo"/>
          <w:rFonts w:ascii="MathJax_Main" w:hAnsi="MathJax_Main"/>
          <w:color w:val="333333"/>
          <w:sz w:val="18"/>
          <w:szCs w:val="18"/>
        </w:rPr>
        <w:t>−±</w:t>
      </w:r>
      <w:r>
        <w:rPr>
          <w:rStyle w:val="mn"/>
          <w:rFonts w:ascii="MathJax_Main" w:hAnsi="MathJax_Main"/>
          <w:color w:val="333333"/>
          <w:sz w:val="18"/>
          <w:szCs w:val="18"/>
        </w:rPr>
        <w:t>2</w:t>
      </w:r>
      <w:r>
        <w:rPr>
          <w:rStyle w:val="mi"/>
          <w:rFonts w:ascii="MathJax_Math" w:hAnsi="MathJax_Math"/>
          <w:i/>
          <w:iCs/>
          <w:color w:val="333333"/>
          <w:sz w:val="18"/>
          <w:szCs w:val="18"/>
        </w:rPr>
        <w:t>s</w:t>
      </w:r>
      <w:r>
        <w:rPr>
          <w:rStyle w:val="apple-converted-space"/>
          <w:rFonts w:ascii="Georgia" w:hAnsi="Georgia"/>
          <w:color w:val="333333"/>
          <w:sz w:val="20"/>
          <w:szCs w:val="20"/>
        </w:rPr>
        <w:t> </w:t>
      </w:r>
      <w:r>
        <w:rPr>
          <w:rFonts w:ascii="Georgia" w:hAnsi="Georgia"/>
          <w:color w:val="333333"/>
          <w:sz w:val="20"/>
          <w:szCs w:val="20"/>
        </w:rPr>
        <w:t>for samples and with endpoints</w:t>
      </w:r>
      <w:r>
        <w:rPr>
          <w:rStyle w:val="apple-converted-space"/>
          <w:rFonts w:ascii="Georgia" w:hAnsi="Georgia"/>
          <w:color w:val="333333"/>
          <w:sz w:val="20"/>
          <w:szCs w:val="20"/>
        </w:rPr>
        <w:t> </w:t>
      </w:r>
      <w:r>
        <w:rPr>
          <w:rStyle w:val="mi"/>
          <w:rFonts w:ascii="MathJax_Math" w:hAnsi="MathJax_Math"/>
          <w:i/>
          <w:iCs/>
          <w:color w:val="333333"/>
          <w:sz w:val="18"/>
          <w:szCs w:val="18"/>
        </w:rPr>
        <w:t>μ</w:t>
      </w:r>
      <w:r>
        <w:rPr>
          <w:rStyle w:val="mo"/>
          <w:rFonts w:ascii="MathJax_Main" w:hAnsi="MathJax_Main"/>
          <w:color w:val="333333"/>
          <w:sz w:val="18"/>
          <w:szCs w:val="18"/>
        </w:rPr>
        <w:t>±</w:t>
      </w:r>
      <w:r>
        <w:rPr>
          <w:rStyle w:val="mn"/>
          <w:rFonts w:ascii="MathJax_Main" w:hAnsi="MathJax_Main"/>
          <w:color w:val="333333"/>
          <w:sz w:val="18"/>
          <w:szCs w:val="18"/>
        </w:rPr>
        <w:t>2</w:t>
      </w:r>
      <w:r>
        <w:rPr>
          <w:rStyle w:val="mi"/>
          <w:rFonts w:ascii="MathJax_Math" w:hAnsi="MathJax_Math"/>
          <w:i/>
          <w:iCs/>
          <w:color w:val="333333"/>
          <w:sz w:val="18"/>
          <w:szCs w:val="18"/>
        </w:rPr>
        <w:t>σ</w:t>
      </w:r>
      <w:r>
        <w:rPr>
          <w:rStyle w:val="apple-converted-space"/>
          <w:rFonts w:ascii="Georgia" w:hAnsi="Georgia"/>
          <w:color w:val="333333"/>
          <w:sz w:val="20"/>
          <w:szCs w:val="20"/>
        </w:rPr>
        <w:t> </w:t>
      </w:r>
      <w:r>
        <w:rPr>
          <w:rFonts w:ascii="Georgia" w:hAnsi="Georgia"/>
          <w:color w:val="333333"/>
          <w:sz w:val="20"/>
          <w:szCs w:val="20"/>
        </w:rPr>
        <w:t>for populations;</w:t>
      </w:r>
    </w:p>
    <w:p w:rsidR="00AD77BB" w:rsidRDefault="00B45BA0">
      <w:pPr>
        <w:numPr>
          <w:ilvl w:val="0"/>
          <w:numId w:val="37"/>
        </w:numPr>
        <w:shd w:val="clear" w:color="auto" w:fill="F4F4F4"/>
        <w:spacing w:after="0" w:line="439" w:lineRule="atLeast"/>
        <w:ind w:left="360"/>
        <w:textAlignment w:val="baseline"/>
        <w:rPr>
          <w:rFonts w:ascii="Georgia" w:hAnsi="Georgia"/>
          <w:color w:val="333333"/>
          <w:sz w:val="20"/>
          <w:szCs w:val="20"/>
        </w:rPr>
      </w:pPr>
      <w:r>
        <w:rPr>
          <w:rFonts w:ascii="Georgia" w:hAnsi="Georgia"/>
          <w:color w:val="333333"/>
          <w:sz w:val="20"/>
          <w:szCs w:val="20"/>
        </w:rPr>
        <w:t>at least 8/9 of the data lie within three standard deviations of the mean, that is, in the interval with endpoints</w:t>
      </w:r>
      <w:r>
        <w:rPr>
          <w:rStyle w:val="apple-converted-space"/>
          <w:rFonts w:ascii="Georgia" w:hAnsi="Georgia"/>
          <w:color w:val="333333"/>
          <w:sz w:val="20"/>
          <w:szCs w:val="20"/>
        </w:rPr>
        <w:t> </w:t>
      </w:r>
      <w:r>
        <w:rPr>
          <w:rStyle w:val="mi"/>
          <w:rFonts w:ascii="MathJax_Math" w:hAnsi="MathJax_Math"/>
          <w:i/>
          <w:iCs/>
          <w:color w:val="333333"/>
          <w:sz w:val="18"/>
          <w:szCs w:val="18"/>
        </w:rPr>
        <w:t>x</w:t>
      </w:r>
      <w:r>
        <w:rPr>
          <w:rStyle w:val="mi"/>
          <w:rFonts w:ascii="Times New Roman" w:hAnsi="Times New Roman" w:cs="Times New Roman"/>
          <w:i/>
          <w:iCs/>
          <w:color w:val="333333"/>
          <w:sz w:val="18"/>
          <w:szCs w:val="18"/>
        </w:rPr>
        <w:t>^</w:t>
      </w:r>
      <w:r>
        <w:rPr>
          <w:rStyle w:val="mo"/>
          <w:rFonts w:ascii="MathJax_Main" w:hAnsi="MathJax_Main"/>
          <w:color w:val="333333"/>
          <w:sz w:val="18"/>
          <w:szCs w:val="18"/>
        </w:rPr>
        <w:t>−±</w:t>
      </w:r>
      <w:r>
        <w:rPr>
          <w:rStyle w:val="mn"/>
          <w:rFonts w:ascii="MathJax_Main" w:hAnsi="MathJax_Main"/>
          <w:color w:val="333333"/>
          <w:sz w:val="18"/>
          <w:szCs w:val="18"/>
        </w:rPr>
        <w:t>3</w:t>
      </w:r>
      <w:r>
        <w:rPr>
          <w:rStyle w:val="mi"/>
          <w:rFonts w:ascii="MathJax_Math" w:hAnsi="MathJax_Math"/>
          <w:i/>
          <w:iCs/>
          <w:color w:val="333333"/>
          <w:sz w:val="18"/>
          <w:szCs w:val="18"/>
        </w:rPr>
        <w:t>s</w:t>
      </w:r>
      <w:r>
        <w:rPr>
          <w:rStyle w:val="apple-converted-space"/>
          <w:rFonts w:ascii="Georgia" w:hAnsi="Georgia"/>
          <w:color w:val="333333"/>
          <w:sz w:val="20"/>
          <w:szCs w:val="20"/>
        </w:rPr>
        <w:t> </w:t>
      </w:r>
      <w:r>
        <w:rPr>
          <w:rFonts w:ascii="Georgia" w:hAnsi="Georgia"/>
          <w:color w:val="333333"/>
          <w:sz w:val="20"/>
          <w:szCs w:val="20"/>
        </w:rPr>
        <w:t>for samples and with endpoints</w:t>
      </w:r>
      <w:r>
        <w:rPr>
          <w:rStyle w:val="apple-converted-space"/>
          <w:rFonts w:ascii="Georgia" w:hAnsi="Georgia"/>
          <w:color w:val="333333"/>
          <w:sz w:val="20"/>
          <w:szCs w:val="20"/>
        </w:rPr>
        <w:t> </w:t>
      </w:r>
      <w:r>
        <w:rPr>
          <w:rStyle w:val="mi"/>
          <w:rFonts w:ascii="MathJax_Math" w:hAnsi="MathJax_Math"/>
          <w:i/>
          <w:iCs/>
          <w:color w:val="333333"/>
          <w:sz w:val="18"/>
          <w:szCs w:val="18"/>
        </w:rPr>
        <w:t>μ</w:t>
      </w:r>
      <w:r>
        <w:rPr>
          <w:rStyle w:val="mo"/>
          <w:rFonts w:ascii="MathJax_Main" w:hAnsi="MathJax_Main"/>
          <w:color w:val="333333"/>
          <w:sz w:val="18"/>
          <w:szCs w:val="18"/>
        </w:rPr>
        <w:t>±</w:t>
      </w:r>
      <w:r>
        <w:rPr>
          <w:rStyle w:val="mn"/>
          <w:rFonts w:ascii="MathJax_Main" w:hAnsi="MathJax_Main"/>
          <w:color w:val="333333"/>
          <w:sz w:val="18"/>
          <w:szCs w:val="18"/>
        </w:rPr>
        <w:t>3</w:t>
      </w:r>
      <w:r>
        <w:rPr>
          <w:rStyle w:val="mi"/>
          <w:rFonts w:ascii="MathJax_Math" w:hAnsi="MathJax_Math"/>
          <w:i/>
          <w:iCs/>
          <w:color w:val="333333"/>
          <w:sz w:val="18"/>
          <w:szCs w:val="18"/>
        </w:rPr>
        <w:t>σ</w:t>
      </w:r>
      <w:r>
        <w:rPr>
          <w:rStyle w:val="apple-converted-space"/>
          <w:rFonts w:ascii="Georgia" w:hAnsi="Georgia"/>
          <w:color w:val="333333"/>
          <w:sz w:val="20"/>
          <w:szCs w:val="20"/>
        </w:rPr>
        <w:t> </w:t>
      </w:r>
      <w:r>
        <w:rPr>
          <w:rFonts w:ascii="Georgia" w:hAnsi="Georgia"/>
          <w:color w:val="333333"/>
          <w:sz w:val="20"/>
          <w:szCs w:val="20"/>
        </w:rPr>
        <w:t>for populations;</w:t>
      </w:r>
    </w:p>
    <w:p w:rsidR="00AD77BB" w:rsidRDefault="00B45BA0">
      <w:pPr>
        <w:numPr>
          <w:ilvl w:val="0"/>
          <w:numId w:val="37"/>
        </w:numPr>
        <w:shd w:val="clear" w:color="auto" w:fill="F4F4F4"/>
        <w:spacing w:after="0" w:line="439" w:lineRule="atLeast"/>
        <w:ind w:left="360"/>
        <w:textAlignment w:val="baseline"/>
        <w:rPr>
          <w:rFonts w:ascii="Georgia" w:hAnsi="Georgia"/>
          <w:color w:val="333333"/>
          <w:sz w:val="20"/>
          <w:szCs w:val="20"/>
        </w:rPr>
      </w:pPr>
      <w:r>
        <w:rPr>
          <w:rFonts w:ascii="Georgia" w:hAnsi="Georgia"/>
          <w:color w:val="333333"/>
          <w:sz w:val="20"/>
          <w:szCs w:val="20"/>
        </w:rPr>
        <w:lastRenderedPageBreak/>
        <w:t>at least</w:t>
      </w:r>
      <w:r>
        <w:rPr>
          <w:rStyle w:val="apple-converted-space"/>
          <w:rFonts w:ascii="Georgia" w:hAnsi="Georgia"/>
          <w:color w:val="333333"/>
          <w:sz w:val="20"/>
          <w:szCs w:val="20"/>
        </w:rPr>
        <w:t> </w:t>
      </w:r>
      <w:r>
        <w:rPr>
          <w:rStyle w:val="mn"/>
          <w:rFonts w:ascii="MathJax_Main" w:hAnsi="MathJax_Main"/>
          <w:color w:val="333333"/>
          <w:sz w:val="18"/>
          <w:szCs w:val="18"/>
        </w:rPr>
        <w:t>1</w:t>
      </w:r>
      <w:r>
        <w:rPr>
          <w:rStyle w:val="mo"/>
          <w:rFonts w:ascii="MathJax_Main" w:hAnsi="MathJax_Main"/>
          <w:color w:val="333333"/>
          <w:sz w:val="18"/>
          <w:szCs w:val="18"/>
        </w:rPr>
        <w:t>−</w:t>
      </w:r>
      <w:r>
        <w:rPr>
          <w:rStyle w:val="mn"/>
          <w:rFonts w:ascii="MathJax_Main" w:hAnsi="MathJax_Main"/>
          <w:color w:val="333333"/>
          <w:sz w:val="18"/>
          <w:szCs w:val="18"/>
        </w:rPr>
        <w:t>1</w:t>
      </w:r>
      <w:r>
        <w:rPr>
          <w:rStyle w:val="mo"/>
          <w:rFonts w:ascii="MathJax_Size2" w:hAnsi="MathJax_Size2"/>
          <w:color w:val="333333"/>
          <w:sz w:val="18"/>
          <w:szCs w:val="18"/>
        </w:rPr>
        <w:t>/</w:t>
      </w:r>
      <w:r>
        <w:rPr>
          <w:rStyle w:val="mi"/>
          <w:rFonts w:ascii="MathJax_Math" w:hAnsi="MathJax_Math"/>
          <w:i/>
          <w:iCs/>
          <w:color w:val="333333"/>
          <w:sz w:val="18"/>
          <w:szCs w:val="18"/>
        </w:rPr>
        <w:t>k</w:t>
      </w:r>
      <w:r>
        <w:rPr>
          <w:rStyle w:val="mn"/>
          <w:rFonts w:ascii="MathJax_Main" w:hAnsi="MathJax_Main"/>
          <w:color w:val="333333"/>
          <w:sz w:val="14"/>
          <w:szCs w:val="14"/>
          <w:vertAlign w:val="superscript"/>
        </w:rPr>
        <w:t>2</w:t>
      </w:r>
      <w:r>
        <w:rPr>
          <w:rStyle w:val="apple-converted-space"/>
          <w:rFonts w:ascii="Georgia" w:hAnsi="Georgia"/>
          <w:color w:val="333333"/>
          <w:sz w:val="20"/>
          <w:szCs w:val="20"/>
        </w:rPr>
        <w:t> </w:t>
      </w:r>
      <w:r>
        <w:rPr>
          <w:rFonts w:ascii="Georgia" w:hAnsi="Georgia"/>
          <w:color w:val="333333"/>
          <w:sz w:val="20"/>
          <w:szCs w:val="20"/>
        </w:rPr>
        <w:t>of the data lie within</w:t>
      </w:r>
      <w:r>
        <w:rPr>
          <w:rStyle w:val="apple-converted-space"/>
          <w:rFonts w:ascii="Georgia" w:hAnsi="Georgia"/>
          <w:color w:val="333333"/>
          <w:sz w:val="20"/>
          <w:szCs w:val="20"/>
        </w:rPr>
        <w:t> </w:t>
      </w:r>
      <w:r>
        <w:rPr>
          <w:rStyle w:val="Emphasis"/>
          <w:rFonts w:ascii="Georgia" w:hAnsi="Georgia"/>
          <w:color w:val="333333"/>
          <w:sz w:val="20"/>
          <w:szCs w:val="20"/>
        </w:rPr>
        <w:t>k</w:t>
      </w:r>
      <w:r>
        <w:rPr>
          <w:rStyle w:val="apple-converted-space"/>
          <w:rFonts w:ascii="Georgia" w:hAnsi="Georgia"/>
          <w:color w:val="333333"/>
          <w:sz w:val="20"/>
          <w:szCs w:val="20"/>
        </w:rPr>
        <w:t> </w:t>
      </w:r>
      <w:r>
        <w:rPr>
          <w:rFonts w:ascii="Georgia" w:hAnsi="Georgia"/>
          <w:color w:val="333333"/>
          <w:sz w:val="20"/>
          <w:szCs w:val="20"/>
        </w:rPr>
        <w:t>standard deviations of the mean, that is, in the interval with endpoints</w:t>
      </w:r>
      <w:r>
        <w:rPr>
          <w:rStyle w:val="apple-converted-space"/>
          <w:rFonts w:ascii="Georgia" w:hAnsi="Georgia"/>
          <w:color w:val="333333"/>
          <w:sz w:val="20"/>
          <w:szCs w:val="20"/>
        </w:rPr>
        <w:t> </w:t>
      </w:r>
      <w:r>
        <w:rPr>
          <w:rStyle w:val="mi"/>
          <w:rFonts w:ascii="MathJax_Math" w:hAnsi="MathJax_Math"/>
          <w:i/>
          <w:iCs/>
          <w:color w:val="333333"/>
          <w:sz w:val="18"/>
          <w:szCs w:val="18"/>
        </w:rPr>
        <w:t>x</w:t>
      </w:r>
      <w:r>
        <w:rPr>
          <w:rStyle w:val="mi"/>
          <w:rFonts w:ascii="Times New Roman" w:hAnsi="Times New Roman" w:cs="Times New Roman"/>
          <w:i/>
          <w:iCs/>
          <w:color w:val="333333"/>
          <w:sz w:val="18"/>
          <w:szCs w:val="18"/>
        </w:rPr>
        <w:t>^</w:t>
      </w:r>
      <w:r>
        <w:rPr>
          <w:rStyle w:val="mo"/>
          <w:rFonts w:ascii="MathJax_Main" w:hAnsi="MathJax_Main"/>
          <w:color w:val="333333"/>
          <w:sz w:val="18"/>
          <w:szCs w:val="18"/>
        </w:rPr>
        <w:t>−±</w:t>
      </w:r>
      <w:r>
        <w:rPr>
          <w:rStyle w:val="mi"/>
          <w:rFonts w:ascii="MathJax_Math" w:hAnsi="MathJax_Math"/>
          <w:i/>
          <w:iCs/>
          <w:color w:val="333333"/>
          <w:sz w:val="18"/>
          <w:szCs w:val="18"/>
        </w:rPr>
        <w:t>ks</w:t>
      </w:r>
      <w:r>
        <w:rPr>
          <w:rStyle w:val="apple-converted-space"/>
          <w:rFonts w:ascii="Georgia" w:hAnsi="Georgia"/>
          <w:color w:val="333333"/>
          <w:sz w:val="20"/>
          <w:szCs w:val="20"/>
        </w:rPr>
        <w:t> </w:t>
      </w:r>
      <w:r>
        <w:rPr>
          <w:rFonts w:ascii="Georgia" w:hAnsi="Georgia"/>
          <w:color w:val="333333"/>
          <w:sz w:val="20"/>
          <w:szCs w:val="20"/>
        </w:rPr>
        <w:t>for samples and with endpoints</w:t>
      </w:r>
      <w:r>
        <w:rPr>
          <w:rStyle w:val="apple-converted-space"/>
          <w:rFonts w:ascii="Georgia" w:hAnsi="Georgia"/>
          <w:color w:val="333333"/>
          <w:sz w:val="20"/>
          <w:szCs w:val="20"/>
        </w:rPr>
        <w:t> </w:t>
      </w:r>
      <w:r>
        <w:rPr>
          <w:rStyle w:val="mi"/>
          <w:rFonts w:ascii="MathJax_Math" w:hAnsi="MathJax_Math"/>
          <w:i/>
          <w:iCs/>
          <w:color w:val="333333"/>
          <w:sz w:val="18"/>
          <w:szCs w:val="18"/>
        </w:rPr>
        <w:t>μ</w:t>
      </w:r>
      <w:r>
        <w:rPr>
          <w:rStyle w:val="mo"/>
          <w:rFonts w:ascii="MathJax_Main" w:hAnsi="MathJax_Main"/>
          <w:color w:val="333333"/>
          <w:sz w:val="18"/>
          <w:szCs w:val="18"/>
        </w:rPr>
        <w:t>±</w:t>
      </w:r>
      <w:r>
        <w:rPr>
          <w:rStyle w:val="mi"/>
          <w:rFonts w:ascii="MathJax_Math" w:hAnsi="MathJax_Math"/>
          <w:i/>
          <w:iCs/>
          <w:color w:val="333333"/>
          <w:sz w:val="18"/>
          <w:szCs w:val="18"/>
        </w:rPr>
        <w:t>kσ</w:t>
      </w:r>
      <w:r>
        <w:rPr>
          <w:rStyle w:val="apple-converted-space"/>
          <w:rFonts w:ascii="Georgia" w:hAnsi="Georgia"/>
          <w:color w:val="333333"/>
          <w:sz w:val="20"/>
          <w:szCs w:val="20"/>
        </w:rPr>
        <w:t> </w:t>
      </w:r>
      <w:r>
        <w:rPr>
          <w:rFonts w:ascii="Georgia" w:hAnsi="Georgia"/>
          <w:color w:val="333333"/>
          <w:sz w:val="20"/>
          <w:szCs w:val="20"/>
        </w:rPr>
        <w:t>for populations, where</w:t>
      </w:r>
      <w:r>
        <w:rPr>
          <w:rStyle w:val="apple-converted-space"/>
          <w:rFonts w:ascii="Georgia" w:hAnsi="Georgia"/>
          <w:color w:val="333333"/>
          <w:sz w:val="20"/>
          <w:szCs w:val="20"/>
        </w:rPr>
        <w:t> </w:t>
      </w:r>
      <w:r>
        <w:rPr>
          <w:rStyle w:val="Emphasis"/>
          <w:rFonts w:ascii="Georgia" w:hAnsi="Georgia"/>
          <w:color w:val="333333"/>
          <w:sz w:val="20"/>
          <w:szCs w:val="20"/>
        </w:rPr>
        <w:t>k</w:t>
      </w:r>
      <w:r>
        <w:rPr>
          <w:rStyle w:val="apple-converted-space"/>
          <w:rFonts w:ascii="Georgia" w:hAnsi="Georgia"/>
          <w:color w:val="333333"/>
          <w:sz w:val="20"/>
          <w:szCs w:val="20"/>
        </w:rPr>
        <w:t> </w:t>
      </w:r>
      <w:r>
        <w:rPr>
          <w:rFonts w:ascii="Georgia" w:hAnsi="Georgia"/>
          <w:color w:val="333333"/>
          <w:sz w:val="20"/>
          <w:szCs w:val="20"/>
        </w:rPr>
        <w:t>is any positive whole number that is greater than 1.</w:t>
      </w:r>
    </w:p>
    <w:p w:rsidR="00AD77BB" w:rsidRDefault="00AD77BB">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2689C6"/>
          <w:sz w:val="21"/>
          <w:szCs w:val="21"/>
        </w:rPr>
        <w:t>Figure 2.19 "Chebyshev’s Theorem"</w:t>
      </w:r>
      <w:r>
        <w:rPr>
          <w:rStyle w:val="apple-converted-space"/>
          <w:rFonts w:ascii="Georgia" w:hAnsi="Georgia"/>
          <w:color w:val="333333"/>
          <w:sz w:val="21"/>
          <w:szCs w:val="21"/>
        </w:rPr>
        <w:t> </w:t>
      </w:r>
      <w:r>
        <w:rPr>
          <w:rFonts w:ascii="Georgia" w:hAnsi="Georgia"/>
          <w:color w:val="333333"/>
          <w:sz w:val="21"/>
          <w:szCs w:val="21"/>
        </w:rPr>
        <w:t>gives a visual illustration of Chebyshev’s Theorem.</w:t>
      </w: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t>igure 2.19</w:t>
      </w:r>
      <w:r>
        <w:rPr>
          <w:rFonts w:ascii="Georgia" w:eastAsia="Times New Roman" w:hAnsi="Georgia" w:cs="Times New Roman"/>
          <w:i/>
          <w:iCs/>
          <w:color w:val="BB9966"/>
          <w:sz w:val="19"/>
          <w:szCs w:val="19"/>
        </w:rPr>
        <w:t> Chebyshev’s Theorem</w:t>
      </w:r>
    </w:p>
    <w:p w:rsidR="00AD77BB" w:rsidRDefault="00B45BA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Calibri" w:hAnsi="Calibri"/>
          <w:noProof/>
          <w:color w:val="2689C6"/>
          <w:sz w:val="26"/>
          <w:szCs w:val="26"/>
          <w:shd w:val="clear" w:color="auto" w:fill="FFFFFF"/>
        </w:rPr>
        <w:drawing>
          <wp:inline distT="0" distB="0" distL="0" distR="0" wp14:anchorId="0E12C609" wp14:editId="0144046A">
            <wp:extent cx="5876925" cy="4448175"/>
            <wp:effectExtent l="0" t="0" r="9525" b="9525"/>
            <wp:docPr id="67" name="Picture 56" descr="http://images.flatworldknowledge.com/shafer/shafer-fig02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images.flatworldknowledge.com/shafer/shafer-fig02_019.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76925" cy="4448175"/>
                    </a:xfrm>
                    <a:prstGeom prst="rect">
                      <a:avLst/>
                    </a:prstGeom>
                    <a:noFill/>
                    <a:ln>
                      <a:noFill/>
                    </a:ln>
                  </pic:spPr>
                </pic:pic>
              </a:graphicData>
            </a:graphic>
          </wp:inline>
        </w:drawing>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0"/>
          <w:szCs w:val="20"/>
          <w:shd w:val="clear" w:color="auto" w:fill="FFFFFF"/>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0"/>
          <w:szCs w:val="20"/>
          <w:shd w:val="clear" w:color="auto" w:fill="FFFFFF"/>
        </w:rPr>
        <w:t>It is important to pay careful attention to the words “at least” at the beginning of each of the three parts. The theorem gives the</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minimum</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proportion of the data which must lie within a given number of standard deviations of the mean; the true proportions found within the indicated regions could be greater than what the theorem guarantees.</w:t>
      </w:r>
    </w:p>
    <w:p w:rsidR="00AD77BB" w:rsidRDefault="00B45BA0">
      <w:pPr>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296A1261" wp14:editId="654FCBBC">
            <wp:extent cx="5800725" cy="7362825"/>
            <wp:effectExtent l="0" t="0" r="9525" b="9525"/>
            <wp:docPr id="6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00725" cy="7362825"/>
                    </a:xfrm>
                    <a:prstGeom prst="rect">
                      <a:avLst/>
                    </a:prstGeom>
                    <a:noFill/>
                    <a:ln>
                      <a:noFill/>
                    </a:ln>
                  </pic:spPr>
                </pic:pic>
              </a:graphicData>
            </a:graphic>
          </wp:inline>
        </w:drawing>
      </w:r>
    </w:p>
    <w:p w:rsidR="00AD77BB" w:rsidRDefault="00AD77BB">
      <w:pPr>
        <w:spacing w:line="360" w:lineRule="auto"/>
        <w:ind w:left="86"/>
        <w:textAlignment w:val="baseline"/>
        <w:rPr>
          <w:rFonts w:ascii="Calibri" w:eastAsia="Times New Roman" w:hAnsi="Calibri" w:cs="Times New Roman"/>
          <w:color w:val="333333"/>
          <w:sz w:val="20"/>
          <w:szCs w:val="20"/>
        </w:rPr>
      </w:pPr>
    </w:p>
    <w:p w:rsidR="00AD77BB" w:rsidRDefault="00AD77BB">
      <w:pPr>
        <w:spacing w:line="360" w:lineRule="auto"/>
        <w:ind w:left="86"/>
        <w:textAlignment w:val="baseline"/>
        <w:rPr>
          <w:rFonts w:ascii="Calibri" w:eastAsia="Times New Roman" w:hAnsi="Calibri" w:cs="Times New Roman"/>
          <w:color w:val="333333"/>
          <w:sz w:val="20"/>
          <w:szCs w:val="20"/>
        </w:rPr>
      </w:pP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lastRenderedPageBreak/>
        <w:t>EXAMPLE 22</w:t>
      </w:r>
    </w:p>
    <w:p w:rsidR="00AD77BB" w:rsidRDefault="00B45BA0">
      <w:p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The number of vehicles passing through a busy intersection between 8:00 a.m. and 10:00 a.m. was observed and recorded on every weekday morning of the last year. The data set contains </w:t>
      </w:r>
      <w:r>
        <w:rPr>
          <w:rFonts w:ascii="Calibri" w:eastAsia="Times New Roman" w:hAnsi="Calibri" w:cs="Times New Roman"/>
          <w:i/>
          <w:iCs/>
          <w:color w:val="333333"/>
          <w:sz w:val="20"/>
          <w:szCs w:val="20"/>
        </w:rPr>
        <w:t>n</w:t>
      </w:r>
      <w:r>
        <w:rPr>
          <w:rFonts w:ascii="Calibri" w:eastAsia="Times New Roman" w:hAnsi="Calibri" w:cs="Times New Roman"/>
          <w:color w:val="333333"/>
          <w:sz w:val="21"/>
          <w:szCs w:val="21"/>
        </w:rPr>
        <w:t> = 251 numbers. The sample mean is </w:t>
      </w:r>
      <w:r>
        <w:rPr>
          <w:rFonts w:ascii="MathJax_Math" w:eastAsia="Times New Roman" w:hAnsi="MathJax_Math" w:cs="Times New Roman"/>
          <w:i/>
          <w:iCs/>
          <w:color w:val="333333"/>
          <w:sz w:val="15"/>
          <w:szCs w:val="15"/>
        </w:rPr>
        <w:t>x</w:t>
      </w:r>
      <w:r>
        <w:rPr>
          <w:rFonts w:ascii="Times New Roman" w:eastAsia="Times New Roman" w:hAnsi="Times New Roman" w:cs="Times New Roman"/>
          <w:i/>
          <w:iCs/>
          <w:color w:val="333333"/>
          <w:sz w:val="15"/>
          <w:szCs w:val="15"/>
        </w:rPr>
        <w:t>^</w:t>
      </w:r>
      <w:r>
        <w:rPr>
          <w:rFonts w:ascii="MathJax_Main" w:eastAsia="Times New Roman" w:hAnsi="MathJax_Main" w:cs="Times New Roman"/>
          <w:color w:val="333333"/>
          <w:sz w:val="15"/>
          <w:szCs w:val="15"/>
        </w:rPr>
        <w:t>−=725</w:t>
      </w:r>
      <w:r>
        <w:rPr>
          <w:rFonts w:ascii="Calibri" w:eastAsia="Times New Roman" w:hAnsi="Calibri" w:cs="Times New Roman"/>
          <w:color w:val="333333"/>
          <w:sz w:val="21"/>
          <w:szCs w:val="21"/>
        </w:rPr>
        <w:t> and the sample standard deviation is </w:t>
      </w:r>
      <w:r>
        <w:rPr>
          <w:rFonts w:ascii="Calibri" w:eastAsia="Times New Roman" w:hAnsi="Calibri" w:cs="Times New Roman"/>
          <w:i/>
          <w:iCs/>
          <w:color w:val="333333"/>
          <w:sz w:val="20"/>
          <w:szCs w:val="20"/>
        </w:rPr>
        <w:t>s</w:t>
      </w:r>
      <w:r>
        <w:rPr>
          <w:rFonts w:ascii="Calibri" w:eastAsia="Times New Roman" w:hAnsi="Calibri" w:cs="Times New Roman"/>
          <w:color w:val="333333"/>
          <w:sz w:val="21"/>
          <w:szCs w:val="21"/>
        </w:rPr>
        <w:t> = 25. Identify which of the following statements </w:t>
      </w:r>
      <w:r>
        <w:rPr>
          <w:rFonts w:ascii="Calibri" w:eastAsia="Times New Roman" w:hAnsi="Calibri" w:cs="Times New Roman"/>
          <w:i/>
          <w:iCs/>
          <w:color w:val="333333"/>
          <w:sz w:val="20"/>
          <w:szCs w:val="20"/>
        </w:rPr>
        <w:t>must</w:t>
      </w:r>
      <w:r>
        <w:rPr>
          <w:rFonts w:ascii="Calibri" w:eastAsia="Times New Roman" w:hAnsi="Calibri" w:cs="Times New Roman"/>
          <w:color w:val="333333"/>
          <w:sz w:val="21"/>
          <w:szCs w:val="21"/>
        </w:rPr>
        <w:t> be true.</w:t>
      </w:r>
    </w:p>
    <w:p w:rsidR="00AD77BB" w:rsidRDefault="00B45BA0">
      <w:pPr>
        <w:numPr>
          <w:ilvl w:val="0"/>
          <w:numId w:val="38"/>
        </w:numPr>
        <w:shd w:val="clear" w:color="auto" w:fill="DAEEF3" w:themeFill="accent5" w:themeFillTint="33"/>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On approximately 95% of the weekday mornings last year the number of vehicles passing through the intersection from 8:00 a.m. to 10:00 a.m. was between 675 and 775.</w:t>
      </w:r>
    </w:p>
    <w:p w:rsidR="00AD77BB" w:rsidRDefault="00B45BA0">
      <w:pPr>
        <w:numPr>
          <w:ilvl w:val="0"/>
          <w:numId w:val="38"/>
        </w:numPr>
        <w:shd w:val="clear" w:color="auto" w:fill="DAEEF3" w:themeFill="accent5" w:themeFillTint="33"/>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On at least 75% of the weekday mornings last year the number of vehicles passing through the intersection from 8:00 a.m. to 10:00 a.m. was between 675 and 775.</w:t>
      </w:r>
    </w:p>
    <w:p w:rsidR="00AD77BB" w:rsidRDefault="00B45BA0">
      <w:pPr>
        <w:numPr>
          <w:ilvl w:val="0"/>
          <w:numId w:val="38"/>
        </w:numPr>
        <w:shd w:val="clear" w:color="auto" w:fill="DAEEF3" w:themeFill="accent5" w:themeFillTint="33"/>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On at least 189 weekday mornings last year the number of vehicles passing through the intersection from 8:00 a.m. to 10:00 a.m. was between 675 and 775.</w:t>
      </w:r>
    </w:p>
    <w:p w:rsidR="00AD77BB" w:rsidRDefault="00B45BA0">
      <w:pPr>
        <w:numPr>
          <w:ilvl w:val="0"/>
          <w:numId w:val="38"/>
        </w:numPr>
        <w:shd w:val="clear" w:color="auto" w:fill="DAEEF3" w:themeFill="accent5" w:themeFillTint="33"/>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On at most 25% of the weekday mornings last year the number of vehicles passing through the intersection from 8:00 a.m. to 10:00 a.m. was either less than 675 or greater than 775.</w:t>
      </w:r>
    </w:p>
    <w:p w:rsidR="00AD77BB" w:rsidRDefault="00B45BA0">
      <w:pPr>
        <w:numPr>
          <w:ilvl w:val="0"/>
          <w:numId w:val="38"/>
        </w:numPr>
        <w:shd w:val="clear" w:color="auto" w:fill="DAEEF3" w:themeFill="accent5" w:themeFillTint="33"/>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On at most 12.5% of the weekday mornings last year the number of vehicles passing through the intersection from 8:00 a.m. to 10:00 a.m. was less than 675.</w:t>
      </w:r>
    </w:p>
    <w:p w:rsidR="00AD77BB" w:rsidRDefault="00B45BA0">
      <w:pPr>
        <w:numPr>
          <w:ilvl w:val="0"/>
          <w:numId w:val="38"/>
        </w:numPr>
        <w:shd w:val="clear" w:color="auto" w:fill="DAEEF3" w:themeFill="accent5" w:themeFillTint="33"/>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On at most 25% of the weekday mornings last year the number of vehicles passing through the intersection from 8:00 a.m. to 10:00 a.m. was less than 675.</w:t>
      </w:r>
    </w:p>
    <w:p w:rsidR="00AD77BB" w:rsidRDefault="00B45BA0">
      <w:pPr>
        <w:shd w:val="clear" w:color="auto" w:fill="DAEEF3" w:themeFill="accent5" w:themeFillTint="33"/>
        <w:spacing w:before="150" w:after="0" w:line="439" w:lineRule="atLeast"/>
        <w:ind w:right="375" w:firstLine="300"/>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Solution:</w:t>
      </w:r>
    </w:p>
    <w:p w:rsidR="00AD77BB" w:rsidRDefault="00B45BA0">
      <w:pPr>
        <w:numPr>
          <w:ilvl w:val="0"/>
          <w:numId w:val="39"/>
        </w:numPr>
        <w:shd w:val="clear" w:color="auto" w:fill="DAEEF3" w:themeFill="accent5" w:themeFillTint="33"/>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Since it is not stated that the relative frequency histogram of the data is bell-shaped, the Empirical Rule does not apply. Statement (1) is based on the Empirical Rule and therefore it might not be correct.</w:t>
      </w:r>
    </w:p>
    <w:p w:rsidR="00AD77BB" w:rsidRDefault="00B45BA0">
      <w:pPr>
        <w:numPr>
          <w:ilvl w:val="0"/>
          <w:numId w:val="39"/>
        </w:numPr>
        <w:shd w:val="clear" w:color="auto" w:fill="DAEEF3" w:themeFill="accent5" w:themeFillTint="33"/>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Statement (2) is a direct application of part (1) of Chebyshev’s Theorem because </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x</w:t>
      </w:r>
      <w:r>
        <w:rPr>
          <w:rFonts w:ascii="Times New Roman" w:eastAsia="Times New Roman" w:hAnsi="Times New Roman" w:cs="Times New Roman"/>
          <w:i/>
          <w:iCs/>
          <w:color w:val="333333"/>
          <w:sz w:val="15"/>
          <w:szCs w:val="15"/>
        </w:rPr>
        <w:t>^</w:t>
      </w:r>
      <w:r>
        <w:rPr>
          <w:rFonts w:ascii="MathJax_Main" w:eastAsia="Times New Roman" w:hAnsi="MathJax_Main" w:cs="Times New Roman"/>
          <w:color w:val="333333"/>
          <w:sz w:val="15"/>
          <w:szCs w:val="15"/>
        </w:rPr>
        <w:t>−−2</w:t>
      </w:r>
      <w:r>
        <w:rPr>
          <w:rFonts w:ascii="MathJax_Math" w:eastAsia="Times New Roman" w:hAnsi="MathJax_Math" w:cs="Times New Roman"/>
          <w:i/>
          <w:iCs/>
          <w:color w:val="333333"/>
          <w:sz w:val="15"/>
          <w:szCs w:val="15"/>
        </w:rPr>
        <w:t>s</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x</w:t>
      </w:r>
      <w:r>
        <w:rPr>
          <w:rFonts w:ascii="Times New Roman" w:eastAsia="Times New Roman" w:hAnsi="Times New Roman" w:cs="Times New Roman"/>
          <w:i/>
          <w:iCs/>
          <w:color w:val="333333"/>
          <w:sz w:val="15"/>
          <w:szCs w:val="15"/>
        </w:rPr>
        <w:t>^</w:t>
      </w:r>
      <w:r>
        <w:rPr>
          <w:rFonts w:ascii="MathJax_Main" w:eastAsia="Times New Roman" w:hAnsi="MathJax_Main" w:cs="Times New Roman"/>
          <w:color w:val="333333"/>
          <w:sz w:val="15"/>
          <w:szCs w:val="15"/>
        </w:rPr>
        <w:t>−+2</w:t>
      </w:r>
      <w:r>
        <w:rPr>
          <w:rFonts w:ascii="MathJax_Math" w:eastAsia="Times New Roman" w:hAnsi="MathJax_Math" w:cs="Times New Roman"/>
          <w:i/>
          <w:iCs/>
          <w:color w:val="333333"/>
          <w:sz w:val="15"/>
          <w:szCs w:val="15"/>
        </w:rPr>
        <w:t>s</w:t>
      </w:r>
      <w:r>
        <w:rPr>
          <w:rFonts w:ascii="MathJax_Main" w:eastAsia="Times New Roman" w:hAnsi="MathJax_Main" w:cs="Times New Roman"/>
          <w:color w:val="333333"/>
          <w:sz w:val="15"/>
          <w:szCs w:val="15"/>
        </w:rPr>
        <w:t>)=(675,775).</w:t>
      </w:r>
      <w:r>
        <w:rPr>
          <w:rFonts w:ascii="Calibri" w:eastAsia="Times New Roman" w:hAnsi="Calibri" w:cs="Times New Roman"/>
          <w:color w:val="333333"/>
          <w:sz w:val="20"/>
          <w:szCs w:val="20"/>
        </w:rPr>
        <w:t> It must be correct.</w:t>
      </w:r>
    </w:p>
    <w:p w:rsidR="00AD77BB" w:rsidRDefault="00B45BA0">
      <w:pPr>
        <w:numPr>
          <w:ilvl w:val="0"/>
          <w:numId w:val="39"/>
        </w:numPr>
        <w:shd w:val="clear" w:color="auto" w:fill="DAEEF3" w:themeFill="accent5" w:themeFillTint="33"/>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Statement (3) says the same thing as statement (2) because 75% of 251 is 188.25, so the minimum whole number of observations in this interval is 189. Thus statement (3) is definitely correct.</w:t>
      </w:r>
    </w:p>
    <w:p w:rsidR="00AD77BB" w:rsidRDefault="00B45BA0">
      <w:pPr>
        <w:numPr>
          <w:ilvl w:val="0"/>
          <w:numId w:val="39"/>
        </w:numPr>
        <w:shd w:val="clear" w:color="auto" w:fill="DAEEF3" w:themeFill="accent5" w:themeFillTint="33"/>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Statement (4) says the same thing as statement (2) but in different words, and therefore is definitely correct.</w:t>
      </w:r>
    </w:p>
    <w:p w:rsidR="00AD77BB" w:rsidRDefault="00B45BA0">
      <w:pPr>
        <w:numPr>
          <w:ilvl w:val="0"/>
          <w:numId w:val="39"/>
        </w:numPr>
        <w:shd w:val="clear" w:color="auto" w:fill="DAEEF3" w:themeFill="accent5" w:themeFillTint="33"/>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Statement (4), which is definitely correct, states that at most 25% of the time either fewer than 675 or more than 775 vehicles passed through the intersection. Statement (5) says that half of that 25% corresponds to days of light traffic. This would be correct if the relative frequency histogram of the data were known to be symmetric. But this is not stated; perhaps all of the observations outside the interval (675,775) are less than 75. Thus statement (5) might not be correct</w:t>
      </w:r>
    </w:p>
    <w:p w:rsidR="00AD77BB" w:rsidRDefault="00B45BA0">
      <w:pPr>
        <w:numPr>
          <w:ilvl w:val="0"/>
          <w:numId w:val="39"/>
        </w:numPr>
        <w:shd w:val="clear" w:color="auto" w:fill="DAEEF3" w:themeFill="accent5" w:themeFillTint="33"/>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Statement (4) is definitely correct and statement (4) implies statement (6): even if every measurement that is outside the interval (675,775) is less than 675 (which is conceivable, since symmetry is not known to hold), even so at most 25% of all observations are less than 675. Thus statement (6) must definitely be correct.</w:t>
      </w: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KEY TAKEAWAYS</w:t>
      </w:r>
    </w:p>
    <w:p w:rsidR="00AD77BB" w:rsidRDefault="00B45BA0">
      <w:pPr>
        <w:numPr>
          <w:ilvl w:val="0"/>
          <w:numId w:val="40"/>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Empirical Rule is an approximation that applies only to data sets with a bell-shaped relative frequency histogram. It estimates the proportion of the measurements that lie within one, two, and three standard deviations of the mean.</w:t>
      </w:r>
    </w:p>
    <w:p w:rsidR="00AD77BB" w:rsidRDefault="00B45BA0">
      <w:pPr>
        <w:numPr>
          <w:ilvl w:val="0"/>
          <w:numId w:val="40"/>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Chebyshev’s Theorem is a fact that applies to all possible data sets. It describes the minimum proportion of the measurements that lie must within one, two, or more standard deviations of the mean.</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EXERCISES</w:t>
      </w:r>
    </w:p>
    <w:p w:rsidR="00AD77BB" w:rsidRDefault="00B45BA0">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BASIC</w:t>
      </w:r>
    </w:p>
    <w:p w:rsidR="00AD77BB" w:rsidRDefault="00B45BA0">
      <w:pPr>
        <w:numPr>
          <w:ilvl w:val="0"/>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State the Empirical Rule.</w:t>
      </w:r>
    </w:p>
    <w:p w:rsidR="00AD77BB" w:rsidRDefault="00B45BA0">
      <w:pPr>
        <w:numPr>
          <w:ilvl w:val="0"/>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Describe the conditions under which the Empirical Rule may be applied.</w:t>
      </w:r>
    </w:p>
    <w:p w:rsidR="00AD77BB" w:rsidRDefault="00B45BA0">
      <w:pPr>
        <w:numPr>
          <w:ilvl w:val="0"/>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State Chebyshev’s Theorem.</w:t>
      </w:r>
    </w:p>
    <w:p w:rsidR="00AD77BB" w:rsidRDefault="00B45BA0">
      <w:pPr>
        <w:numPr>
          <w:ilvl w:val="0"/>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Describe the conditions under which Chebyshev’s Theorem may be applied.</w:t>
      </w:r>
    </w:p>
    <w:p w:rsidR="00AD77BB" w:rsidRDefault="00B45BA0">
      <w:pPr>
        <w:numPr>
          <w:ilvl w:val="0"/>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sample data set with a bell-shaped distribution has mean </w:t>
      </w:r>
      <w:r>
        <w:rPr>
          <w:rFonts w:ascii="MathJax_Math" w:eastAsia="Times New Roman" w:hAnsi="MathJax_Math" w:cs="Times New Roman"/>
          <w:i/>
          <w:iCs/>
          <w:color w:val="333333"/>
          <w:sz w:val="15"/>
          <w:szCs w:val="15"/>
        </w:rPr>
        <w:t>x</w:t>
      </w:r>
      <w:r>
        <w:rPr>
          <w:rFonts w:ascii="Times New Roman" w:eastAsia="Times New Roman" w:hAnsi="Times New Roman" w:cs="Times New Roman"/>
          <w:i/>
          <w:iCs/>
          <w:color w:val="333333"/>
          <w:sz w:val="15"/>
          <w:szCs w:val="15"/>
        </w:rPr>
        <w:t>^</w:t>
      </w:r>
      <w:r>
        <w:rPr>
          <w:rFonts w:ascii="MathJax_Main" w:eastAsia="Times New Roman" w:hAnsi="MathJax_Main" w:cs="Times New Roman"/>
          <w:color w:val="333333"/>
          <w:sz w:val="15"/>
          <w:szCs w:val="15"/>
        </w:rPr>
        <w:t>−=6</w:t>
      </w:r>
      <w:r>
        <w:rPr>
          <w:rFonts w:ascii="Calibri" w:eastAsia="Times New Roman" w:hAnsi="Calibri" w:cs="Times New Roman"/>
          <w:color w:val="333333"/>
          <w:sz w:val="20"/>
          <w:szCs w:val="20"/>
        </w:rPr>
        <w:t> and standard deviation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2. Find the approximate proportion of observations in the data set that lie:</w:t>
      </w:r>
    </w:p>
    <w:p w:rsidR="00AD77BB" w:rsidRDefault="00B45BA0">
      <w:pPr>
        <w:numPr>
          <w:ilvl w:val="1"/>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between 4 and 8;</w:t>
      </w:r>
    </w:p>
    <w:p w:rsidR="00AD77BB" w:rsidRDefault="00B45BA0">
      <w:pPr>
        <w:numPr>
          <w:ilvl w:val="1"/>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between 2 and 10;</w:t>
      </w:r>
    </w:p>
    <w:p w:rsidR="00AD77BB" w:rsidRDefault="00B45BA0">
      <w:pPr>
        <w:numPr>
          <w:ilvl w:val="1"/>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between 0 and 12.</w:t>
      </w:r>
    </w:p>
    <w:p w:rsidR="00AD77BB" w:rsidRDefault="00B45BA0">
      <w:pPr>
        <w:numPr>
          <w:ilvl w:val="0"/>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population data set with a bell-shaped distribution has mean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 = 6 and standard deviation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 2. Find the approximate proportion of observations in the data set that lie:</w:t>
      </w:r>
    </w:p>
    <w:p w:rsidR="00AD77BB" w:rsidRDefault="00B45BA0">
      <w:pPr>
        <w:numPr>
          <w:ilvl w:val="1"/>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between 4 and 8;</w:t>
      </w:r>
    </w:p>
    <w:p w:rsidR="00AD77BB" w:rsidRDefault="00B45BA0">
      <w:pPr>
        <w:numPr>
          <w:ilvl w:val="1"/>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between 2 and 10;</w:t>
      </w:r>
    </w:p>
    <w:p w:rsidR="00AD77BB" w:rsidRDefault="00B45BA0">
      <w:pPr>
        <w:numPr>
          <w:ilvl w:val="1"/>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between 0 and 12.</w:t>
      </w:r>
    </w:p>
    <w:p w:rsidR="00AD77BB" w:rsidRDefault="00B45BA0">
      <w:pPr>
        <w:numPr>
          <w:ilvl w:val="0"/>
          <w:numId w:val="4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population data set with a bell-shaped distribution has mean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 = 2 and standard deviation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 1.1. Find the approximate proportion of observations in the data set that lie:</w:t>
      </w:r>
    </w:p>
    <w:p w:rsidR="00AD77BB" w:rsidRDefault="00B45BA0">
      <w:pPr>
        <w:numPr>
          <w:ilvl w:val="1"/>
          <w:numId w:val="4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above 2;</w:t>
      </w:r>
    </w:p>
    <w:p w:rsidR="00AD77BB" w:rsidRDefault="00B45BA0">
      <w:pPr>
        <w:numPr>
          <w:ilvl w:val="1"/>
          <w:numId w:val="4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above 3.1;</w:t>
      </w:r>
    </w:p>
    <w:p w:rsidR="00AD77BB" w:rsidRDefault="00B45BA0">
      <w:pPr>
        <w:numPr>
          <w:ilvl w:val="1"/>
          <w:numId w:val="4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between 2 and 3.1.</w:t>
      </w:r>
    </w:p>
    <w:p w:rsidR="00AD77BB" w:rsidRDefault="00B45BA0">
      <w:pPr>
        <w:numPr>
          <w:ilvl w:val="0"/>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sample data set with a bell-shaped distribution has mean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−=2</w:t>
      </w:r>
      <w:r>
        <w:rPr>
          <w:rFonts w:ascii="Calibri" w:eastAsia="Times New Roman" w:hAnsi="Calibri" w:cs="Times New Roman"/>
          <w:color w:val="333333"/>
          <w:sz w:val="20"/>
          <w:szCs w:val="20"/>
        </w:rPr>
        <w:t> and standard deviation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1.1. Find the approximate proportion of observations in the data set that lie:</w:t>
      </w:r>
    </w:p>
    <w:p w:rsidR="00AD77BB" w:rsidRDefault="00B45BA0">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below −0.2;</w:t>
      </w:r>
    </w:p>
    <w:p w:rsidR="00AD77BB" w:rsidRDefault="00B45BA0">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below 3.1;</w:t>
      </w:r>
    </w:p>
    <w:p w:rsidR="00AD77BB" w:rsidRDefault="00B45BA0">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between −1.3 and 0.9.</w:t>
      </w:r>
    </w:p>
    <w:p w:rsidR="00AD77BB" w:rsidRDefault="00B45BA0">
      <w:pPr>
        <w:numPr>
          <w:ilvl w:val="0"/>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population data set with a bell-shaped distribution and size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500 has mean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 = 2 and standard deviation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 1.1. Find the approximate number of observations in the data set that lie:</w:t>
      </w:r>
    </w:p>
    <w:p w:rsidR="00AD77BB" w:rsidRDefault="00B45BA0">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above 2;</w:t>
      </w:r>
    </w:p>
    <w:p w:rsidR="00AD77BB" w:rsidRDefault="00B45BA0">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above 3.1;</w:t>
      </w:r>
    </w:p>
    <w:p w:rsidR="00AD77BB" w:rsidRDefault="00B45BA0">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between 2 and 3.1.</w:t>
      </w:r>
    </w:p>
    <w:p w:rsidR="00AD77BB" w:rsidRDefault="00B45BA0">
      <w:pPr>
        <w:numPr>
          <w:ilvl w:val="0"/>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sample data set with a bell-shaped distribution and size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128 has mean </w:t>
      </w:r>
      <w:r>
        <w:rPr>
          <w:rFonts w:ascii="MathJax_Math" w:eastAsia="Times New Roman" w:hAnsi="MathJax_Math" w:cs="Times New Roman"/>
          <w:i/>
          <w:iCs/>
          <w:color w:val="333333"/>
          <w:sz w:val="15"/>
          <w:szCs w:val="15"/>
        </w:rPr>
        <w:t>x</w:t>
      </w:r>
      <w:r>
        <w:rPr>
          <w:rFonts w:ascii="Times New Roman" w:eastAsia="Times New Roman" w:hAnsi="Times New Roman" w:cs="Times New Roman"/>
          <w:i/>
          <w:iCs/>
          <w:color w:val="333333"/>
          <w:sz w:val="15"/>
          <w:szCs w:val="15"/>
        </w:rPr>
        <w:t>^</w:t>
      </w:r>
      <w:r>
        <w:rPr>
          <w:rFonts w:ascii="MathJax_Main" w:eastAsia="Times New Roman" w:hAnsi="MathJax_Main" w:cs="Times New Roman"/>
          <w:color w:val="333333"/>
          <w:sz w:val="15"/>
          <w:szCs w:val="15"/>
        </w:rPr>
        <w:t>−=2</w:t>
      </w:r>
      <w:r>
        <w:rPr>
          <w:rFonts w:ascii="Calibri" w:eastAsia="Times New Roman" w:hAnsi="Calibri" w:cs="Times New Roman"/>
          <w:color w:val="333333"/>
          <w:sz w:val="20"/>
          <w:szCs w:val="20"/>
        </w:rPr>
        <w:t>and standard deviation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1.1. Find the approximate number of observations in the data set that lie:</w:t>
      </w:r>
    </w:p>
    <w:p w:rsidR="00AD77BB" w:rsidRDefault="00B45BA0">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below −0.2;</w:t>
      </w:r>
    </w:p>
    <w:p w:rsidR="00AD77BB" w:rsidRDefault="00B45BA0">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below 3.1;</w:t>
      </w:r>
    </w:p>
    <w:p w:rsidR="00AD77BB" w:rsidRDefault="00B45BA0">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between −1.3 and 0.9.</w:t>
      </w:r>
    </w:p>
    <w:p w:rsidR="00AD77BB" w:rsidRDefault="00B45BA0">
      <w:pPr>
        <w:numPr>
          <w:ilvl w:val="0"/>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sample data set has mean </w:t>
      </w:r>
      <w:r>
        <w:rPr>
          <w:rFonts w:ascii="MathJax_Math" w:eastAsia="Times New Roman" w:hAnsi="MathJax_Math" w:cs="Times New Roman"/>
          <w:i/>
          <w:iCs/>
          <w:color w:val="333333"/>
          <w:sz w:val="15"/>
          <w:szCs w:val="15"/>
        </w:rPr>
        <w:t>x</w:t>
      </w:r>
      <w:r>
        <w:rPr>
          <w:rFonts w:ascii="Times New Roman" w:eastAsia="Times New Roman" w:hAnsi="Times New Roman" w:cs="Times New Roman"/>
          <w:i/>
          <w:iCs/>
          <w:color w:val="333333"/>
          <w:sz w:val="15"/>
          <w:szCs w:val="15"/>
        </w:rPr>
        <w:t>^</w:t>
      </w:r>
      <w:r>
        <w:rPr>
          <w:rFonts w:ascii="MathJax_Main" w:eastAsia="Times New Roman" w:hAnsi="MathJax_Main" w:cs="Times New Roman"/>
          <w:color w:val="333333"/>
          <w:sz w:val="15"/>
          <w:szCs w:val="15"/>
        </w:rPr>
        <w:t>−=6</w:t>
      </w:r>
      <w:r>
        <w:rPr>
          <w:rFonts w:ascii="Calibri" w:eastAsia="Times New Roman" w:hAnsi="Calibri" w:cs="Times New Roman"/>
          <w:color w:val="333333"/>
          <w:sz w:val="20"/>
          <w:szCs w:val="20"/>
        </w:rPr>
        <w:t> and standard deviation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2. Find the minimum proportion of observations in the data set that must lie:</w:t>
      </w:r>
    </w:p>
    <w:p w:rsidR="00AD77BB" w:rsidRDefault="00B45BA0">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between 2 and 10;</w:t>
      </w:r>
    </w:p>
    <w:p w:rsidR="00AD77BB" w:rsidRDefault="00B45BA0">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between 0 and 12;</w:t>
      </w:r>
    </w:p>
    <w:p w:rsidR="00AD77BB" w:rsidRDefault="00B45BA0">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between 4 and 8.</w:t>
      </w:r>
    </w:p>
    <w:p w:rsidR="00AD77BB" w:rsidRDefault="00B45BA0">
      <w:pPr>
        <w:numPr>
          <w:ilvl w:val="0"/>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population data set has mean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 = 2 and standard deviation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 1.1. Find the minimum proportion of observations in the data set that must lie:</w:t>
      </w:r>
    </w:p>
    <w:p w:rsidR="00AD77BB" w:rsidRDefault="00B45BA0">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between −0.2 and 4.2;</w:t>
      </w:r>
    </w:p>
    <w:p w:rsidR="00AD77BB" w:rsidRDefault="00B45BA0">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between −1.3 and 5.3.</w:t>
      </w:r>
    </w:p>
    <w:p w:rsidR="00AD77BB" w:rsidRDefault="00B45BA0">
      <w:pPr>
        <w:numPr>
          <w:ilvl w:val="0"/>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population data set of size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500 has mean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 = 5.2 and standard deviation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 1.1. Find the minimum number of observations in the data set that must lie:</w:t>
      </w:r>
    </w:p>
    <w:p w:rsidR="00AD77BB" w:rsidRDefault="00B45BA0">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between 3 and 7.4;</w:t>
      </w:r>
    </w:p>
    <w:p w:rsidR="00AD77BB" w:rsidRDefault="00B45BA0">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between 1.9 and 8.5.</w:t>
      </w:r>
    </w:p>
    <w:p w:rsidR="00AD77BB" w:rsidRDefault="00B45BA0">
      <w:pPr>
        <w:numPr>
          <w:ilvl w:val="0"/>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sample data set of size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128 has mean </w:t>
      </w:r>
      <w:r>
        <w:rPr>
          <w:rFonts w:ascii="MathJax_Math" w:eastAsia="Times New Roman" w:hAnsi="MathJax_Math" w:cs="Times New Roman"/>
          <w:i/>
          <w:iCs/>
          <w:color w:val="333333"/>
          <w:sz w:val="15"/>
          <w:szCs w:val="15"/>
        </w:rPr>
        <w:t>x</w:t>
      </w:r>
      <w:r>
        <w:rPr>
          <w:rFonts w:ascii="Times New Roman" w:eastAsia="Times New Roman" w:hAnsi="Times New Roman" w:cs="Times New Roman"/>
          <w:i/>
          <w:iCs/>
          <w:color w:val="333333"/>
          <w:sz w:val="15"/>
          <w:szCs w:val="15"/>
        </w:rPr>
        <w:t>^</w:t>
      </w:r>
      <w:r>
        <w:rPr>
          <w:rFonts w:ascii="MathJax_Main" w:eastAsia="Times New Roman" w:hAnsi="MathJax_Main" w:cs="Times New Roman"/>
          <w:color w:val="333333"/>
          <w:sz w:val="15"/>
          <w:szCs w:val="15"/>
        </w:rPr>
        <w:t>−=2</w:t>
      </w:r>
      <w:r>
        <w:rPr>
          <w:rFonts w:ascii="Calibri" w:eastAsia="Times New Roman" w:hAnsi="Calibri" w:cs="Times New Roman"/>
          <w:color w:val="333333"/>
          <w:sz w:val="20"/>
          <w:szCs w:val="20"/>
        </w:rPr>
        <w:t> and standard deviation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2. Find the minimum number of observations in the data set that must lie:</w:t>
      </w:r>
    </w:p>
    <w:p w:rsidR="00AD77BB" w:rsidRDefault="00B45BA0">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between −2 and 6 (including −2 and 6);</w:t>
      </w:r>
    </w:p>
    <w:p w:rsidR="00AD77BB" w:rsidRDefault="00B45BA0">
      <w:pPr>
        <w:numPr>
          <w:ilvl w:val="1"/>
          <w:numId w:val="4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between −4 and 8 (including −4 and 8).</w:t>
      </w:r>
    </w:p>
    <w:p w:rsidR="00AD77BB" w:rsidRDefault="00B45BA0">
      <w:pPr>
        <w:numPr>
          <w:ilvl w:val="0"/>
          <w:numId w:val="4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sample data set of size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30 has mean </w:t>
      </w:r>
      <w:r>
        <w:rPr>
          <w:rFonts w:ascii="MathJax_Math" w:eastAsia="Times New Roman" w:hAnsi="MathJax_Math" w:cs="Times New Roman"/>
          <w:i/>
          <w:iCs/>
          <w:color w:val="333333"/>
          <w:sz w:val="15"/>
          <w:szCs w:val="15"/>
        </w:rPr>
        <w:t>x</w:t>
      </w:r>
      <w:r>
        <w:rPr>
          <w:rFonts w:ascii="Times New Roman" w:eastAsia="Times New Roman" w:hAnsi="Times New Roman" w:cs="Times New Roman"/>
          <w:i/>
          <w:iCs/>
          <w:color w:val="333333"/>
          <w:sz w:val="15"/>
          <w:szCs w:val="15"/>
        </w:rPr>
        <w:t>^</w:t>
      </w:r>
      <w:r>
        <w:rPr>
          <w:rFonts w:ascii="MathJax_Main" w:eastAsia="Times New Roman" w:hAnsi="MathJax_Main" w:cs="Times New Roman"/>
          <w:color w:val="333333"/>
          <w:sz w:val="15"/>
          <w:szCs w:val="15"/>
        </w:rPr>
        <w:t>−=6</w:t>
      </w:r>
      <w:r>
        <w:rPr>
          <w:rFonts w:ascii="Calibri" w:eastAsia="Times New Roman" w:hAnsi="Calibri" w:cs="Times New Roman"/>
          <w:color w:val="333333"/>
          <w:sz w:val="20"/>
          <w:szCs w:val="20"/>
        </w:rPr>
        <w:t> and standard deviation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2.</w:t>
      </w:r>
    </w:p>
    <w:p w:rsidR="00AD77BB" w:rsidRDefault="00B45BA0">
      <w:pPr>
        <w:numPr>
          <w:ilvl w:val="1"/>
          <w:numId w:val="4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is the maximum proportion of observations in the data set that can lie outside the interval (2,10)?</w:t>
      </w:r>
    </w:p>
    <w:p w:rsidR="00AD77BB" w:rsidRDefault="00B45BA0">
      <w:pPr>
        <w:numPr>
          <w:ilvl w:val="1"/>
          <w:numId w:val="4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can be said about the proportion of observations in the data set that are below 2?</w:t>
      </w:r>
    </w:p>
    <w:p w:rsidR="00AD77BB" w:rsidRDefault="00B45BA0">
      <w:pPr>
        <w:numPr>
          <w:ilvl w:val="1"/>
          <w:numId w:val="4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What can be said about the proportion of observations in the data set that are above 10?</w:t>
      </w:r>
    </w:p>
    <w:p w:rsidR="00AD77BB" w:rsidRDefault="00B45BA0">
      <w:pPr>
        <w:numPr>
          <w:ilvl w:val="1"/>
          <w:numId w:val="4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can be said about the number of observations in the data set that are above 10?</w:t>
      </w:r>
    </w:p>
    <w:p w:rsidR="00AD77BB" w:rsidRDefault="00B45BA0">
      <w:pPr>
        <w:numPr>
          <w:ilvl w:val="0"/>
          <w:numId w:val="4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population data set has mean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 = 2 and standard deviation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 1.1.</w:t>
      </w:r>
    </w:p>
    <w:p w:rsidR="00AD77BB" w:rsidRDefault="00B45BA0">
      <w:pPr>
        <w:numPr>
          <w:ilvl w:val="1"/>
          <w:numId w:val="4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is the maximum proportion of observations in the data set that can lie outside the interval </w:t>
      </w:r>
      <w:r>
        <w:rPr>
          <w:rFonts w:ascii="MathJax_Main" w:eastAsia="Times New Roman" w:hAnsi="MathJax_Main" w:cs="Times New Roman"/>
          <w:color w:val="333333"/>
          <w:sz w:val="15"/>
          <w:szCs w:val="15"/>
        </w:rPr>
        <w:t>(−1.3,5.3)</w:t>
      </w:r>
      <w:r>
        <w:rPr>
          <w:rFonts w:ascii="Calibri" w:eastAsia="Times New Roman" w:hAnsi="Calibri" w:cs="Times New Roman"/>
          <w:color w:val="333333"/>
          <w:sz w:val="20"/>
          <w:szCs w:val="20"/>
        </w:rPr>
        <w:t>?</w:t>
      </w:r>
    </w:p>
    <w:p w:rsidR="00AD77BB" w:rsidRDefault="00B45BA0">
      <w:pPr>
        <w:numPr>
          <w:ilvl w:val="1"/>
          <w:numId w:val="4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can be said about the proportion of observations in the data set that are below −1.3?</w:t>
      </w:r>
    </w:p>
    <w:p w:rsidR="00AD77BB" w:rsidRDefault="00B45BA0">
      <w:pPr>
        <w:numPr>
          <w:ilvl w:val="1"/>
          <w:numId w:val="4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can be said about the proportion of observations in the data set that are above 5.3?</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APPLICATIONS</w:t>
      </w:r>
    </w:p>
    <w:p w:rsidR="00AD77BB" w:rsidRDefault="00B45BA0">
      <w:pPr>
        <w:numPr>
          <w:ilvl w:val="0"/>
          <w:numId w:val="42"/>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Scores on a final exam taken by 1,200 students have a bell-shaped distribution with mean 72 and standard deviation 9.</w:t>
      </w:r>
    </w:p>
    <w:p w:rsidR="00AD77BB" w:rsidRDefault="00B45BA0">
      <w:pPr>
        <w:numPr>
          <w:ilvl w:val="1"/>
          <w:numId w:val="42"/>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is the median score on the exam?</w:t>
      </w:r>
    </w:p>
    <w:p w:rsidR="00AD77BB" w:rsidRDefault="00B45BA0">
      <w:pPr>
        <w:numPr>
          <w:ilvl w:val="1"/>
          <w:numId w:val="42"/>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About how many students scored between 63 and 81?</w:t>
      </w:r>
    </w:p>
    <w:p w:rsidR="00AD77BB" w:rsidRDefault="00B45BA0">
      <w:pPr>
        <w:numPr>
          <w:ilvl w:val="1"/>
          <w:numId w:val="42"/>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About how many students scored between 72 and 90?</w:t>
      </w:r>
    </w:p>
    <w:p w:rsidR="00AD77BB" w:rsidRDefault="00B45BA0">
      <w:pPr>
        <w:numPr>
          <w:ilvl w:val="1"/>
          <w:numId w:val="42"/>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About how many students scored below 54?</w:t>
      </w:r>
    </w:p>
    <w:p w:rsidR="00AD77BB" w:rsidRDefault="00B45BA0">
      <w:pPr>
        <w:numPr>
          <w:ilvl w:val="0"/>
          <w:numId w:val="42"/>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Lengths of fish caught by a commercial fishing boat have a bell-shaped distribution with mean 23 inches and standard deviation 1.5 inches.</w:t>
      </w:r>
    </w:p>
    <w:p w:rsidR="00AD77BB" w:rsidRDefault="00B45BA0">
      <w:pPr>
        <w:numPr>
          <w:ilvl w:val="1"/>
          <w:numId w:val="42"/>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About what proportion of all fish caught are between 20 inches and 26 inches long?</w:t>
      </w:r>
    </w:p>
    <w:p w:rsidR="00AD77BB" w:rsidRDefault="00B45BA0">
      <w:pPr>
        <w:numPr>
          <w:ilvl w:val="1"/>
          <w:numId w:val="42"/>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About what proportion of all fish caught are between 20 inches and 23 inches long?</w:t>
      </w:r>
    </w:p>
    <w:p w:rsidR="00AD77BB" w:rsidRDefault="00B45BA0">
      <w:pPr>
        <w:numPr>
          <w:ilvl w:val="1"/>
          <w:numId w:val="42"/>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About how long is the longest fish caught (only a small fraction of a percent are longer)?</w:t>
      </w:r>
    </w:p>
    <w:p w:rsidR="00AD77BB" w:rsidRDefault="00B45BA0">
      <w:pPr>
        <w:numPr>
          <w:ilvl w:val="0"/>
          <w:numId w:val="42"/>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Hockey pucks used in professional hockey games must weigh between 5.5 and 6 ounces. If the weight of pucks manufactured by a particular process is bell-shaped, has mean 5.75 ounces and standard deviation 0.125 ounce, what proportion of the pucks will be usable in professional games?</w:t>
      </w:r>
    </w:p>
    <w:p w:rsidR="00AD77BB" w:rsidRDefault="00B45BA0">
      <w:pPr>
        <w:numPr>
          <w:ilvl w:val="0"/>
          <w:numId w:val="42"/>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Hockey pucks used in professional hockey games must weigh between 5.5 and 6 ounces. If the weight of pucks manufactured by a particular process is bell-shaped and has mean 5.75 ounces, how large can the standard deviation be if 99.7% of the pucks are to be usable in professional games?</w:t>
      </w:r>
    </w:p>
    <w:p w:rsidR="00AD77BB" w:rsidRDefault="00B45BA0">
      <w:pPr>
        <w:numPr>
          <w:ilvl w:val="0"/>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Speeds of vehicles on a section of highway have a bell-shaped distribution with mean 60 mph and standard deviation 2.5 mph.</w:t>
      </w:r>
    </w:p>
    <w:p w:rsidR="00AD77BB" w:rsidRDefault="00B45BA0">
      <w:pPr>
        <w:numPr>
          <w:ilvl w:val="1"/>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 the speed limit is 55 mph, about what proportion of vehicles are speeding?</w:t>
      </w:r>
    </w:p>
    <w:p w:rsidR="00AD77BB" w:rsidRDefault="00B45BA0">
      <w:pPr>
        <w:numPr>
          <w:ilvl w:val="1"/>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is the median speed for vehicles on this highway?</w:t>
      </w:r>
    </w:p>
    <w:p w:rsidR="00AD77BB" w:rsidRDefault="00B45BA0">
      <w:pPr>
        <w:numPr>
          <w:ilvl w:val="1"/>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What is the percentile rank of the speed 65 mph?</w:t>
      </w:r>
    </w:p>
    <w:p w:rsidR="00AD77BB" w:rsidRDefault="00B45BA0">
      <w:pPr>
        <w:numPr>
          <w:ilvl w:val="1"/>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speed corresponds to the 16th percentile?</w:t>
      </w:r>
    </w:p>
    <w:p w:rsidR="00AD77BB" w:rsidRDefault="00B45BA0">
      <w:pPr>
        <w:numPr>
          <w:ilvl w:val="0"/>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Suppose that, as in the previous exercise, speeds of vehicles on a section of highway have mean 60 mph and standard deviation 2.5 mph, but now the distribution of speeds is unknown.</w:t>
      </w:r>
    </w:p>
    <w:p w:rsidR="00AD77BB" w:rsidRDefault="00B45BA0">
      <w:pPr>
        <w:numPr>
          <w:ilvl w:val="1"/>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 the speed limit is 55 mph, at least what proportion of vehicles must speeding?</w:t>
      </w:r>
    </w:p>
    <w:p w:rsidR="00AD77BB" w:rsidRDefault="00B45BA0">
      <w:pPr>
        <w:numPr>
          <w:ilvl w:val="1"/>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can be said about the proportion of vehicles going 65 mph or faster?</w:t>
      </w:r>
    </w:p>
    <w:p w:rsidR="00AD77BB" w:rsidRDefault="00B45BA0">
      <w:pPr>
        <w:numPr>
          <w:ilvl w:val="0"/>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instructor announces to the class that the scores on a recent exam had a bell-shaped distribution with mean 75 and standard deviation 5.</w:t>
      </w:r>
    </w:p>
    <w:p w:rsidR="00AD77BB" w:rsidRDefault="00B45BA0">
      <w:pPr>
        <w:numPr>
          <w:ilvl w:val="1"/>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is the median score?</w:t>
      </w:r>
    </w:p>
    <w:p w:rsidR="00AD77BB" w:rsidRDefault="00B45BA0">
      <w:pPr>
        <w:numPr>
          <w:ilvl w:val="1"/>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Approximately what proportion of students in the class scored between 70 and 80?</w:t>
      </w:r>
    </w:p>
    <w:p w:rsidR="00AD77BB" w:rsidRDefault="00B45BA0">
      <w:pPr>
        <w:numPr>
          <w:ilvl w:val="1"/>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Approximately what proportion of students in the class scored above 85?</w:t>
      </w:r>
    </w:p>
    <w:p w:rsidR="00AD77BB" w:rsidRDefault="00B45BA0">
      <w:pPr>
        <w:numPr>
          <w:ilvl w:val="1"/>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is the percentile rank of the score 85?</w:t>
      </w:r>
    </w:p>
    <w:p w:rsidR="00AD77BB" w:rsidRDefault="00B45BA0">
      <w:pPr>
        <w:numPr>
          <w:ilvl w:val="0"/>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GPAs of all currently registered students at a large university have a bell-shaped distribution with mean 2.7 and standard deviation 0.6. Students with a GPA below 1.5 are placed on academic probation. Approximately what percentage of currently registered students at the university are on academic probation?</w:t>
      </w:r>
    </w:p>
    <w:p w:rsidR="00AD77BB" w:rsidRDefault="00B45BA0">
      <w:pPr>
        <w:numPr>
          <w:ilvl w:val="0"/>
          <w:numId w:val="4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Thirty-six students took an exam on which the average was 80 and the standard deviation was 6. A rumor says that five students had scores 61 or below. Can the rumor be true? Why or why not?</w:t>
      </w:r>
    </w:p>
    <w:p w:rsidR="00AD77BB" w:rsidRDefault="00B45BA0">
      <w:pPr>
        <w:shd w:val="clear" w:color="auto" w:fill="FFFFFF" w:themeFill="background1"/>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147CEFD" wp14:editId="7ADCA06A">
            <wp:extent cx="5943600" cy="6600825"/>
            <wp:effectExtent l="0" t="0" r="0" b="9525"/>
            <wp:docPr id="6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6600825"/>
                    </a:xfrm>
                    <a:prstGeom prst="rect">
                      <a:avLst/>
                    </a:prstGeom>
                    <a:noFill/>
                    <a:ln>
                      <a:noFill/>
                    </a:ln>
                  </pic:spPr>
                </pic:pic>
              </a:graphicData>
            </a:graphic>
          </wp:inline>
        </w:drawing>
      </w:r>
    </w:p>
    <w:p w:rsidR="00AD77BB" w:rsidRDefault="00B45BA0">
      <w:pPr>
        <w:shd w:val="clear" w:color="auto" w:fill="FFFFFF" w:themeFill="background1"/>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D0300E9" wp14:editId="7746D4F7">
            <wp:extent cx="5981700" cy="3248025"/>
            <wp:effectExtent l="0" t="0" r="0" b="9525"/>
            <wp:docPr id="7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81700" cy="3248025"/>
                    </a:xfrm>
                    <a:prstGeom prst="rect">
                      <a:avLst/>
                    </a:prstGeom>
                    <a:noFill/>
                    <a:ln>
                      <a:noFill/>
                    </a:ln>
                  </pic:spPr>
                </pic:pic>
              </a:graphicData>
            </a:graphic>
          </wp:inline>
        </w:drawing>
      </w:r>
    </w:p>
    <w:p w:rsidR="00AD77BB" w:rsidRDefault="00B45BA0">
      <w:pPr>
        <w:shd w:val="clear" w:color="auto" w:fill="FFFFFF" w:themeFill="background1"/>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364FE57" wp14:editId="047E3E21">
            <wp:extent cx="5857875" cy="7896225"/>
            <wp:effectExtent l="0" t="0" r="9525" b="9525"/>
            <wp:docPr id="7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57875" cy="7896225"/>
                    </a:xfrm>
                    <a:prstGeom prst="rect">
                      <a:avLst/>
                    </a:prstGeom>
                    <a:noFill/>
                    <a:ln>
                      <a:noFill/>
                    </a:ln>
                  </pic:spPr>
                </pic:pic>
              </a:graphicData>
            </a:graphic>
          </wp:inline>
        </w:drawing>
      </w:r>
    </w:p>
    <w:p w:rsidR="00AD77BB" w:rsidRDefault="00B45BA0">
      <w:pPr>
        <w:shd w:val="clear" w:color="auto" w:fill="FFFFFF" w:themeFill="background1"/>
        <w:spacing w:line="360" w:lineRule="auto"/>
        <w:ind w:left="86"/>
        <w:textAlignment w:val="baseline"/>
        <w:rPr>
          <w:rStyle w:val="title-prefix"/>
        </w:rPr>
      </w:pPr>
      <w:r>
        <w:rPr>
          <w:rFonts w:ascii="Calibri" w:eastAsia="Times New Roman" w:hAnsi="Calibri" w:cs="Times New Roman"/>
          <w:noProof/>
          <w:color w:val="333333"/>
          <w:sz w:val="20"/>
          <w:szCs w:val="20"/>
        </w:rPr>
        <w:lastRenderedPageBreak/>
        <w:drawing>
          <wp:inline distT="0" distB="0" distL="0" distR="0" wp14:anchorId="7A222877" wp14:editId="0B774B14">
            <wp:extent cx="5848350" cy="7048500"/>
            <wp:effectExtent l="0" t="0" r="0" b="0"/>
            <wp:docPr id="7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48350" cy="7048500"/>
                    </a:xfrm>
                    <a:prstGeom prst="rect">
                      <a:avLst/>
                    </a:prstGeom>
                    <a:noFill/>
                    <a:ln>
                      <a:noFill/>
                    </a:ln>
                  </pic:spPr>
                </pic:pic>
              </a:graphicData>
            </a:graphic>
          </wp:inline>
        </w:drawing>
      </w:r>
    </w:p>
    <w:p w:rsidR="00AD77BB" w:rsidRDefault="00AD77BB">
      <w:pPr>
        <w:shd w:val="clear" w:color="auto" w:fill="FFFFFF" w:themeFill="background1"/>
        <w:spacing w:line="360" w:lineRule="auto"/>
        <w:ind w:left="86"/>
        <w:textAlignment w:val="baseline"/>
        <w:rPr>
          <w:rStyle w:val="title-prefix"/>
          <w:rFonts w:ascii="Calibri" w:eastAsia="Times New Roman" w:hAnsi="Calibri" w:cs="Times New Roman"/>
          <w:color w:val="333333"/>
          <w:sz w:val="20"/>
          <w:szCs w:val="20"/>
        </w:rPr>
      </w:pPr>
    </w:p>
    <w:p w:rsidR="00AD77BB" w:rsidRDefault="00B45BA0">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lastRenderedPageBreak/>
        <w:t>Chapter 3</w:t>
      </w:r>
    </w:p>
    <w:p w:rsidR="00AD77BB" w:rsidRDefault="00B45BA0">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Basic Concepts of Probability</w:t>
      </w:r>
    </w:p>
    <w:p w:rsidR="00AD77BB" w:rsidRDefault="00AD77BB"/>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Suppose a polling organization questions 1,200 voters in order to estimate the proportion of all voters who favor a particular bond issue. We would expect the proportion of the 1,200 voters in the survey who are in favor to be close to the proportion of all voters who are in favor, but this need not be true. There is a degree of randomness associated with the survey result. If the survey result is highly likely to be close to the true proportion, then we have confidence in the survey result. If it is not particularly likely to be close to the population proportion, then we would perhaps not take the survey result too seriously. The likelihood that the survey proportion is close to the population proportion determines our confidence in the survey result. For that reason, we would like to be able to compute that likelihood. The task of computing it belongs to the realm of probability, which we study in this chapter.</w:t>
      </w:r>
    </w:p>
    <w:p w:rsidR="00AD77BB" w:rsidRDefault="00AD77BB">
      <w:pPr>
        <w:shd w:val="clear" w:color="auto" w:fill="FFFFFF" w:themeFill="background1"/>
        <w:spacing w:line="360" w:lineRule="auto"/>
        <w:ind w:left="86"/>
        <w:textAlignment w:val="baseline"/>
        <w:rPr>
          <w:rFonts w:ascii="Calibri" w:eastAsia="Times New Roman" w:hAnsi="Calibri" w:cs="Times New Roman"/>
          <w:color w:val="333333"/>
          <w:sz w:val="20"/>
          <w:szCs w:val="20"/>
        </w:rPr>
      </w:pPr>
    </w:p>
    <w:p w:rsidR="00AD77BB" w:rsidRDefault="00B45B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3.1</w:t>
      </w:r>
      <w:r>
        <w:rPr>
          <w:rStyle w:val="apple-converted-space"/>
          <w:rFonts w:ascii="Calibri" w:hAnsi="Calibri"/>
          <w:color w:val="333333"/>
        </w:rPr>
        <w:t> </w:t>
      </w:r>
      <w:r>
        <w:rPr>
          <w:rFonts w:ascii="Calibri" w:hAnsi="Calibri"/>
          <w:color w:val="333333"/>
        </w:rPr>
        <w:t>Sample Spaces, Events, and Their Probabilities</w:t>
      </w:r>
    </w:p>
    <w:p w:rsidR="00AD77BB" w:rsidRDefault="00AD77BB"/>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AD77BB" w:rsidRDefault="00B45BA0">
      <w:pPr>
        <w:numPr>
          <w:ilvl w:val="0"/>
          <w:numId w:val="43"/>
        </w:numPr>
        <w:shd w:val="clear" w:color="auto" w:fill="EAE9DC"/>
        <w:spacing w:after="0" w:line="360" w:lineRule="auto"/>
        <w:ind w:left="360" w:right="374"/>
        <w:textAlignment w:val="baseline"/>
        <w:rPr>
          <w:rFonts w:ascii="Calibri" w:hAnsi="Calibri"/>
          <w:color w:val="333333"/>
          <w:sz w:val="20"/>
          <w:szCs w:val="20"/>
        </w:rPr>
      </w:pPr>
      <w:r>
        <w:rPr>
          <w:rFonts w:ascii="Calibri" w:hAnsi="Calibri"/>
          <w:color w:val="333333"/>
          <w:sz w:val="20"/>
          <w:szCs w:val="20"/>
        </w:rPr>
        <w:t>To learn the concept of the sample space associated with a random experiment.</w:t>
      </w:r>
    </w:p>
    <w:p w:rsidR="00AD77BB" w:rsidRDefault="00B45BA0">
      <w:pPr>
        <w:numPr>
          <w:ilvl w:val="0"/>
          <w:numId w:val="43"/>
        </w:numPr>
        <w:shd w:val="clear" w:color="auto" w:fill="EAE9DC"/>
        <w:spacing w:after="0" w:line="360" w:lineRule="auto"/>
        <w:ind w:left="360" w:right="374"/>
        <w:textAlignment w:val="baseline"/>
        <w:rPr>
          <w:rFonts w:ascii="Calibri" w:hAnsi="Calibri"/>
          <w:color w:val="333333"/>
          <w:sz w:val="20"/>
          <w:szCs w:val="20"/>
        </w:rPr>
      </w:pPr>
      <w:r>
        <w:rPr>
          <w:rFonts w:ascii="Calibri" w:hAnsi="Calibri"/>
          <w:color w:val="333333"/>
          <w:sz w:val="20"/>
          <w:szCs w:val="20"/>
        </w:rPr>
        <w:t>To learn the concept of an event associated with a random experiment.</w:t>
      </w:r>
    </w:p>
    <w:p w:rsidR="00AD77BB" w:rsidRDefault="00B45BA0">
      <w:pPr>
        <w:numPr>
          <w:ilvl w:val="0"/>
          <w:numId w:val="43"/>
        </w:numPr>
        <w:shd w:val="clear" w:color="auto" w:fill="EAE9DC"/>
        <w:spacing w:after="0" w:line="360" w:lineRule="auto"/>
        <w:ind w:left="360" w:right="374"/>
        <w:textAlignment w:val="baseline"/>
        <w:rPr>
          <w:rFonts w:ascii="Calibri" w:hAnsi="Calibri"/>
          <w:color w:val="333333"/>
          <w:sz w:val="20"/>
          <w:szCs w:val="20"/>
        </w:rPr>
      </w:pPr>
      <w:r>
        <w:rPr>
          <w:rFonts w:ascii="Calibri" w:hAnsi="Calibri"/>
          <w:color w:val="333333"/>
          <w:sz w:val="20"/>
          <w:szCs w:val="20"/>
        </w:rPr>
        <w:t>To learn the concept of the probability of an event.</w:t>
      </w:r>
    </w:p>
    <w:p w:rsidR="00AD77BB" w:rsidRDefault="00AD77BB">
      <w:pPr>
        <w:pStyle w:val="Heading2"/>
        <w:shd w:val="clear" w:color="auto" w:fill="FFFFFF"/>
        <w:spacing w:before="0" w:line="439" w:lineRule="atLeast"/>
        <w:textAlignment w:val="baseline"/>
        <w:rPr>
          <w:rFonts w:ascii="Calibri" w:hAnsi="Calibri"/>
          <w:color w:val="333333"/>
          <w:sz w:val="28"/>
          <w:szCs w:val="28"/>
        </w:rPr>
      </w:pPr>
    </w:p>
    <w:p w:rsidR="00AD77BB" w:rsidRDefault="00B45BA0">
      <w:pPr>
        <w:pStyle w:val="Heading2"/>
        <w:shd w:val="clear" w:color="auto" w:fill="FFFFFF"/>
        <w:spacing w:before="0" w:line="439" w:lineRule="atLeast"/>
        <w:textAlignment w:val="baseline"/>
        <w:rPr>
          <w:rFonts w:ascii="Calibri" w:hAnsi="Calibri"/>
          <w:color w:val="333333"/>
          <w:sz w:val="28"/>
          <w:szCs w:val="28"/>
        </w:rPr>
      </w:pPr>
      <w:r>
        <w:rPr>
          <w:rFonts w:ascii="Calibri" w:hAnsi="Calibri"/>
          <w:color w:val="333333"/>
          <w:sz w:val="28"/>
          <w:szCs w:val="28"/>
        </w:rPr>
        <w:t>Sample Spaces and Events</w:t>
      </w:r>
    </w:p>
    <w:p w:rsidR="00AD77BB" w:rsidRDefault="00AD77BB"/>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Rolling an ordinary six-sided die is a familiar example of a</w:t>
      </w:r>
      <w:r>
        <w:rPr>
          <w:rStyle w:val="apple-converted-space"/>
          <w:rFonts w:ascii="Georgia" w:hAnsi="Georgia"/>
          <w:color w:val="333333"/>
          <w:sz w:val="20"/>
          <w:szCs w:val="20"/>
        </w:rPr>
        <w:t> </w:t>
      </w:r>
      <w:r>
        <w:rPr>
          <w:rStyle w:val="Emphasis"/>
          <w:rFonts w:ascii="Georgia" w:hAnsi="Georgia"/>
          <w:color w:val="333333"/>
          <w:sz w:val="20"/>
          <w:szCs w:val="20"/>
        </w:rPr>
        <w:t>random experiment</w:t>
      </w:r>
      <w:r>
        <w:rPr>
          <w:rFonts w:ascii="Georgia" w:hAnsi="Georgia"/>
          <w:color w:val="333333"/>
          <w:sz w:val="20"/>
          <w:szCs w:val="20"/>
        </w:rPr>
        <w:t>, an action for which all possible outcomes can be listed, but for which the actual outcome on any given trial of the experiment cannot be predicted with certainty. In such a situation we wish to assign to each outcome, such as rolling a two, a number, called the</w:t>
      </w:r>
      <w:r>
        <w:rPr>
          <w:rStyle w:val="apple-converted-space"/>
          <w:rFonts w:ascii="Georgia" w:hAnsi="Georgia"/>
          <w:color w:val="333333"/>
          <w:sz w:val="20"/>
          <w:szCs w:val="20"/>
        </w:rPr>
        <w:t> </w:t>
      </w:r>
      <w:r>
        <w:rPr>
          <w:rStyle w:val="Emphasis"/>
          <w:rFonts w:ascii="Georgia" w:hAnsi="Georgia"/>
          <w:color w:val="333333"/>
          <w:sz w:val="20"/>
          <w:szCs w:val="20"/>
        </w:rPr>
        <w:t>probability</w:t>
      </w:r>
      <w:r>
        <w:rPr>
          <w:rStyle w:val="apple-converted-space"/>
          <w:rFonts w:ascii="Georgia" w:hAnsi="Georgia"/>
          <w:color w:val="333333"/>
          <w:sz w:val="20"/>
          <w:szCs w:val="20"/>
        </w:rPr>
        <w:t> </w:t>
      </w:r>
      <w:r>
        <w:rPr>
          <w:rFonts w:ascii="Georgia" w:hAnsi="Georgia"/>
          <w:color w:val="333333"/>
          <w:sz w:val="20"/>
          <w:szCs w:val="20"/>
        </w:rPr>
        <w:t>of the outcome, that indicates how likely it is that the outcome will occur. Similarly, we would like to assign a probability to any</w:t>
      </w:r>
      <w:r>
        <w:rPr>
          <w:rStyle w:val="apple-converted-space"/>
          <w:rFonts w:ascii="Georgia" w:hAnsi="Georgia"/>
          <w:color w:val="333333"/>
          <w:sz w:val="20"/>
          <w:szCs w:val="20"/>
        </w:rPr>
        <w:t> </w:t>
      </w:r>
      <w:r>
        <w:rPr>
          <w:rStyle w:val="Emphasis"/>
          <w:rFonts w:ascii="Georgia" w:hAnsi="Georgia"/>
          <w:color w:val="333333"/>
          <w:sz w:val="20"/>
          <w:szCs w:val="20"/>
        </w:rPr>
        <w:t>event</w:t>
      </w:r>
      <w:r>
        <w:rPr>
          <w:rFonts w:ascii="Georgia" w:hAnsi="Georgia"/>
          <w:color w:val="333333"/>
          <w:sz w:val="20"/>
          <w:szCs w:val="20"/>
        </w:rPr>
        <w:t>, or collection of outcomes, such as rolling an even number, which indicates how likely it is that the event will occur if the experiment is performed. This section provides a framework for discussing probability problems, using the terms just mentioned.</w:t>
      </w:r>
    </w:p>
    <w:p w:rsidR="00AD77BB" w:rsidRDefault="00AD77BB">
      <w:pPr>
        <w:shd w:val="clear" w:color="auto" w:fill="FFFFFF" w:themeFill="background1"/>
        <w:spacing w:line="360" w:lineRule="auto"/>
        <w:ind w:left="86"/>
        <w:textAlignment w:val="baseline"/>
        <w:rPr>
          <w:rFonts w:ascii="Calibri" w:eastAsia="Times New Roman" w:hAnsi="Calibri" w:cs="Times New Roman"/>
          <w:color w:val="333333"/>
          <w:sz w:val="20"/>
          <w:szCs w:val="20"/>
        </w:rPr>
      </w:pPr>
    </w:p>
    <w:p w:rsidR="00AD77BB" w:rsidRDefault="00B45BA0">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lastRenderedPageBreak/>
        <w:br/>
        <w:t>Definition</w:t>
      </w:r>
    </w:p>
    <w:p w:rsidR="00AD77BB" w:rsidRDefault="00B45BA0">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Style w:val="Emphasis"/>
          <w:rFonts w:ascii="Georgia" w:hAnsi="Georgia"/>
          <w:color w:val="333333"/>
          <w:sz w:val="20"/>
          <w:szCs w:val="20"/>
        </w:rPr>
        <w:t>A</w:t>
      </w:r>
      <w:r>
        <w:rPr>
          <w:rStyle w:val="apple-converted-space"/>
          <w:rFonts w:ascii="Georgia" w:hAnsi="Georgia"/>
          <w:color w:val="333333"/>
          <w:sz w:val="20"/>
          <w:szCs w:val="20"/>
        </w:rPr>
        <w:t> </w:t>
      </w:r>
      <w:r>
        <w:rPr>
          <w:rStyle w:val="Strong"/>
          <w:rFonts w:ascii="Georgia" w:eastAsiaTheme="majorEastAsia" w:hAnsi="Georgia"/>
          <w:color w:val="333333"/>
          <w:sz w:val="20"/>
          <w:szCs w:val="20"/>
        </w:rPr>
        <w:t>random experiment</w:t>
      </w:r>
      <w:r>
        <w:rPr>
          <w:rStyle w:val="apple-converted-space"/>
          <w:rFonts w:ascii="Georgia" w:hAnsi="Georgia"/>
          <w:color w:val="333333"/>
          <w:sz w:val="20"/>
          <w:szCs w:val="20"/>
        </w:rPr>
        <w:t> </w:t>
      </w:r>
      <w:r>
        <w:rPr>
          <w:rStyle w:val="Emphasis"/>
          <w:rFonts w:ascii="Georgia" w:hAnsi="Georgia"/>
          <w:color w:val="333333"/>
          <w:sz w:val="20"/>
          <w:szCs w:val="20"/>
        </w:rPr>
        <w:t>is a mechanism that produces a definite outcome that cannot be predicted with</w:t>
      </w:r>
      <w:r>
        <w:rPr>
          <w:rStyle w:val="apple-converted-space"/>
          <w:rFonts w:ascii="Georgia" w:hAnsi="Georgia"/>
          <w:i/>
          <w:iCs/>
          <w:color w:val="333333"/>
          <w:sz w:val="20"/>
          <w:szCs w:val="20"/>
        </w:rPr>
        <w:t> </w:t>
      </w:r>
      <w:r>
        <w:rPr>
          <w:rStyle w:val="Emphasis"/>
          <w:rFonts w:ascii="Georgia" w:hAnsi="Georgia"/>
          <w:color w:val="333333"/>
          <w:sz w:val="20"/>
          <w:szCs w:val="20"/>
        </w:rPr>
        <w:t>certainty. The</w:t>
      </w:r>
      <w:r>
        <w:rPr>
          <w:rStyle w:val="apple-converted-space"/>
          <w:rFonts w:ascii="Georgia" w:hAnsi="Georgia"/>
          <w:color w:val="333333"/>
          <w:sz w:val="20"/>
          <w:szCs w:val="20"/>
        </w:rPr>
        <w:t> </w:t>
      </w:r>
      <w:r>
        <w:rPr>
          <w:rStyle w:val="marginterm"/>
          <w:rFonts w:ascii="Georgia" w:hAnsi="Georgia"/>
          <w:color w:val="333333"/>
          <w:sz w:val="20"/>
          <w:szCs w:val="20"/>
        </w:rPr>
        <w:t>sample space</w:t>
      </w:r>
      <w:r>
        <w:rPr>
          <w:rStyle w:val="apple-converted-space"/>
          <w:rFonts w:ascii="Georgia" w:hAnsi="Georgia"/>
          <w:color w:val="333333"/>
          <w:sz w:val="20"/>
          <w:szCs w:val="20"/>
        </w:rPr>
        <w:t> </w:t>
      </w:r>
      <w:r>
        <w:rPr>
          <w:rStyle w:val="Emphasis"/>
          <w:rFonts w:ascii="Georgia" w:hAnsi="Georgia"/>
          <w:color w:val="333333"/>
          <w:sz w:val="20"/>
          <w:szCs w:val="20"/>
        </w:rPr>
        <w:t>associated with a random experiment is the set of all possible outcomes. An</w:t>
      </w:r>
      <w:r>
        <w:rPr>
          <w:rStyle w:val="apple-converted-space"/>
          <w:rFonts w:ascii="Georgia" w:hAnsi="Georgia"/>
          <w:color w:val="333333"/>
          <w:sz w:val="20"/>
          <w:szCs w:val="20"/>
        </w:rPr>
        <w:t> </w:t>
      </w:r>
      <w:r>
        <w:rPr>
          <w:rStyle w:val="marginterm"/>
          <w:rFonts w:ascii="Georgia" w:hAnsi="Georgia"/>
          <w:color w:val="333333"/>
          <w:sz w:val="20"/>
          <w:szCs w:val="20"/>
        </w:rPr>
        <w:t>event</w:t>
      </w:r>
      <w:r>
        <w:rPr>
          <w:rStyle w:val="apple-converted-space"/>
          <w:rFonts w:ascii="Georgia" w:hAnsi="Georgia"/>
          <w:color w:val="333333"/>
          <w:sz w:val="20"/>
          <w:szCs w:val="20"/>
        </w:rPr>
        <w:t> </w:t>
      </w:r>
      <w:r>
        <w:rPr>
          <w:rStyle w:val="Emphasis"/>
          <w:rFonts w:ascii="Georgia" w:hAnsi="Georgia"/>
          <w:color w:val="333333"/>
          <w:sz w:val="20"/>
          <w:szCs w:val="20"/>
        </w:rPr>
        <w:t>is a subset of the sample space.</w:t>
      </w:r>
    </w:p>
    <w:p w:rsidR="00AD77BB" w:rsidRDefault="00AD77BB">
      <w:pPr>
        <w:pStyle w:val="Heading3"/>
        <w:shd w:val="clear" w:color="auto" w:fill="F4F4F4"/>
        <w:spacing w:before="0" w:beforeAutospacing="0" w:after="0" w:afterAutospacing="0" w:line="264" w:lineRule="atLeast"/>
        <w:textAlignment w:val="baseline"/>
        <w:rPr>
          <w:rFonts w:ascii="Calibri" w:hAnsi="Calibri"/>
          <w:color w:val="333333"/>
          <w:sz w:val="30"/>
          <w:szCs w:val="30"/>
        </w:rPr>
      </w:pPr>
    </w:p>
    <w:p w:rsidR="00AD77BB" w:rsidRDefault="00B45BA0">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Definition</w:t>
      </w:r>
    </w:p>
    <w:p w:rsidR="00AD77BB" w:rsidRDefault="00B45BA0">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Style w:val="Emphasis"/>
          <w:rFonts w:ascii="Georgia" w:hAnsi="Georgia"/>
          <w:color w:val="333333"/>
          <w:sz w:val="20"/>
          <w:szCs w:val="20"/>
        </w:rPr>
        <w:t>An event</w:t>
      </w:r>
      <w:r>
        <w:rPr>
          <w:rStyle w:val="apple-converted-space"/>
          <w:rFonts w:ascii="Georgia" w:hAnsi="Georgia"/>
          <w:color w:val="333333"/>
          <w:sz w:val="20"/>
          <w:szCs w:val="20"/>
        </w:rPr>
        <w:t> </w:t>
      </w:r>
      <w:r>
        <w:rPr>
          <w:rStyle w:val="Emphasis"/>
          <w:rFonts w:ascii="Georgia" w:hAnsi="Georgia"/>
          <w:color w:val="333333"/>
          <w:sz w:val="20"/>
          <w:szCs w:val="20"/>
        </w:rPr>
        <w:t>E</w:t>
      </w:r>
      <w:r>
        <w:rPr>
          <w:rStyle w:val="apple-converted-space"/>
          <w:rFonts w:ascii="Georgia" w:hAnsi="Georgia"/>
          <w:color w:val="333333"/>
          <w:sz w:val="20"/>
          <w:szCs w:val="20"/>
        </w:rPr>
        <w:t> </w:t>
      </w:r>
      <w:r>
        <w:rPr>
          <w:rStyle w:val="Emphasis"/>
          <w:rFonts w:ascii="Georgia" w:hAnsi="Georgia"/>
          <w:color w:val="333333"/>
          <w:sz w:val="20"/>
          <w:szCs w:val="20"/>
        </w:rPr>
        <w:t>is said to</w:t>
      </w:r>
      <w:r>
        <w:rPr>
          <w:rStyle w:val="apple-converted-space"/>
          <w:rFonts w:ascii="Georgia" w:hAnsi="Georgia"/>
          <w:color w:val="333333"/>
          <w:sz w:val="20"/>
          <w:szCs w:val="20"/>
        </w:rPr>
        <w:t> </w:t>
      </w:r>
      <w:r>
        <w:rPr>
          <w:rStyle w:val="Strong"/>
          <w:rFonts w:ascii="Georgia" w:eastAsiaTheme="majorEastAsia" w:hAnsi="Georgia"/>
          <w:color w:val="333333"/>
          <w:sz w:val="20"/>
          <w:szCs w:val="20"/>
        </w:rPr>
        <w:t>occur</w:t>
      </w:r>
      <w:r>
        <w:rPr>
          <w:rStyle w:val="apple-converted-space"/>
          <w:rFonts w:ascii="Georgia" w:hAnsi="Georgia"/>
          <w:color w:val="333333"/>
          <w:sz w:val="20"/>
          <w:szCs w:val="20"/>
        </w:rPr>
        <w:t> </w:t>
      </w:r>
      <w:r>
        <w:rPr>
          <w:rStyle w:val="Emphasis"/>
          <w:rFonts w:ascii="Georgia" w:hAnsi="Georgia"/>
          <w:color w:val="333333"/>
          <w:sz w:val="20"/>
          <w:szCs w:val="20"/>
        </w:rPr>
        <w:t>on a particular trial of the experiment if the outcome observed is an element of the set</w:t>
      </w:r>
      <w:r>
        <w:rPr>
          <w:rStyle w:val="apple-converted-space"/>
          <w:rFonts w:ascii="Georgia" w:hAnsi="Georgia"/>
          <w:color w:val="333333"/>
          <w:sz w:val="20"/>
          <w:szCs w:val="20"/>
        </w:rPr>
        <w:t> </w:t>
      </w:r>
      <w:r>
        <w:rPr>
          <w:rStyle w:val="Emphasis"/>
          <w:rFonts w:ascii="Georgia" w:hAnsi="Georgia"/>
          <w:color w:val="333333"/>
          <w:sz w:val="20"/>
          <w:szCs w:val="20"/>
        </w:rPr>
        <w:t>E</w:t>
      </w:r>
      <w:r>
        <w:rPr>
          <w:rFonts w:ascii="Georgia" w:hAnsi="Georgia"/>
          <w:color w:val="333333"/>
          <w:sz w:val="20"/>
          <w:szCs w:val="20"/>
        </w:rPr>
        <w:t>.</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EXAMPLE 1</w:t>
      </w:r>
    </w:p>
    <w:p w:rsidR="00AD77BB" w:rsidRDefault="00B45BA0">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a sample space for the experiment that consists of tossing a single coin.</w:t>
      </w:r>
    </w:p>
    <w:p w:rsidR="00AD77BB" w:rsidRDefault="00B45BA0">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Solution:</w:t>
      </w:r>
    </w:p>
    <w:p w:rsidR="00AD77BB" w:rsidRDefault="00B45BA0">
      <w:p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outcomes could be labeled </w:t>
      </w:r>
      <w:r>
        <w:rPr>
          <w:rFonts w:ascii="Calibri" w:eastAsia="Times New Roman" w:hAnsi="Calibri" w:cs="Times New Roman"/>
          <w:i/>
          <w:iCs/>
          <w:color w:val="333333"/>
          <w:sz w:val="20"/>
          <w:szCs w:val="20"/>
        </w:rPr>
        <w:t>h</w:t>
      </w:r>
      <w:r>
        <w:rPr>
          <w:rFonts w:ascii="Calibri" w:eastAsia="Times New Roman" w:hAnsi="Calibri" w:cs="Times New Roman"/>
          <w:color w:val="333333"/>
          <w:sz w:val="20"/>
          <w:szCs w:val="20"/>
        </w:rPr>
        <w:t> for heads and </w:t>
      </w:r>
      <w:r>
        <w:rPr>
          <w:rFonts w:ascii="Calibri" w:eastAsia="Times New Roman" w:hAnsi="Calibri" w:cs="Times New Roman"/>
          <w:i/>
          <w:iCs/>
          <w:color w:val="333333"/>
          <w:sz w:val="20"/>
          <w:szCs w:val="20"/>
        </w:rPr>
        <w:t>t</w:t>
      </w:r>
      <w:r>
        <w:rPr>
          <w:rFonts w:ascii="Calibri" w:eastAsia="Times New Roman" w:hAnsi="Calibri" w:cs="Times New Roman"/>
          <w:color w:val="333333"/>
          <w:sz w:val="20"/>
          <w:szCs w:val="20"/>
        </w:rPr>
        <w:t> for tails. Then the sample space is the set </w:t>
      </w:r>
      <w:r>
        <w:rPr>
          <w:rFonts w:ascii="MathJax_Math" w:eastAsia="Times New Roman" w:hAnsi="MathJax_Math" w:cs="Times New Roman"/>
          <w:i/>
          <w:iCs/>
          <w:color w:val="333333"/>
          <w:sz w:val="15"/>
          <w:szCs w:val="15"/>
        </w:rPr>
        <w:t>S</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t</w:t>
      </w:r>
      <w:r>
        <w:rPr>
          <w:rFonts w:ascii="MathJax_Main" w:eastAsia="Times New Roman" w:hAnsi="MathJax_Main" w:cs="Times New Roman"/>
          <w:color w:val="333333"/>
          <w:sz w:val="15"/>
          <w:szCs w:val="15"/>
        </w:rPr>
        <w:t>}.</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EXAMPLE 2</w:t>
      </w:r>
    </w:p>
    <w:p w:rsidR="00AD77BB" w:rsidRDefault="00B45BA0">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a sample space for the experiment that consists of rolling a single die. Find the events that correspond to the phrases “an even number is rolled” and “a number greater than two is rolled.”</w:t>
      </w:r>
    </w:p>
    <w:p w:rsidR="00AD77BB" w:rsidRDefault="00B45BA0">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Solution:</w:t>
      </w:r>
    </w:p>
    <w:p w:rsidR="00AD77BB" w:rsidRDefault="00B45BA0">
      <w:pPr>
        <w:shd w:val="clear" w:color="auto" w:fill="E3EFF7"/>
        <w:spacing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outcomes could be labeled according to the number of dots on the top face of the die. Then the sample space is the set </w:t>
      </w:r>
      <w:r>
        <w:rPr>
          <w:rFonts w:ascii="MathJax_Math" w:eastAsia="Times New Roman" w:hAnsi="MathJax_Math" w:cs="Times New Roman"/>
          <w:b/>
          <w:i/>
          <w:iCs/>
          <w:color w:val="333333"/>
          <w:sz w:val="15"/>
          <w:szCs w:val="15"/>
        </w:rPr>
        <w:t>S</w:t>
      </w:r>
      <w:r>
        <w:rPr>
          <w:rFonts w:ascii="MathJax_Main" w:eastAsia="Times New Roman" w:hAnsi="MathJax_Main" w:cs="Times New Roman"/>
          <w:b/>
          <w:color w:val="333333"/>
          <w:sz w:val="15"/>
          <w:szCs w:val="15"/>
        </w:rPr>
        <w:t>={1,2,3,4,5,6}.</w:t>
      </w:r>
    </w:p>
    <w:p w:rsidR="00AD77BB" w:rsidRDefault="00B45BA0">
      <w:pPr>
        <w:shd w:val="clear" w:color="auto" w:fill="E3EFF7"/>
        <w:spacing w:line="439" w:lineRule="atLeast"/>
        <w:ind w:left="300" w:right="375"/>
        <w:textAlignment w:val="baseline"/>
        <w:rPr>
          <w:rFonts w:ascii="MathJax_Main" w:eastAsia="Times New Roman" w:hAnsi="MathJax_Main" w:cs="Times New Roman"/>
          <w:b/>
          <w:color w:val="333333"/>
          <w:sz w:val="15"/>
          <w:szCs w:val="15"/>
        </w:rPr>
      </w:pPr>
      <w:r>
        <w:rPr>
          <w:rFonts w:ascii="Calibri" w:eastAsia="Times New Roman" w:hAnsi="Calibri" w:cs="Times New Roman"/>
          <w:color w:val="333333"/>
          <w:sz w:val="20"/>
          <w:szCs w:val="20"/>
        </w:rPr>
        <w:t>The outcomes that are even are 2, 4, and 6, so the event that corresponds to the phrase “an even number is rolled” is the set {2,4,6}, which it is natural to denote by the letter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We write </w:t>
      </w:r>
      <w:r>
        <w:rPr>
          <w:rFonts w:ascii="MathJax_Math" w:eastAsia="Times New Roman" w:hAnsi="MathJax_Math" w:cs="Times New Roman"/>
          <w:b/>
          <w:i/>
          <w:iCs/>
          <w:color w:val="333333"/>
          <w:sz w:val="15"/>
          <w:szCs w:val="15"/>
        </w:rPr>
        <w:t>E</w:t>
      </w:r>
      <w:r>
        <w:rPr>
          <w:rFonts w:ascii="MathJax_Main" w:eastAsia="Times New Roman" w:hAnsi="MathJax_Main" w:cs="Times New Roman"/>
          <w:b/>
          <w:color w:val="333333"/>
          <w:sz w:val="15"/>
          <w:szCs w:val="15"/>
        </w:rPr>
        <w:t>={2,4,6}.</w:t>
      </w:r>
    </w:p>
    <w:p w:rsidR="00AD77BB" w:rsidRDefault="00B45BA0">
      <w:pPr>
        <w:shd w:val="clear" w:color="auto" w:fill="E3EFF7"/>
        <w:spacing w:line="439" w:lineRule="atLeast"/>
        <w:ind w:left="300" w:right="375"/>
        <w:textAlignment w:val="baseline"/>
        <w:rPr>
          <w:rFonts w:ascii="Calibri" w:hAnsi="Calibri"/>
          <w:color w:val="333333"/>
          <w:sz w:val="20"/>
          <w:szCs w:val="20"/>
          <w:shd w:val="clear" w:color="auto" w:fill="E3EFF7"/>
        </w:rPr>
      </w:pPr>
      <w:r>
        <w:rPr>
          <w:rFonts w:ascii="Calibri" w:hAnsi="Calibri"/>
          <w:color w:val="333333"/>
          <w:sz w:val="20"/>
          <w:szCs w:val="20"/>
          <w:shd w:val="clear" w:color="auto" w:fill="E3EFF7"/>
        </w:rPr>
        <w:t>Similarly the event that corresponds to the phrase “a number greater than two is rolled” is the set</w:t>
      </w:r>
      <w:r>
        <w:rPr>
          <w:rStyle w:val="apple-converted-space"/>
          <w:rFonts w:ascii="Calibri" w:hAnsi="Calibri"/>
          <w:color w:val="333333"/>
          <w:sz w:val="20"/>
          <w:szCs w:val="20"/>
          <w:shd w:val="clear" w:color="auto" w:fill="E3EFF7"/>
        </w:rPr>
        <w:t> </w:t>
      </w:r>
      <w:r>
        <w:rPr>
          <w:rStyle w:val="mi"/>
          <w:rFonts w:ascii="MathJax_Math" w:hAnsi="MathJax_Math"/>
          <w:b/>
          <w:i/>
          <w:iCs/>
          <w:color w:val="333333"/>
          <w:sz w:val="15"/>
          <w:szCs w:val="15"/>
          <w:shd w:val="clear" w:color="auto" w:fill="E3EFF7"/>
        </w:rPr>
        <w:t>T</w:t>
      </w:r>
      <w:r>
        <w:rPr>
          <w:rStyle w:val="mo"/>
          <w:rFonts w:ascii="MathJax_Main" w:hAnsi="MathJax_Main"/>
          <w:b/>
          <w:color w:val="333333"/>
          <w:sz w:val="15"/>
          <w:szCs w:val="15"/>
          <w:shd w:val="clear" w:color="auto" w:fill="E3EFF7"/>
        </w:rPr>
        <w:t>={</w:t>
      </w:r>
      <w:r>
        <w:rPr>
          <w:rStyle w:val="mn"/>
          <w:rFonts w:ascii="MathJax_Main" w:hAnsi="MathJax_Main"/>
          <w:b/>
          <w:color w:val="333333"/>
          <w:sz w:val="15"/>
          <w:szCs w:val="15"/>
          <w:shd w:val="clear" w:color="auto" w:fill="E3EFF7"/>
        </w:rPr>
        <w:t>3,4,5,6</w:t>
      </w:r>
      <w:r>
        <w:rPr>
          <w:rStyle w:val="mo"/>
          <w:rFonts w:ascii="MathJax_Main" w:hAnsi="MathJax_Main"/>
          <w:b/>
          <w:color w:val="333333"/>
          <w:sz w:val="15"/>
          <w:szCs w:val="15"/>
          <w:shd w:val="clear" w:color="auto" w:fill="E3EFF7"/>
        </w:rPr>
        <w:t>}</w:t>
      </w:r>
      <w:r>
        <w:rPr>
          <w:rFonts w:ascii="Calibri" w:hAnsi="Calibri"/>
          <w:b/>
          <w:color w:val="333333"/>
          <w:sz w:val="20"/>
          <w:szCs w:val="20"/>
          <w:shd w:val="clear" w:color="auto" w:fill="E3EFF7"/>
        </w:rPr>
        <w:t>,</w:t>
      </w:r>
      <w:r>
        <w:rPr>
          <w:rFonts w:ascii="Calibri" w:hAnsi="Calibri"/>
          <w:color w:val="333333"/>
          <w:sz w:val="20"/>
          <w:szCs w:val="20"/>
          <w:shd w:val="clear" w:color="auto" w:fill="E3EFF7"/>
        </w:rPr>
        <w:t xml:space="preserve"> which we have denoted</w:t>
      </w:r>
      <w:r>
        <w:rPr>
          <w:rStyle w:val="apple-converted-space"/>
          <w:rFonts w:ascii="Calibri" w:hAnsi="Calibri"/>
          <w:color w:val="333333"/>
          <w:sz w:val="20"/>
          <w:szCs w:val="20"/>
          <w:shd w:val="clear" w:color="auto" w:fill="E3EFF7"/>
        </w:rPr>
        <w:t> </w:t>
      </w:r>
      <w:r>
        <w:rPr>
          <w:rStyle w:val="Emphasis"/>
          <w:rFonts w:ascii="Calibri" w:hAnsi="Calibri"/>
          <w:color w:val="333333"/>
          <w:sz w:val="20"/>
          <w:szCs w:val="20"/>
          <w:shd w:val="clear" w:color="auto" w:fill="E3EFF7"/>
        </w:rPr>
        <w:t>T</w:t>
      </w:r>
      <w:r>
        <w:rPr>
          <w:rFonts w:ascii="Calibri" w:hAnsi="Calibri"/>
          <w:color w:val="333333"/>
          <w:sz w:val="20"/>
          <w:szCs w:val="20"/>
          <w:shd w:val="clear" w:color="auto" w:fill="E3EFF7"/>
        </w:rPr>
        <w:t>.</w:t>
      </w:r>
    </w:p>
    <w:p w:rsidR="00AD77BB" w:rsidRDefault="00B45BA0">
      <w:pPr>
        <w:shd w:val="clear" w:color="auto" w:fill="FFFFFF" w:themeFill="background1"/>
        <w:spacing w:line="439" w:lineRule="atLeast"/>
        <w:ind w:left="300" w:right="375"/>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A graphical representation of a sample space and events is a</w:t>
      </w:r>
      <w:r>
        <w:rPr>
          <w:rStyle w:val="apple-converted-space"/>
          <w:rFonts w:ascii="Georgia" w:hAnsi="Georgia"/>
          <w:color w:val="333333"/>
          <w:sz w:val="20"/>
          <w:szCs w:val="20"/>
          <w:shd w:val="clear" w:color="auto" w:fill="FFFFFF"/>
        </w:rPr>
        <w:t> </w:t>
      </w:r>
      <w:r>
        <w:rPr>
          <w:rStyle w:val="Strong"/>
          <w:rFonts w:ascii="Georgia" w:hAnsi="Georgia"/>
          <w:color w:val="333333"/>
          <w:sz w:val="20"/>
          <w:szCs w:val="20"/>
          <w:shd w:val="clear" w:color="auto" w:fill="FFFFFF"/>
        </w:rPr>
        <w:t>Venn diagram</w:t>
      </w:r>
      <w:r>
        <w:rPr>
          <w:rFonts w:ascii="Georgia" w:hAnsi="Georgia"/>
          <w:color w:val="333333"/>
          <w:sz w:val="20"/>
          <w:szCs w:val="20"/>
          <w:shd w:val="clear" w:color="auto" w:fill="FFFFFF"/>
        </w:rPr>
        <w:t>, as shown in</w:t>
      </w:r>
      <w:r>
        <w:rPr>
          <w:rStyle w:val="apple-converted-space"/>
          <w:rFonts w:ascii="Georgia" w:hAnsi="Georgia"/>
          <w:color w:val="333333"/>
          <w:sz w:val="20"/>
          <w:szCs w:val="20"/>
          <w:shd w:val="clear" w:color="auto" w:fill="FFFFFF"/>
        </w:rPr>
        <w:t> </w:t>
      </w:r>
      <w:r>
        <w:rPr>
          <w:rFonts w:ascii="Georgia" w:hAnsi="Georgia"/>
          <w:color w:val="2689C6"/>
          <w:sz w:val="20"/>
          <w:szCs w:val="20"/>
          <w:shd w:val="clear" w:color="auto" w:fill="FFFFFF"/>
        </w:rPr>
        <w:t>Figure 3.1 "Venn Diagrams for Two Sample Spaces"</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for</w:t>
      </w:r>
      <w:r>
        <w:rPr>
          <w:rStyle w:val="apple-converted-space"/>
          <w:rFonts w:ascii="Georgia" w:hAnsi="Georgia"/>
          <w:color w:val="333333"/>
          <w:sz w:val="20"/>
          <w:szCs w:val="20"/>
          <w:shd w:val="clear" w:color="auto" w:fill="FFFFFF"/>
        </w:rPr>
        <w:t> </w:t>
      </w:r>
      <w:r>
        <w:rPr>
          <w:rFonts w:ascii="Georgia" w:hAnsi="Georgia"/>
          <w:color w:val="2689C6"/>
          <w:sz w:val="20"/>
          <w:szCs w:val="20"/>
          <w:shd w:val="clear" w:color="auto" w:fill="FFFFFF"/>
        </w:rPr>
        <w:t>Note 3.6 "Example 1"</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and</w:t>
      </w:r>
      <w:r>
        <w:rPr>
          <w:rStyle w:val="apple-converted-space"/>
          <w:rFonts w:ascii="Georgia" w:hAnsi="Georgia"/>
          <w:color w:val="333333"/>
          <w:sz w:val="20"/>
          <w:szCs w:val="20"/>
          <w:shd w:val="clear" w:color="auto" w:fill="FFFFFF"/>
        </w:rPr>
        <w:t> </w:t>
      </w:r>
      <w:r>
        <w:rPr>
          <w:rFonts w:ascii="Georgia" w:hAnsi="Georgia"/>
          <w:color w:val="2689C6"/>
          <w:sz w:val="20"/>
          <w:szCs w:val="20"/>
          <w:shd w:val="clear" w:color="auto" w:fill="FFFFFF"/>
        </w:rPr>
        <w:t>Note 3.7 "Example 2"</w:t>
      </w:r>
      <w:r>
        <w:rPr>
          <w:rFonts w:ascii="Georgia" w:hAnsi="Georgia"/>
          <w:color w:val="333333"/>
          <w:sz w:val="20"/>
          <w:szCs w:val="20"/>
          <w:shd w:val="clear" w:color="auto" w:fill="FFFFFF"/>
        </w:rPr>
        <w:t>. In general the sample space</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S</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is represented by a rectangle, outcomes by points within the rectangle, and events by ovals that enclose the outcomes that compose them.</w:t>
      </w: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lastRenderedPageBreak/>
        <w:t>ure 3.1</w:t>
      </w:r>
      <w:r>
        <w:rPr>
          <w:rFonts w:ascii="Georgia" w:eastAsia="Times New Roman" w:hAnsi="Georgia" w:cs="Times New Roman"/>
          <w:i/>
          <w:iCs/>
          <w:color w:val="BB9966"/>
          <w:sz w:val="19"/>
          <w:szCs w:val="19"/>
        </w:rPr>
        <w:t> Venn Diagrams for Two Sample Spaces</w:t>
      </w:r>
    </w:p>
    <w:p w:rsidR="00AD77BB" w:rsidRDefault="00B45BA0">
      <w:pPr>
        <w:shd w:val="clear" w:color="auto" w:fill="FFFFFF" w:themeFill="background1"/>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sz w:val="26"/>
          <w:szCs w:val="26"/>
          <w:shd w:val="clear" w:color="auto" w:fill="FFFFFF"/>
        </w:rPr>
        <w:drawing>
          <wp:inline distT="0" distB="0" distL="0" distR="0" wp14:anchorId="7A87FCAD" wp14:editId="4DF584D0">
            <wp:extent cx="5600700" cy="1685925"/>
            <wp:effectExtent l="0" t="0" r="0" b="9525"/>
            <wp:docPr id="73" name="Picture 79" descr="http://images.flatworldknowledge.com/shafer/shafer-fig0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images.flatworldknowledge.com/shafer/shafer-fig03_00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00700" cy="1685925"/>
                    </a:xfrm>
                    <a:prstGeom prst="rect">
                      <a:avLst/>
                    </a:prstGeom>
                    <a:noFill/>
                    <a:ln>
                      <a:noFill/>
                    </a:ln>
                  </pic:spPr>
                </pic:pic>
              </a:graphicData>
            </a:graphic>
          </wp:inline>
        </w:drawing>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EXAMPLE 3</w:t>
      </w:r>
    </w:p>
    <w:p w:rsidR="00AD77BB" w:rsidRDefault="00B45BA0">
      <w:pPr>
        <w:shd w:val="clear" w:color="auto" w:fill="DAEEF3" w:themeFill="accent5" w:themeFillTint="33"/>
        <w:spacing w:before="150" w:after="0" w:line="360" w:lineRule="auto"/>
        <w:ind w:left="300" w:right="374"/>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A random experiment consists of tossing two coins.</w:t>
      </w:r>
    </w:p>
    <w:p w:rsidR="00AD77BB" w:rsidRDefault="00B45BA0">
      <w:pPr>
        <w:numPr>
          <w:ilvl w:val="0"/>
          <w:numId w:val="44"/>
        </w:numPr>
        <w:shd w:val="clear" w:color="auto" w:fill="DAEEF3" w:themeFill="accent5" w:themeFillTint="33"/>
        <w:spacing w:after="0" w:line="360" w:lineRule="auto"/>
        <w:ind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a sample space for the situation that the coins are indistinguishable, such as two brand new pennies.</w:t>
      </w:r>
    </w:p>
    <w:p w:rsidR="00AD77BB" w:rsidRDefault="00B45BA0">
      <w:pPr>
        <w:numPr>
          <w:ilvl w:val="0"/>
          <w:numId w:val="44"/>
        </w:numPr>
        <w:shd w:val="clear" w:color="auto" w:fill="DAEEF3" w:themeFill="accent5" w:themeFillTint="33"/>
        <w:spacing w:after="0" w:line="360" w:lineRule="auto"/>
        <w:ind w:left="360" w:right="374"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a sample space for the situation that the coins are distinguishable, such as one a penny and the other a nickel.</w:t>
      </w:r>
    </w:p>
    <w:p w:rsidR="00AD77BB" w:rsidRDefault="00B45BA0">
      <w:pPr>
        <w:shd w:val="clear" w:color="auto" w:fill="DAEEF3" w:themeFill="accent5" w:themeFillTint="33"/>
        <w:spacing w:before="150" w:after="0" w:line="360" w:lineRule="auto"/>
        <w:ind w:left="300" w:right="374"/>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Solution:</w:t>
      </w:r>
    </w:p>
    <w:p w:rsidR="00AD77BB" w:rsidRDefault="00B45BA0">
      <w:pPr>
        <w:numPr>
          <w:ilvl w:val="0"/>
          <w:numId w:val="45"/>
        </w:numPr>
        <w:shd w:val="clear" w:color="auto" w:fill="DAEEF3" w:themeFill="accent5" w:themeFillTint="33"/>
        <w:spacing w:after="0" w:line="360" w:lineRule="auto"/>
        <w:ind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After the coins are tossed one sees either two heads, which could be labeled </w:t>
      </w:r>
      <w:r>
        <w:rPr>
          <w:rFonts w:ascii="MathJax_Main" w:eastAsia="Times New Roman" w:hAnsi="MathJax_Main" w:cs="Times New Roman"/>
          <w:b/>
          <w:color w:val="333333"/>
          <w:sz w:val="15"/>
          <w:szCs w:val="15"/>
        </w:rPr>
        <w:t>2</w:t>
      </w:r>
      <w:r>
        <w:rPr>
          <w:rFonts w:ascii="MathJax_Math" w:eastAsia="Times New Roman" w:hAnsi="MathJax_Math" w:cs="Times New Roman"/>
          <w:b/>
          <w:i/>
          <w:iCs/>
          <w:color w:val="333333"/>
          <w:sz w:val="15"/>
          <w:szCs w:val="15"/>
        </w:rPr>
        <w:t>h</w:t>
      </w:r>
      <w:r>
        <w:rPr>
          <w:rFonts w:ascii="Calibri" w:eastAsia="Times New Roman" w:hAnsi="Calibri" w:cs="Times New Roman"/>
          <w:color w:val="333333"/>
          <w:sz w:val="20"/>
          <w:szCs w:val="20"/>
        </w:rPr>
        <w:t>, two tails, which could be labeled </w:t>
      </w:r>
      <w:r>
        <w:rPr>
          <w:rFonts w:ascii="MathJax_Main" w:eastAsia="Times New Roman" w:hAnsi="MathJax_Main" w:cs="Times New Roman"/>
          <w:b/>
          <w:color w:val="333333"/>
          <w:sz w:val="15"/>
          <w:szCs w:val="15"/>
        </w:rPr>
        <w:t>2</w:t>
      </w:r>
      <w:r>
        <w:rPr>
          <w:rFonts w:ascii="MathJax_Math" w:eastAsia="Times New Roman" w:hAnsi="MathJax_Math" w:cs="Times New Roman"/>
          <w:b/>
          <w:i/>
          <w:iCs/>
          <w:color w:val="333333"/>
          <w:sz w:val="15"/>
          <w:szCs w:val="15"/>
        </w:rPr>
        <w:t>t</w:t>
      </w:r>
      <w:r>
        <w:rPr>
          <w:rFonts w:ascii="Calibri" w:eastAsia="Times New Roman" w:hAnsi="Calibri" w:cs="Times New Roman"/>
          <w:color w:val="333333"/>
          <w:sz w:val="20"/>
          <w:szCs w:val="20"/>
        </w:rPr>
        <w:t>, or coins that differ, which could be labeled </w:t>
      </w:r>
      <w:r>
        <w:rPr>
          <w:rFonts w:ascii="Calibri" w:eastAsia="Times New Roman" w:hAnsi="Calibri" w:cs="Times New Roman"/>
          <w:i/>
          <w:iCs/>
          <w:color w:val="333333"/>
          <w:sz w:val="20"/>
          <w:szCs w:val="20"/>
        </w:rPr>
        <w:t>d</w:t>
      </w:r>
      <w:r>
        <w:rPr>
          <w:rFonts w:ascii="Calibri" w:eastAsia="Times New Roman" w:hAnsi="Calibri" w:cs="Times New Roman"/>
          <w:color w:val="333333"/>
          <w:sz w:val="20"/>
          <w:szCs w:val="20"/>
        </w:rPr>
        <w:t>. Thus a sample space is </w:t>
      </w:r>
      <w:r>
        <w:rPr>
          <w:rFonts w:ascii="MathJax_Math" w:eastAsia="Times New Roman" w:hAnsi="MathJax_Math" w:cs="Times New Roman"/>
          <w:b/>
          <w:i/>
          <w:iCs/>
          <w:color w:val="333333"/>
          <w:sz w:val="15"/>
          <w:szCs w:val="15"/>
        </w:rPr>
        <w:t>S</w:t>
      </w:r>
      <w:r>
        <w:rPr>
          <w:rFonts w:ascii="MathJax_Main" w:eastAsia="Times New Roman" w:hAnsi="MathJax_Main" w:cs="Times New Roman"/>
          <w:b/>
          <w:color w:val="333333"/>
          <w:sz w:val="15"/>
          <w:szCs w:val="15"/>
        </w:rPr>
        <w:t>={2</w:t>
      </w:r>
      <w:r>
        <w:rPr>
          <w:rFonts w:ascii="MathJax_Math" w:eastAsia="Times New Roman" w:hAnsi="MathJax_Math" w:cs="Times New Roman"/>
          <w:b/>
          <w:i/>
          <w:iCs/>
          <w:color w:val="333333"/>
          <w:sz w:val="15"/>
          <w:szCs w:val="15"/>
        </w:rPr>
        <w:t>h</w:t>
      </w:r>
      <w:r>
        <w:rPr>
          <w:rFonts w:ascii="MathJax_Main" w:eastAsia="Times New Roman" w:hAnsi="MathJax_Main" w:cs="Times New Roman"/>
          <w:b/>
          <w:color w:val="333333"/>
          <w:sz w:val="15"/>
          <w:szCs w:val="15"/>
        </w:rPr>
        <w:t>,2</w:t>
      </w:r>
      <w:r>
        <w:rPr>
          <w:rFonts w:ascii="MathJax_Math" w:eastAsia="Times New Roman" w:hAnsi="MathJax_Math" w:cs="Times New Roman"/>
          <w:b/>
          <w:i/>
          <w:iCs/>
          <w:color w:val="333333"/>
          <w:sz w:val="15"/>
          <w:szCs w:val="15"/>
        </w:rPr>
        <w:t>t</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d</w:t>
      </w:r>
      <w:r>
        <w:rPr>
          <w:rFonts w:ascii="MathJax_Main" w:eastAsia="Times New Roman" w:hAnsi="MathJax_Main" w:cs="Times New Roman"/>
          <w:b/>
          <w:color w:val="333333"/>
          <w:sz w:val="15"/>
          <w:szCs w:val="15"/>
        </w:rPr>
        <w:t>}.</w:t>
      </w:r>
    </w:p>
    <w:p w:rsidR="00AD77BB" w:rsidRDefault="00B45BA0">
      <w:pPr>
        <w:numPr>
          <w:ilvl w:val="0"/>
          <w:numId w:val="45"/>
        </w:numPr>
        <w:shd w:val="clear" w:color="auto" w:fill="DAEEF3" w:themeFill="accent5" w:themeFillTint="33"/>
        <w:spacing w:after="0" w:line="360" w:lineRule="auto"/>
        <w:ind w:left="360" w:right="374"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Since we can tell the coins apart, there are now two ways for the coins to differ: the penny heads and the nickel tails, or the penny tails and the nickel heads. We can label each outcome as a pair of letters, the first of which indicates how the penny landed and the second of which indicates how the nickel landed. A sample space is then </w:t>
      </w:r>
      <w:r>
        <w:rPr>
          <w:rFonts w:ascii="MathJax_Math" w:eastAsia="Times New Roman" w:hAnsi="MathJax_Math" w:cs="Times New Roman"/>
          <w:b/>
          <w:i/>
          <w:iCs/>
          <w:color w:val="333333"/>
          <w:sz w:val="15"/>
          <w:szCs w:val="15"/>
        </w:rPr>
        <w:t>S</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hh</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ht</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th</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tt</w:t>
      </w:r>
      <w:r>
        <w:rPr>
          <w:rFonts w:ascii="MathJax_Main" w:eastAsia="Times New Roman" w:hAnsi="MathJax_Main" w:cs="Times New Roman"/>
          <w:b/>
          <w:color w:val="333333"/>
          <w:sz w:val="15"/>
          <w:szCs w:val="15"/>
        </w:rPr>
        <w:t>}.</w:t>
      </w:r>
    </w:p>
    <w:p w:rsidR="00AD77BB" w:rsidRDefault="00AD77BB">
      <w:pPr>
        <w:shd w:val="clear" w:color="auto" w:fill="FFFFFF" w:themeFill="background1"/>
        <w:spacing w:line="360" w:lineRule="auto"/>
        <w:ind w:left="86"/>
        <w:textAlignment w:val="baseline"/>
        <w:rPr>
          <w:rFonts w:ascii="Georgia" w:hAnsi="Georgia"/>
          <w:color w:val="333333"/>
          <w:sz w:val="20"/>
          <w:szCs w:val="20"/>
          <w:shd w:val="clear" w:color="auto" w:fill="FFFFFF"/>
        </w:rPr>
      </w:pPr>
    </w:p>
    <w:p w:rsidR="00AD77BB" w:rsidRDefault="00B45BA0">
      <w:pPr>
        <w:shd w:val="clear" w:color="auto" w:fill="FFFFFF" w:themeFill="background1"/>
        <w:spacing w:line="360" w:lineRule="auto"/>
        <w:ind w:left="86"/>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A device that can be helpful in identifying all possible outcomes of a random experiment, particularly one that can be viewed as proceeding in stages, is what is called a</w:t>
      </w:r>
      <w:r>
        <w:rPr>
          <w:rStyle w:val="apple-converted-space"/>
          <w:rFonts w:ascii="Georgia" w:hAnsi="Georgia"/>
          <w:color w:val="333333"/>
          <w:sz w:val="20"/>
          <w:szCs w:val="20"/>
          <w:shd w:val="clear" w:color="auto" w:fill="FFFFFF"/>
        </w:rPr>
        <w:t> </w:t>
      </w:r>
      <w:r>
        <w:rPr>
          <w:rStyle w:val="Strong"/>
          <w:rFonts w:ascii="Georgia" w:hAnsi="Georgia"/>
          <w:color w:val="333333"/>
          <w:sz w:val="20"/>
          <w:szCs w:val="20"/>
          <w:shd w:val="clear" w:color="auto" w:fill="FFFFFF"/>
        </w:rPr>
        <w:t>tree diagram</w:t>
      </w:r>
      <w:r>
        <w:rPr>
          <w:rFonts w:ascii="Georgia" w:hAnsi="Georgia"/>
          <w:color w:val="333333"/>
          <w:sz w:val="20"/>
          <w:szCs w:val="20"/>
          <w:shd w:val="clear" w:color="auto" w:fill="FFFFFF"/>
        </w:rPr>
        <w:t>. It is described in the following example.</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4</w:t>
      </w:r>
    </w:p>
    <w:p w:rsidR="00AD77BB" w:rsidRDefault="00B45BA0">
      <w:pPr>
        <w:pStyle w:val="para"/>
        <w:shd w:val="clear" w:color="auto" w:fill="DAEEF3" w:themeFill="accent5" w:themeFillTint="33"/>
        <w:spacing w:before="15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Construct a sample space that describes all three-child families according to the genders of the children with respect to birth order.</w:t>
      </w:r>
    </w:p>
    <w:p w:rsidR="00AD77BB" w:rsidRDefault="00B45BA0">
      <w:pPr>
        <w:pStyle w:val="simpara"/>
        <w:shd w:val="clear" w:color="auto" w:fill="DAEEF3" w:themeFill="accent5" w:themeFillTint="33"/>
        <w:spacing w:before="15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Solution:</w:t>
      </w:r>
    </w:p>
    <w:p w:rsidR="00AD77BB" w:rsidRDefault="00B45BA0">
      <w:pPr>
        <w:pStyle w:val="para"/>
        <w:shd w:val="clear" w:color="auto" w:fill="DAEEF3" w:themeFill="accent5" w:themeFillTint="33"/>
        <w:spacing w:before="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Two of the outcomes are “two boys then a girl,” which we might denote</w:t>
      </w:r>
      <w:r>
        <w:rPr>
          <w:rStyle w:val="apple-converted-space"/>
          <w:rFonts w:ascii="Calibri" w:hAnsi="Calibri"/>
          <w:color w:val="333333"/>
          <w:sz w:val="21"/>
          <w:szCs w:val="21"/>
        </w:rPr>
        <w:t> </w:t>
      </w:r>
      <w:r>
        <w:rPr>
          <w:rStyle w:val="mi"/>
          <w:rFonts w:ascii="MathJax_Math" w:hAnsi="MathJax_Math"/>
          <w:b/>
          <w:i/>
          <w:iCs/>
          <w:color w:val="333333"/>
          <w:sz w:val="15"/>
          <w:szCs w:val="15"/>
        </w:rPr>
        <w:t>bbg</w:t>
      </w:r>
      <w:r>
        <w:rPr>
          <w:rFonts w:ascii="Calibri" w:hAnsi="Calibri"/>
          <w:color w:val="333333"/>
          <w:sz w:val="21"/>
          <w:szCs w:val="21"/>
        </w:rPr>
        <w:t>, and “a girl then two boys,” which we would denote</w:t>
      </w:r>
      <w:r>
        <w:rPr>
          <w:rStyle w:val="apple-converted-space"/>
          <w:rFonts w:ascii="Calibri" w:hAnsi="Calibri"/>
          <w:color w:val="333333"/>
          <w:sz w:val="21"/>
          <w:szCs w:val="21"/>
        </w:rPr>
        <w:t> </w:t>
      </w:r>
      <w:r>
        <w:rPr>
          <w:rStyle w:val="mi"/>
          <w:rFonts w:ascii="MathJax_Math" w:hAnsi="MathJax_Math"/>
          <w:b/>
          <w:i/>
          <w:iCs/>
          <w:color w:val="333333"/>
          <w:sz w:val="15"/>
          <w:szCs w:val="15"/>
        </w:rPr>
        <w:t>gbb</w:t>
      </w:r>
      <w:r>
        <w:rPr>
          <w:rStyle w:val="mo"/>
          <w:rFonts w:ascii="MathJax_Main" w:hAnsi="MathJax_Main"/>
          <w:color w:val="333333"/>
          <w:sz w:val="15"/>
          <w:szCs w:val="15"/>
        </w:rPr>
        <w:t>.</w:t>
      </w:r>
      <w:r>
        <w:rPr>
          <w:rStyle w:val="apple-converted-space"/>
          <w:rFonts w:ascii="Calibri" w:hAnsi="Calibri"/>
          <w:color w:val="333333"/>
          <w:sz w:val="21"/>
          <w:szCs w:val="21"/>
        </w:rPr>
        <w:t> </w:t>
      </w:r>
      <w:r>
        <w:rPr>
          <w:rFonts w:ascii="Calibri" w:hAnsi="Calibri"/>
          <w:color w:val="333333"/>
          <w:sz w:val="21"/>
          <w:szCs w:val="21"/>
        </w:rPr>
        <w:t xml:space="preserve">Clearly there are many outcomes, and when we try to list all of </w:t>
      </w:r>
      <w:r>
        <w:rPr>
          <w:rFonts w:ascii="Calibri" w:hAnsi="Calibri"/>
          <w:color w:val="333333"/>
          <w:sz w:val="21"/>
          <w:szCs w:val="21"/>
        </w:rPr>
        <w:lastRenderedPageBreak/>
        <w:t>them it could be difficult to be sure that we have found them all unless we proceed systematically. The tree diagram shown in</w:t>
      </w:r>
      <w:r>
        <w:rPr>
          <w:rFonts w:ascii="Calibri" w:hAnsi="Calibri"/>
          <w:color w:val="2689C6"/>
          <w:sz w:val="21"/>
          <w:szCs w:val="21"/>
        </w:rPr>
        <w:t>Figure 3.2 "Tree Diagram For Three-Child Families"</w:t>
      </w:r>
      <w:r>
        <w:rPr>
          <w:rFonts w:ascii="Calibri" w:hAnsi="Calibri"/>
          <w:color w:val="333333"/>
          <w:sz w:val="21"/>
          <w:szCs w:val="21"/>
        </w:rPr>
        <w:t>, gives a systematic approach.</w:t>
      </w:r>
    </w:p>
    <w:p w:rsidR="00AD77BB" w:rsidRDefault="00B45BA0">
      <w:pPr>
        <w:pStyle w:val="Title3"/>
        <w:shd w:val="clear" w:color="auto" w:fill="DAEEF3" w:themeFill="accent5" w:themeFillTint="33"/>
        <w:spacing w:before="0" w:beforeAutospacing="0" w:after="0" w:afterAutospacing="0" w:line="439" w:lineRule="atLeast"/>
        <w:ind w:left="300" w:right="375"/>
        <w:textAlignment w:val="baseline"/>
        <w:rPr>
          <w:rFonts w:ascii="Calibri" w:hAnsi="Calibri"/>
          <w:i/>
          <w:iCs/>
          <w:color w:val="BB9966"/>
          <w:sz w:val="18"/>
          <w:szCs w:val="18"/>
        </w:rPr>
      </w:pPr>
      <w:r>
        <w:rPr>
          <w:rStyle w:val="title-prefix"/>
          <w:rFonts w:ascii="Calibri" w:hAnsi="Calibri"/>
          <w:i/>
          <w:iCs/>
          <w:color w:val="000000"/>
          <w:sz w:val="18"/>
          <w:szCs w:val="18"/>
        </w:rPr>
        <w:t>Figure 3.2</w:t>
      </w:r>
      <w:r>
        <w:rPr>
          <w:rFonts w:ascii="Calibri" w:hAnsi="Calibri"/>
          <w:i/>
          <w:iCs/>
          <w:color w:val="BB9966"/>
          <w:sz w:val="18"/>
          <w:szCs w:val="18"/>
        </w:rPr>
        <w:t>Tree Diagram For Three-Child Families</w:t>
      </w:r>
    </w:p>
    <w:p w:rsidR="00AD77BB" w:rsidRDefault="00B45BA0">
      <w:pPr>
        <w:shd w:val="clear" w:color="auto" w:fill="DAEEF3" w:themeFill="accent5" w:themeFillTint="33"/>
        <w:spacing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14:anchorId="5EF50517" wp14:editId="78D121E9">
            <wp:extent cx="3467100" cy="3467100"/>
            <wp:effectExtent l="0" t="0" r="0" b="0"/>
            <wp:docPr id="74" name="Picture 86" descr="http://images.flatworldknowledge.com/shafer/shafer-fig0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images.flatworldknowledge.com/shafer/shafer-fig03_00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67100" cy="3467100"/>
                    </a:xfrm>
                    <a:prstGeom prst="rect">
                      <a:avLst/>
                    </a:prstGeom>
                    <a:noFill/>
                    <a:ln>
                      <a:noFill/>
                    </a:ln>
                  </pic:spPr>
                </pic:pic>
              </a:graphicData>
            </a:graphic>
          </wp:inline>
        </w:drawing>
      </w:r>
    </w:p>
    <w:p w:rsidR="00AD77BB" w:rsidRDefault="00B45BA0">
      <w:pPr>
        <w:pStyle w:val="para"/>
        <w:shd w:val="clear" w:color="auto" w:fill="DAEEF3" w:themeFill="accent5" w:themeFillTint="33"/>
        <w:spacing w:before="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The diagram was constructed as follows. There are two possibilities for the first child, boy or girl, so we draw two line segments coming out of a starting point, one ending in a</w:t>
      </w:r>
      <w:r>
        <w:rPr>
          <w:rStyle w:val="apple-converted-space"/>
          <w:rFonts w:ascii="Calibri" w:hAnsi="Calibri"/>
          <w:color w:val="333333"/>
          <w:sz w:val="21"/>
          <w:szCs w:val="21"/>
        </w:rPr>
        <w:t> </w:t>
      </w:r>
      <w:r>
        <w:rPr>
          <w:rStyle w:val="Emphasis"/>
          <w:rFonts w:ascii="Calibri" w:hAnsi="Calibri"/>
          <w:color w:val="333333"/>
          <w:sz w:val="20"/>
          <w:szCs w:val="20"/>
        </w:rPr>
        <w:t>b</w:t>
      </w:r>
      <w:r>
        <w:rPr>
          <w:rStyle w:val="apple-converted-space"/>
          <w:rFonts w:ascii="Calibri" w:hAnsi="Calibri"/>
          <w:color w:val="333333"/>
          <w:sz w:val="21"/>
          <w:szCs w:val="21"/>
        </w:rPr>
        <w:t> </w:t>
      </w:r>
      <w:r>
        <w:rPr>
          <w:rFonts w:ascii="Calibri" w:hAnsi="Calibri"/>
          <w:color w:val="333333"/>
          <w:sz w:val="21"/>
          <w:szCs w:val="21"/>
        </w:rPr>
        <w:t>for “boy” and the other ending in a</w:t>
      </w:r>
      <w:r>
        <w:rPr>
          <w:rStyle w:val="apple-converted-space"/>
          <w:rFonts w:ascii="Calibri" w:hAnsi="Calibri"/>
          <w:color w:val="333333"/>
          <w:sz w:val="21"/>
          <w:szCs w:val="21"/>
        </w:rPr>
        <w:t> </w:t>
      </w:r>
      <w:r>
        <w:rPr>
          <w:rStyle w:val="Emphasis"/>
          <w:rFonts w:ascii="Calibri" w:hAnsi="Calibri"/>
          <w:color w:val="333333"/>
          <w:sz w:val="20"/>
          <w:szCs w:val="20"/>
        </w:rPr>
        <w:t>g</w:t>
      </w:r>
      <w:r>
        <w:rPr>
          <w:rStyle w:val="apple-converted-space"/>
          <w:rFonts w:ascii="Calibri" w:hAnsi="Calibri"/>
          <w:color w:val="333333"/>
          <w:sz w:val="21"/>
          <w:szCs w:val="21"/>
        </w:rPr>
        <w:t> </w:t>
      </w:r>
      <w:r>
        <w:rPr>
          <w:rFonts w:ascii="Calibri" w:hAnsi="Calibri"/>
          <w:color w:val="333333"/>
          <w:sz w:val="21"/>
          <w:szCs w:val="21"/>
        </w:rPr>
        <w:t>for “girl.” For each of these two possibilities for the first child there are two possibilities for the second child, “boy” or “girl,” so from each of the</w:t>
      </w:r>
      <w:r>
        <w:rPr>
          <w:rStyle w:val="apple-converted-space"/>
          <w:rFonts w:ascii="Calibri" w:hAnsi="Calibri"/>
          <w:color w:val="333333"/>
          <w:sz w:val="21"/>
          <w:szCs w:val="21"/>
        </w:rPr>
        <w:t> </w:t>
      </w:r>
      <w:r>
        <w:rPr>
          <w:rStyle w:val="Emphasis"/>
          <w:rFonts w:ascii="Calibri" w:hAnsi="Calibri"/>
          <w:color w:val="333333"/>
          <w:sz w:val="20"/>
          <w:szCs w:val="20"/>
        </w:rPr>
        <w:t>b</w:t>
      </w:r>
      <w:r>
        <w:rPr>
          <w:rStyle w:val="apple-converted-space"/>
          <w:rFonts w:ascii="Calibri" w:hAnsi="Calibri"/>
          <w:color w:val="333333"/>
          <w:sz w:val="21"/>
          <w:szCs w:val="21"/>
        </w:rPr>
        <w:t> </w:t>
      </w:r>
      <w:r>
        <w:rPr>
          <w:rFonts w:ascii="Calibri" w:hAnsi="Calibri"/>
          <w:color w:val="333333"/>
          <w:sz w:val="21"/>
          <w:szCs w:val="21"/>
        </w:rPr>
        <w:t>and</w:t>
      </w:r>
      <w:r>
        <w:rPr>
          <w:rStyle w:val="apple-converted-space"/>
          <w:rFonts w:ascii="Calibri" w:hAnsi="Calibri"/>
          <w:color w:val="333333"/>
          <w:sz w:val="21"/>
          <w:szCs w:val="21"/>
        </w:rPr>
        <w:t> </w:t>
      </w:r>
      <w:r>
        <w:rPr>
          <w:rStyle w:val="Emphasis"/>
          <w:rFonts w:ascii="Calibri" w:hAnsi="Calibri"/>
          <w:color w:val="333333"/>
          <w:sz w:val="20"/>
          <w:szCs w:val="20"/>
        </w:rPr>
        <w:t>g</w:t>
      </w:r>
      <w:r>
        <w:rPr>
          <w:rStyle w:val="apple-converted-space"/>
          <w:rFonts w:ascii="Calibri" w:hAnsi="Calibri"/>
          <w:color w:val="333333"/>
          <w:sz w:val="21"/>
          <w:szCs w:val="21"/>
        </w:rPr>
        <w:t> </w:t>
      </w:r>
      <w:r>
        <w:rPr>
          <w:rFonts w:ascii="Calibri" w:hAnsi="Calibri"/>
          <w:color w:val="333333"/>
          <w:sz w:val="21"/>
          <w:szCs w:val="21"/>
        </w:rPr>
        <w:t>we draw two line segments, one segment ending in a</w:t>
      </w:r>
      <w:r>
        <w:rPr>
          <w:rStyle w:val="apple-converted-space"/>
          <w:rFonts w:ascii="Calibri" w:hAnsi="Calibri"/>
          <w:color w:val="333333"/>
          <w:sz w:val="21"/>
          <w:szCs w:val="21"/>
        </w:rPr>
        <w:t> </w:t>
      </w:r>
      <w:r>
        <w:rPr>
          <w:rStyle w:val="Emphasis"/>
          <w:rFonts w:ascii="Calibri" w:hAnsi="Calibri"/>
          <w:color w:val="333333"/>
          <w:sz w:val="20"/>
          <w:szCs w:val="20"/>
        </w:rPr>
        <w:t>b</w:t>
      </w:r>
      <w:r>
        <w:rPr>
          <w:rStyle w:val="apple-converted-space"/>
          <w:rFonts w:ascii="Calibri" w:hAnsi="Calibri"/>
          <w:color w:val="333333"/>
          <w:sz w:val="21"/>
          <w:szCs w:val="21"/>
        </w:rPr>
        <w:t> </w:t>
      </w:r>
      <w:r>
        <w:rPr>
          <w:rFonts w:ascii="Calibri" w:hAnsi="Calibri"/>
          <w:color w:val="333333"/>
          <w:sz w:val="21"/>
          <w:szCs w:val="21"/>
        </w:rPr>
        <w:t>and one in a</w:t>
      </w:r>
      <w:r>
        <w:rPr>
          <w:rStyle w:val="apple-converted-space"/>
          <w:rFonts w:ascii="Calibri" w:hAnsi="Calibri"/>
          <w:color w:val="333333"/>
          <w:sz w:val="21"/>
          <w:szCs w:val="21"/>
        </w:rPr>
        <w:t> </w:t>
      </w:r>
      <w:r>
        <w:rPr>
          <w:rStyle w:val="Emphasis"/>
          <w:rFonts w:ascii="Calibri" w:hAnsi="Calibri"/>
          <w:color w:val="333333"/>
          <w:sz w:val="20"/>
          <w:szCs w:val="20"/>
        </w:rPr>
        <w:t>g</w:t>
      </w:r>
      <w:r>
        <w:rPr>
          <w:rFonts w:ascii="Calibri" w:hAnsi="Calibri"/>
          <w:color w:val="333333"/>
          <w:sz w:val="21"/>
          <w:szCs w:val="21"/>
        </w:rPr>
        <w:t>. For each of the four ending points now in the diagram there are two possibilities for the third child, so we repeat the process once more.</w:t>
      </w:r>
    </w:p>
    <w:p w:rsidR="00AD77BB" w:rsidRDefault="00AD77BB">
      <w:pPr>
        <w:pStyle w:val="para"/>
        <w:shd w:val="clear" w:color="auto" w:fill="DAEEF3" w:themeFill="accent5" w:themeFillTint="33"/>
        <w:spacing w:before="0" w:beforeAutospacing="0" w:after="0" w:afterAutospacing="0" w:line="439" w:lineRule="atLeast"/>
        <w:ind w:left="300" w:right="375"/>
        <w:textAlignment w:val="baseline"/>
        <w:rPr>
          <w:rFonts w:ascii="Calibri" w:hAnsi="Calibri"/>
          <w:color w:val="333333"/>
          <w:sz w:val="21"/>
          <w:szCs w:val="21"/>
        </w:rPr>
      </w:pPr>
    </w:p>
    <w:p w:rsidR="00AD77BB" w:rsidRDefault="00B45BA0">
      <w:pPr>
        <w:pStyle w:val="para"/>
        <w:shd w:val="clear" w:color="auto" w:fill="DAEEF3" w:themeFill="accent5" w:themeFillTint="33"/>
        <w:spacing w:before="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The line segments are called</w:t>
      </w:r>
      <w:r>
        <w:rPr>
          <w:rStyle w:val="apple-converted-space"/>
          <w:rFonts w:ascii="Calibri" w:hAnsi="Calibri"/>
          <w:color w:val="333333"/>
          <w:sz w:val="21"/>
          <w:szCs w:val="21"/>
        </w:rPr>
        <w:t> </w:t>
      </w:r>
      <w:r>
        <w:rPr>
          <w:rStyle w:val="Strong"/>
          <w:rFonts w:ascii="Calibri" w:hAnsi="Calibri"/>
          <w:color w:val="333333"/>
          <w:sz w:val="20"/>
          <w:szCs w:val="20"/>
        </w:rPr>
        <w:t>branches</w:t>
      </w:r>
      <w:r>
        <w:rPr>
          <w:rStyle w:val="apple-converted-space"/>
          <w:rFonts w:ascii="Calibri" w:hAnsi="Calibri"/>
          <w:color w:val="333333"/>
          <w:sz w:val="21"/>
          <w:szCs w:val="21"/>
        </w:rPr>
        <w:t> </w:t>
      </w:r>
      <w:r>
        <w:rPr>
          <w:rFonts w:ascii="Calibri" w:hAnsi="Calibri"/>
          <w:color w:val="333333"/>
          <w:sz w:val="21"/>
          <w:szCs w:val="21"/>
        </w:rPr>
        <w:t>of the tree. The right ending point of each branch is called a</w:t>
      </w:r>
      <w:r>
        <w:rPr>
          <w:rStyle w:val="apple-converted-space"/>
          <w:rFonts w:ascii="Calibri" w:hAnsi="Calibri"/>
          <w:color w:val="333333"/>
          <w:sz w:val="21"/>
          <w:szCs w:val="21"/>
        </w:rPr>
        <w:t> </w:t>
      </w:r>
      <w:r>
        <w:rPr>
          <w:rStyle w:val="Strong"/>
          <w:rFonts w:ascii="Calibri" w:hAnsi="Calibri"/>
          <w:color w:val="333333"/>
          <w:sz w:val="20"/>
          <w:szCs w:val="20"/>
        </w:rPr>
        <w:t>node</w:t>
      </w:r>
      <w:r>
        <w:rPr>
          <w:rFonts w:ascii="Calibri" w:hAnsi="Calibri"/>
          <w:color w:val="333333"/>
          <w:sz w:val="21"/>
          <w:szCs w:val="21"/>
        </w:rPr>
        <w:t>. The nodes on the extreme right are the</w:t>
      </w:r>
      <w:r>
        <w:rPr>
          <w:rStyle w:val="apple-converted-space"/>
          <w:rFonts w:ascii="Calibri" w:hAnsi="Calibri"/>
          <w:color w:val="333333"/>
          <w:sz w:val="21"/>
          <w:szCs w:val="21"/>
        </w:rPr>
        <w:t> </w:t>
      </w:r>
      <w:r>
        <w:rPr>
          <w:rStyle w:val="Strong"/>
          <w:rFonts w:ascii="Calibri" w:hAnsi="Calibri"/>
          <w:color w:val="333333"/>
          <w:sz w:val="20"/>
          <w:szCs w:val="20"/>
        </w:rPr>
        <w:t>final nodes</w:t>
      </w:r>
      <w:r>
        <w:rPr>
          <w:rFonts w:ascii="Calibri" w:hAnsi="Calibri"/>
          <w:color w:val="333333"/>
          <w:sz w:val="21"/>
          <w:szCs w:val="21"/>
        </w:rPr>
        <w:t>; to each one there corresponds an outcome, as shown in the figure.</w:t>
      </w:r>
    </w:p>
    <w:p w:rsidR="00AD77BB" w:rsidRDefault="00B45BA0">
      <w:pPr>
        <w:pStyle w:val="para"/>
        <w:shd w:val="clear" w:color="auto" w:fill="DAEEF3" w:themeFill="accent5" w:themeFillTint="33"/>
        <w:spacing w:before="15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From the tree it is easy to read off the eight outcomes of the experiment, so the sample space is, reading from the top to the bottom of the final nodes in the tree,</w:t>
      </w:r>
    </w:p>
    <w:p w:rsidR="00AD77BB" w:rsidRDefault="00B45BA0">
      <w:pPr>
        <w:shd w:val="clear" w:color="auto" w:fill="DAEEF3" w:themeFill="accent5" w:themeFillTint="33"/>
        <w:spacing w:line="270" w:lineRule="atLeast"/>
        <w:jc w:val="center"/>
        <w:textAlignment w:val="baseline"/>
        <w:rPr>
          <w:rStyle w:val="mo"/>
          <w:rFonts w:ascii="MathJax_Main" w:hAnsi="MathJax_Main"/>
          <w:b/>
          <w:color w:val="555555"/>
          <w:sz w:val="18"/>
          <w:szCs w:val="18"/>
        </w:rPr>
      </w:pPr>
      <w:r>
        <w:rPr>
          <w:rStyle w:val="mi"/>
          <w:rFonts w:ascii="MathJax_Math" w:hAnsi="MathJax_Math"/>
          <w:b/>
          <w:i/>
          <w:iCs/>
          <w:color w:val="555555"/>
          <w:sz w:val="18"/>
          <w:szCs w:val="18"/>
        </w:rPr>
        <w:lastRenderedPageBreak/>
        <w:t>S</w:t>
      </w:r>
      <w:r>
        <w:rPr>
          <w:rStyle w:val="mo"/>
          <w:rFonts w:ascii="MathJax_Main" w:hAnsi="MathJax_Main"/>
          <w:b/>
          <w:color w:val="555555"/>
          <w:sz w:val="18"/>
          <w:szCs w:val="18"/>
        </w:rPr>
        <w:t>={</w:t>
      </w:r>
      <w:r>
        <w:rPr>
          <w:rStyle w:val="mi"/>
          <w:rFonts w:ascii="MathJax_Math" w:hAnsi="MathJax_Math"/>
          <w:b/>
          <w:i/>
          <w:iCs/>
          <w:color w:val="555555"/>
          <w:sz w:val="18"/>
          <w:szCs w:val="18"/>
        </w:rPr>
        <w:t>bbb</w:t>
      </w:r>
      <w:r>
        <w:rPr>
          <w:rStyle w:val="mo"/>
          <w:rFonts w:ascii="MathJax_Main" w:hAnsi="MathJax_Main"/>
          <w:b/>
          <w:color w:val="555555"/>
          <w:sz w:val="18"/>
          <w:szCs w:val="18"/>
        </w:rPr>
        <w:t>,</w:t>
      </w:r>
      <w:r>
        <w:rPr>
          <w:rStyle w:val="mi"/>
          <w:rFonts w:ascii="MathJax_Math" w:hAnsi="MathJax_Math"/>
          <w:b/>
          <w:i/>
          <w:iCs/>
          <w:color w:val="555555"/>
          <w:sz w:val="18"/>
          <w:szCs w:val="18"/>
        </w:rPr>
        <w:t>bbg</w:t>
      </w:r>
      <w:r>
        <w:rPr>
          <w:rStyle w:val="mo"/>
          <w:rFonts w:ascii="MathJax_Main" w:hAnsi="MathJax_Main"/>
          <w:b/>
          <w:color w:val="555555"/>
          <w:sz w:val="18"/>
          <w:szCs w:val="18"/>
        </w:rPr>
        <w:t>,</w:t>
      </w:r>
      <w:r>
        <w:rPr>
          <w:rStyle w:val="mi"/>
          <w:rFonts w:ascii="MathJax_Math" w:hAnsi="MathJax_Math"/>
          <w:b/>
          <w:i/>
          <w:iCs/>
          <w:color w:val="555555"/>
          <w:sz w:val="18"/>
          <w:szCs w:val="18"/>
        </w:rPr>
        <w:t>bgb</w:t>
      </w:r>
      <w:r>
        <w:rPr>
          <w:rStyle w:val="mo"/>
          <w:rFonts w:ascii="MathJax_Main" w:hAnsi="MathJax_Main"/>
          <w:b/>
          <w:color w:val="555555"/>
          <w:sz w:val="18"/>
          <w:szCs w:val="18"/>
        </w:rPr>
        <w:t>,</w:t>
      </w:r>
      <w:r>
        <w:rPr>
          <w:rStyle w:val="mi"/>
          <w:rFonts w:ascii="MathJax_Math" w:hAnsi="MathJax_Math"/>
          <w:b/>
          <w:i/>
          <w:iCs/>
          <w:color w:val="555555"/>
          <w:sz w:val="18"/>
          <w:szCs w:val="18"/>
        </w:rPr>
        <w:t>bgg</w:t>
      </w:r>
      <w:r>
        <w:rPr>
          <w:rStyle w:val="mo"/>
          <w:rFonts w:ascii="MathJax_Main" w:hAnsi="MathJax_Main"/>
          <w:b/>
          <w:color w:val="555555"/>
          <w:sz w:val="18"/>
          <w:szCs w:val="18"/>
        </w:rPr>
        <w:t>,</w:t>
      </w:r>
      <w:r>
        <w:rPr>
          <w:rStyle w:val="mi"/>
          <w:rFonts w:ascii="MathJax_Math" w:hAnsi="MathJax_Math"/>
          <w:b/>
          <w:i/>
          <w:iCs/>
          <w:color w:val="555555"/>
          <w:sz w:val="18"/>
          <w:szCs w:val="18"/>
        </w:rPr>
        <w:t>gbb</w:t>
      </w:r>
      <w:r>
        <w:rPr>
          <w:rStyle w:val="mo"/>
          <w:rFonts w:ascii="MathJax_Main" w:hAnsi="MathJax_Main"/>
          <w:b/>
          <w:color w:val="555555"/>
          <w:sz w:val="18"/>
          <w:szCs w:val="18"/>
        </w:rPr>
        <w:t>,</w:t>
      </w:r>
      <w:r>
        <w:rPr>
          <w:rStyle w:val="mi"/>
          <w:rFonts w:ascii="MathJax_Math" w:hAnsi="MathJax_Math"/>
          <w:b/>
          <w:i/>
          <w:iCs/>
          <w:color w:val="555555"/>
          <w:sz w:val="18"/>
          <w:szCs w:val="18"/>
        </w:rPr>
        <w:t>gbg</w:t>
      </w:r>
      <w:r>
        <w:rPr>
          <w:rStyle w:val="mo"/>
          <w:rFonts w:ascii="MathJax_Main" w:hAnsi="MathJax_Main"/>
          <w:b/>
          <w:color w:val="555555"/>
          <w:sz w:val="18"/>
          <w:szCs w:val="18"/>
        </w:rPr>
        <w:t>,</w:t>
      </w:r>
      <w:r>
        <w:rPr>
          <w:rStyle w:val="mi"/>
          <w:rFonts w:ascii="MathJax_Math" w:hAnsi="MathJax_Math"/>
          <w:b/>
          <w:i/>
          <w:iCs/>
          <w:color w:val="555555"/>
          <w:sz w:val="18"/>
          <w:szCs w:val="18"/>
        </w:rPr>
        <w:t>ggb</w:t>
      </w:r>
      <w:r>
        <w:rPr>
          <w:rStyle w:val="mo"/>
          <w:rFonts w:ascii="MathJax_Main" w:hAnsi="MathJax_Main"/>
          <w:b/>
          <w:color w:val="555555"/>
          <w:sz w:val="18"/>
          <w:szCs w:val="18"/>
        </w:rPr>
        <w:t>,</w:t>
      </w:r>
      <w:r>
        <w:rPr>
          <w:rStyle w:val="mi"/>
          <w:rFonts w:ascii="MathJax_Math" w:hAnsi="MathJax_Math"/>
          <w:b/>
          <w:i/>
          <w:iCs/>
          <w:color w:val="555555"/>
          <w:sz w:val="18"/>
          <w:szCs w:val="18"/>
        </w:rPr>
        <w:t>ggg</w:t>
      </w:r>
      <w:r>
        <w:rPr>
          <w:rStyle w:val="mo"/>
          <w:rFonts w:ascii="MathJax_Main" w:hAnsi="MathJax_Main"/>
          <w:b/>
          <w:color w:val="555555"/>
          <w:sz w:val="18"/>
          <w:szCs w:val="18"/>
        </w:rPr>
        <w:t>}</w:t>
      </w:r>
    </w:p>
    <w:p w:rsidR="00AD77BB" w:rsidRDefault="00B45BA0">
      <w:pPr>
        <w:pStyle w:val="Heading2"/>
        <w:shd w:val="clear" w:color="auto" w:fill="FFFFFF"/>
        <w:spacing w:before="0" w:line="439" w:lineRule="atLeast"/>
        <w:textAlignment w:val="baseline"/>
        <w:rPr>
          <w:rFonts w:ascii="Calibri" w:hAnsi="Calibri"/>
          <w:color w:val="333333"/>
          <w:sz w:val="29"/>
          <w:szCs w:val="29"/>
        </w:rPr>
      </w:pPr>
      <w:r>
        <w:rPr>
          <w:rFonts w:ascii="Calibri" w:hAnsi="Calibri"/>
          <w:color w:val="333333"/>
          <w:sz w:val="29"/>
          <w:szCs w:val="29"/>
        </w:rPr>
        <w:t>Probability</w:t>
      </w:r>
    </w:p>
    <w:p w:rsidR="00AD77BB" w:rsidRDefault="00AD77BB"/>
    <w:p w:rsidR="00AD77BB" w:rsidRDefault="00B45BA0">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Definition</w:t>
      </w:r>
    </w:p>
    <w:p w:rsidR="00AD77BB" w:rsidRDefault="00B45BA0">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Style w:val="Emphasis"/>
          <w:rFonts w:ascii="Georgia" w:hAnsi="Georgia"/>
          <w:color w:val="333333"/>
          <w:sz w:val="20"/>
          <w:szCs w:val="20"/>
        </w:rPr>
        <w:t>The</w:t>
      </w:r>
      <w:r>
        <w:rPr>
          <w:rStyle w:val="apple-converted-space"/>
          <w:rFonts w:ascii="Georgia" w:eastAsiaTheme="majorEastAsia" w:hAnsi="Georgia"/>
          <w:color w:val="333333"/>
          <w:sz w:val="20"/>
          <w:szCs w:val="20"/>
        </w:rPr>
        <w:t> </w:t>
      </w:r>
      <w:r>
        <w:rPr>
          <w:rStyle w:val="marginterm"/>
          <w:rFonts w:ascii="Georgia" w:hAnsi="Georgia"/>
          <w:b/>
          <w:color w:val="333333"/>
          <w:sz w:val="20"/>
          <w:szCs w:val="20"/>
        </w:rPr>
        <w:t>probability of an outcome</w:t>
      </w:r>
      <w:r>
        <w:rPr>
          <w:rStyle w:val="apple-converted-space"/>
          <w:rFonts w:ascii="Georgia" w:eastAsiaTheme="majorEastAsia" w:hAnsi="Georgia"/>
          <w:color w:val="333333"/>
          <w:sz w:val="20"/>
          <w:szCs w:val="20"/>
        </w:rPr>
        <w:t> </w:t>
      </w:r>
      <w:r>
        <w:rPr>
          <w:rStyle w:val="Emphasis"/>
          <w:rFonts w:ascii="Georgia" w:hAnsi="Georgia"/>
          <w:color w:val="333333"/>
          <w:sz w:val="20"/>
          <w:szCs w:val="20"/>
        </w:rPr>
        <w:t>e</w:t>
      </w:r>
      <w:r>
        <w:rPr>
          <w:rStyle w:val="apple-converted-space"/>
          <w:rFonts w:ascii="Georgia" w:eastAsiaTheme="majorEastAsia" w:hAnsi="Georgia"/>
          <w:color w:val="333333"/>
          <w:sz w:val="20"/>
          <w:szCs w:val="20"/>
        </w:rPr>
        <w:t> </w:t>
      </w:r>
      <w:r>
        <w:rPr>
          <w:rStyle w:val="Emphasis"/>
          <w:rFonts w:ascii="Georgia" w:hAnsi="Georgia"/>
          <w:color w:val="333333"/>
          <w:sz w:val="20"/>
          <w:szCs w:val="20"/>
        </w:rPr>
        <w:t>in a sample space</w:t>
      </w:r>
      <w:r>
        <w:rPr>
          <w:rStyle w:val="apple-converted-space"/>
          <w:rFonts w:ascii="Georgia" w:eastAsiaTheme="majorEastAsia" w:hAnsi="Georgia"/>
          <w:color w:val="333333"/>
          <w:sz w:val="20"/>
          <w:szCs w:val="20"/>
        </w:rPr>
        <w:t> </w:t>
      </w:r>
      <w:r>
        <w:rPr>
          <w:rStyle w:val="Emphasis"/>
          <w:rFonts w:ascii="Georgia" w:hAnsi="Georgia"/>
          <w:color w:val="333333"/>
          <w:sz w:val="20"/>
          <w:szCs w:val="20"/>
        </w:rPr>
        <w:t>S</w:t>
      </w:r>
      <w:r>
        <w:rPr>
          <w:rStyle w:val="apple-converted-space"/>
          <w:rFonts w:ascii="Georgia" w:eastAsiaTheme="majorEastAsia" w:hAnsi="Georgia"/>
          <w:color w:val="333333"/>
          <w:sz w:val="20"/>
          <w:szCs w:val="20"/>
        </w:rPr>
        <w:t> </w:t>
      </w:r>
      <w:r>
        <w:rPr>
          <w:rStyle w:val="Emphasis"/>
          <w:rFonts w:ascii="Georgia" w:hAnsi="Georgia"/>
          <w:color w:val="333333"/>
          <w:sz w:val="20"/>
          <w:szCs w:val="20"/>
        </w:rPr>
        <w:t>is a number</w:t>
      </w:r>
      <w:r>
        <w:rPr>
          <w:rStyle w:val="apple-converted-space"/>
          <w:rFonts w:ascii="Georgia" w:eastAsiaTheme="majorEastAsia" w:hAnsi="Georgia"/>
          <w:color w:val="333333"/>
          <w:sz w:val="20"/>
          <w:szCs w:val="20"/>
        </w:rPr>
        <w:t> </w:t>
      </w:r>
      <w:r>
        <w:rPr>
          <w:rStyle w:val="Emphasis"/>
          <w:rFonts w:ascii="Georgia" w:hAnsi="Georgia"/>
          <w:color w:val="333333"/>
          <w:sz w:val="20"/>
          <w:szCs w:val="20"/>
        </w:rPr>
        <w:t>p between 0 and 1 that measures the likelihood that</w:t>
      </w:r>
      <w:r>
        <w:rPr>
          <w:rStyle w:val="apple-converted-space"/>
          <w:rFonts w:ascii="Georgia" w:eastAsiaTheme="majorEastAsia" w:hAnsi="Georgia"/>
          <w:color w:val="333333"/>
          <w:sz w:val="20"/>
          <w:szCs w:val="20"/>
        </w:rPr>
        <w:t> </w:t>
      </w:r>
      <w:r>
        <w:rPr>
          <w:rStyle w:val="Emphasis"/>
          <w:rFonts w:ascii="Georgia" w:hAnsi="Georgia"/>
          <w:color w:val="333333"/>
          <w:sz w:val="20"/>
          <w:szCs w:val="20"/>
        </w:rPr>
        <w:t>e</w:t>
      </w:r>
      <w:r>
        <w:rPr>
          <w:rStyle w:val="apple-converted-space"/>
          <w:rFonts w:ascii="Georgia" w:eastAsiaTheme="majorEastAsia" w:hAnsi="Georgia"/>
          <w:color w:val="333333"/>
          <w:sz w:val="20"/>
          <w:szCs w:val="20"/>
        </w:rPr>
        <w:t> </w:t>
      </w:r>
      <w:r>
        <w:rPr>
          <w:rStyle w:val="Emphasis"/>
          <w:rFonts w:ascii="Georgia" w:hAnsi="Georgia"/>
          <w:color w:val="333333"/>
          <w:sz w:val="20"/>
          <w:szCs w:val="20"/>
        </w:rPr>
        <w:t>will occur on a single trial of the corresponding random experiment. The value</w:t>
      </w:r>
      <w:r>
        <w:rPr>
          <w:rStyle w:val="apple-converted-space"/>
          <w:rFonts w:ascii="Georgia" w:eastAsiaTheme="majorEastAsia" w:hAnsi="Georgia"/>
          <w:color w:val="333333"/>
          <w:sz w:val="20"/>
          <w:szCs w:val="20"/>
        </w:rPr>
        <w:t> </w:t>
      </w:r>
      <w:r>
        <w:rPr>
          <w:rStyle w:val="Emphasis"/>
          <w:rFonts w:ascii="Georgia" w:hAnsi="Georgia"/>
          <w:color w:val="333333"/>
          <w:sz w:val="20"/>
          <w:szCs w:val="20"/>
        </w:rPr>
        <w:t>p</w:t>
      </w:r>
      <w:r>
        <w:rPr>
          <w:rStyle w:val="apple-converted-space"/>
          <w:rFonts w:ascii="Georgia" w:eastAsiaTheme="majorEastAsia" w:hAnsi="Georgia"/>
          <w:color w:val="333333"/>
          <w:sz w:val="20"/>
          <w:szCs w:val="20"/>
        </w:rPr>
        <w:t> </w:t>
      </w:r>
      <w:r>
        <w:rPr>
          <w:rFonts w:ascii="Georgia" w:hAnsi="Georgia"/>
          <w:color w:val="333333"/>
          <w:sz w:val="20"/>
          <w:szCs w:val="20"/>
        </w:rPr>
        <w:t>= 0</w:t>
      </w:r>
      <w:r>
        <w:rPr>
          <w:rStyle w:val="apple-converted-space"/>
          <w:rFonts w:ascii="Georgia" w:eastAsiaTheme="majorEastAsia" w:hAnsi="Georgia"/>
          <w:color w:val="333333"/>
          <w:sz w:val="20"/>
          <w:szCs w:val="20"/>
        </w:rPr>
        <w:t> </w:t>
      </w:r>
      <w:r>
        <w:rPr>
          <w:rStyle w:val="Emphasis"/>
          <w:rFonts w:ascii="Georgia" w:hAnsi="Georgia"/>
          <w:color w:val="333333"/>
          <w:sz w:val="20"/>
          <w:szCs w:val="20"/>
        </w:rPr>
        <w:t>corresponds to the outcome</w:t>
      </w:r>
      <w:r>
        <w:rPr>
          <w:rStyle w:val="apple-converted-space"/>
          <w:rFonts w:ascii="Georgia" w:eastAsiaTheme="majorEastAsia" w:hAnsi="Georgia"/>
          <w:color w:val="333333"/>
          <w:sz w:val="20"/>
          <w:szCs w:val="20"/>
        </w:rPr>
        <w:t> </w:t>
      </w:r>
      <w:r>
        <w:rPr>
          <w:rStyle w:val="Emphasis"/>
          <w:rFonts w:ascii="Georgia" w:hAnsi="Georgia"/>
          <w:color w:val="333333"/>
          <w:sz w:val="20"/>
          <w:szCs w:val="20"/>
        </w:rPr>
        <w:t>e</w:t>
      </w:r>
      <w:r>
        <w:rPr>
          <w:rStyle w:val="apple-converted-space"/>
          <w:rFonts w:ascii="Georgia" w:eastAsiaTheme="majorEastAsia" w:hAnsi="Georgia"/>
          <w:color w:val="333333"/>
          <w:sz w:val="20"/>
          <w:szCs w:val="20"/>
        </w:rPr>
        <w:t> </w:t>
      </w:r>
      <w:r>
        <w:rPr>
          <w:rStyle w:val="Emphasis"/>
          <w:rFonts w:ascii="Georgia" w:hAnsi="Georgia"/>
          <w:color w:val="333333"/>
          <w:sz w:val="20"/>
          <w:szCs w:val="20"/>
        </w:rPr>
        <w:t>being impossible and the value</w:t>
      </w:r>
      <w:r>
        <w:rPr>
          <w:rStyle w:val="apple-converted-space"/>
          <w:rFonts w:ascii="Georgia" w:eastAsiaTheme="majorEastAsia" w:hAnsi="Georgia"/>
          <w:color w:val="333333"/>
          <w:sz w:val="20"/>
          <w:szCs w:val="20"/>
        </w:rPr>
        <w:t> </w:t>
      </w:r>
      <w:r>
        <w:rPr>
          <w:rStyle w:val="Emphasis"/>
          <w:rFonts w:ascii="Georgia" w:hAnsi="Georgia"/>
          <w:color w:val="333333"/>
          <w:sz w:val="20"/>
          <w:szCs w:val="20"/>
        </w:rPr>
        <w:t>p</w:t>
      </w:r>
      <w:r>
        <w:rPr>
          <w:rStyle w:val="apple-converted-space"/>
          <w:rFonts w:ascii="Georgia" w:eastAsiaTheme="majorEastAsia" w:hAnsi="Georgia"/>
          <w:color w:val="333333"/>
          <w:sz w:val="20"/>
          <w:szCs w:val="20"/>
        </w:rPr>
        <w:t> </w:t>
      </w:r>
      <w:r>
        <w:rPr>
          <w:rFonts w:ascii="Georgia" w:hAnsi="Georgia"/>
          <w:color w:val="333333"/>
          <w:sz w:val="20"/>
          <w:szCs w:val="20"/>
        </w:rPr>
        <w:t>= 1</w:t>
      </w:r>
      <w:r>
        <w:rPr>
          <w:rStyle w:val="apple-converted-space"/>
          <w:rFonts w:ascii="Georgia" w:eastAsiaTheme="majorEastAsia" w:hAnsi="Georgia"/>
          <w:color w:val="333333"/>
          <w:sz w:val="20"/>
          <w:szCs w:val="20"/>
        </w:rPr>
        <w:t> </w:t>
      </w:r>
      <w:r>
        <w:rPr>
          <w:rStyle w:val="Emphasis"/>
          <w:rFonts w:ascii="Georgia" w:hAnsi="Georgia"/>
          <w:color w:val="333333"/>
          <w:sz w:val="20"/>
          <w:szCs w:val="20"/>
        </w:rPr>
        <w:t>corresponds to the outcome</w:t>
      </w:r>
      <w:r>
        <w:rPr>
          <w:rStyle w:val="apple-converted-space"/>
          <w:rFonts w:ascii="Georgia" w:eastAsiaTheme="majorEastAsia" w:hAnsi="Georgia"/>
          <w:color w:val="333333"/>
          <w:sz w:val="20"/>
          <w:szCs w:val="20"/>
        </w:rPr>
        <w:t> </w:t>
      </w:r>
      <w:r>
        <w:rPr>
          <w:rStyle w:val="Emphasis"/>
          <w:rFonts w:ascii="Georgia" w:hAnsi="Georgia"/>
          <w:color w:val="333333"/>
          <w:sz w:val="20"/>
          <w:szCs w:val="20"/>
        </w:rPr>
        <w:t>e</w:t>
      </w:r>
      <w:r>
        <w:rPr>
          <w:rStyle w:val="apple-converted-space"/>
          <w:rFonts w:ascii="Georgia" w:eastAsiaTheme="majorEastAsia" w:hAnsi="Georgia"/>
          <w:color w:val="333333"/>
          <w:sz w:val="20"/>
          <w:szCs w:val="20"/>
        </w:rPr>
        <w:t> </w:t>
      </w:r>
      <w:r>
        <w:rPr>
          <w:rStyle w:val="Emphasis"/>
          <w:rFonts w:ascii="Georgia" w:hAnsi="Georgia"/>
          <w:color w:val="333333"/>
          <w:sz w:val="20"/>
          <w:szCs w:val="20"/>
        </w:rPr>
        <w:t>being certain.</w:t>
      </w:r>
    </w:p>
    <w:p w:rsidR="00AD77BB" w:rsidRDefault="00B45BA0">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Definition</w:t>
      </w:r>
    </w:p>
    <w:p w:rsidR="00AD77BB" w:rsidRDefault="00B45BA0">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Style w:val="Emphasis"/>
          <w:rFonts w:ascii="Georgia" w:hAnsi="Georgia"/>
          <w:color w:val="333333"/>
          <w:sz w:val="20"/>
          <w:szCs w:val="20"/>
        </w:rPr>
        <w:t>The</w:t>
      </w:r>
      <w:r>
        <w:rPr>
          <w:rStyle w:val="apple-converted-space"/>
          <w:rFonts w:ascii="Georgia" w:eastAsiaTheme="majorEastAsia" w:hAnsi="Georgia"/>
          <w:color w:val="333333"/>
          <w:sz w:val="20"/>
          <w:szCs w:val="20"/>
        </w:rPr>
        <w:t> </w:t>
      </w:r>
      <w:r>
        <w:rPr>
          <w:rStyle w:val="marginterm"/>
          <w:rFonts w:ascii="Georgia" w:hAnsi="Georgia"/>
          <w:b/>
          <w:color w:val="333333"/>
          <w:sz w:val="20"/>
          <w:szCs w:val="20"/>
        </w:rPr>
        <w:t>probability of an event</w:t>
      </w:r>
      <w:r>
        <w:rPr>
          <w:rStyle w:val="apple-converted-space"/>
          <w:rFonts w:ascii="Georgia" w:eastAsiaTheme="majorEastAsia" w:hAnsi="Georgia"/>
          <w:color w:val="333333"/>
          <w:sz w:val="20"/>
          <w:szCs w:val="20"/>
        </w:rPr>
        <w:t> </w:t>
      </w:r>
      <w:r>
        <w:rPr>
          <w:rStyle w:val="Emphasis"/>
          <w:rFonts w:ascii="Georgia" w:hAnsi="Georgia"/>
          <w:color w:val="333333"/>
          <w:sz w:val="20"/>
          <w:szCs w:val="20"/>
        </w:rPr>
        <w:t>A</w:t>
      </w:r>
      <w:r>
        <w:rPr>
          <w:rStyle w:val="apple-converted-space"/>
          <w:rFonts w:ascii="Georgia" w:eastAsiaTheme="majorEastAsia" w:hAnsi="Georgia"/>
          <w:color w:val="333333"/>
          <w:sz w:val="20"/>
          <w:szCs w:val="20"/>
        </w:rPr>
        <w:t> </w:t>
      </w:r>
      <w:r>
        <w:rPr>
          <w:rStyle w:val="Emphasis"/>
          <w:rFonts w:ascii="Georgia" w:hAnsi="Georgia"/>
          <w:color w:val="333333"/>
          <w:sz w:val="20"/>
          <w:szCs w:val="20"/>
        </w:rPr>
        <w:t>is the sum of the probabilities of the individual outcomes of which it is composed. It is denoted</w:t>
      </w:r>
      <w:r>
        <w:rPr>
          <w:rStyle w:val="apple-converted-space"/>
          <w:rFonts w:ascii="Georgia" w:eastAsiaTheme="majorEastAsia" w:hAnsi="Georgia"/>
          <w:color w:val="333333"/>
          <w:sz w:val="20"/>
          <w:szCs w:val="20"/>
        </w:rPr>
        <w:t> </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A</w:t>
      </w:r>
      <w:r>
        <w:rPr>
          <w:rStyle w:val="mo"/>
          <w:rFonts w:ascii="MathJax_Main" w:hAnsi="MathJax_Main"/>
          <w:b/>
          <w:color w:val="333333"/>
          <w:sz w:val="18"/>
          <w:szCs w:val="18"/>
        </w:rPr>
        <w:t>).</w:t>
      </w:r>
    </w:p>
    <w:p w:rsidR="00AD77BB" w:rsidRDefault="00B45BA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following formula expresses the content of the definition of the probability of an event:</w:t>
      </w:r>
    </w:p>
    <w:p w:rsidR="00AD77BB" w:rsidRDefault="00AD77BB">
      <w:pPr>
        <w:shd w:val="clear" w:color="auto" w:fill="FFFFFF" w:themeFill="background1"/>
        <w:spacing w:line="270" w:lineRule="atLeast"/>
        <w:jc w:val="center"/>
        <w:textAlignment w:val="baseline"/>
        <w:rPr>
          <w:rFonts w:ascii="Calibri" w:hAnsi="Calibri"/>
          <w:b/>
          <w:color w:val="555555"/>
          <w:sz w:val="23"/>
          <w:szCs w:val="23"/>
        </w:rPr>
      </w:pPr>
    </w:p>
    <w:p w:rsidR="00AD77BB" w:rsidRDefault="00B45BA0">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br/>
        <w:t>If an event </w:t>
      </w:r>
      <w:r>
        <w:rPr>
          <w:rFonts w:ascii="Georgia" w:eastAsia="Times New Roman" w:hAnsi="Georgia" w:cs="Times New Roman"/>
          <w:i/>
          <w:iCs/>
          <w:color w:val="333333"/>
          <w:sz w:val="20"/>
          <w:szCs w:val="20"/>
        </w:rPr>
        <w:t>E</w:t>
      </w:r>
      <w:r>
        <w:rPr>
          <w:rFonts w:ascii="Georgia" w:eastAsia="Times New Roman" w:hAnsi="Georgia" w:cs="Times New Roman"/>
          <w:color w:val="333333"/>
          <w:sz w:val="20"/>
          <w:szCs w:val="20"/>
        </w:rPr>
        <w:t> is </w:t>
      </w:r>
      <w:r>
        <w:rPr>
          <w:rFonts w:ascii="MathJax_Math" w:eastAsia="Times New Roman" w:hAnsi="MathJax_Math" w:cs="Times New Roman"/>
          <w:i/>
          <w:iCs/>
          <w:color w:val="333333"/>
          <w:sz w:val="18"/>
          <w:szCs w:val="18"/>
        </w:rPr>
        <w:t>E</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e</w:t>
      </w:r>
      <w:r>
        <w:rPr>
          <w:rFonts w:ascii="MathJax_Main" w:eastAsia="Times New Roman" w:hAnsi="MathJax_Main" w:cs="Times New Roman"/>
          <w:color w:val="333333"/>
          <w:sz w:val="14"/>
          <w:szCs w:val="14"/>
          <w:vertAlign w:val="subscript"/>
        </w:rPr>
        <w:t>1</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e</w:t>
      </w:r>
      <w:r>
        <w:rPr>
          <w:rFonts w:ascii="MathJax_Main" w:eastAsia="Times New Roman" w:hAnsi="MathJax_Main" w:cs="Times New Roman"/>
          <w:color w:val="333333"/>
          <w:sz w:val="14"/>
          <w:szCs w:val="14"/>
          <w:vertAlign w:val="subscript"/>
        </w:rPr>
        <w:t>2</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e</w:t>
      </w:r>
      <w:r>
        <w:rPr>
          <w:rFonts w:ascii="MathJax_Math" w:eastAsia="Times New Roman" w:hAnsi="MathJax_Math" w:cs="Times New Roman"/>
          <w:i/>
          <w:iCs/>
          <w:color w:val="333333"/>
          <w:sz w:val="14"/>
          <w:szCs w:val="14"/>
          <w:vertAlign w:val="subscript"/>
        </w:rPr>
        <w:t>k</w:t>
      </w:r>
      <w:r>
        <w:rPr>
          <w:rFonts w:ascii="MathJax_Main" w:eastAsia="Times New Roman" w:hAnsi="MathJax_Main" w:cs="Times New Roman"/>
          <w:color w:val="333333"/>
          <w:sz w:val="18"/>
          <w:szCs w:val="18"/>
        </w:rPr>
        <w:t>}</w:t>
      </w:r>
      <w:r>
        <w:rPr>
          <w:rFonts w:ascii="Georgia" w:eastAsia="Times New Roman" w:hAnsi="Georgia" w:cs="Times New Roman"/>
          <w:color w:val="333333"/>
          <w:sz w:val="20"/>
          <w:szCs w:val="20"/>
        </w:rPr>
        <w:t>, then</w:t>
      </w:r>
    </w:p>
    <w:p w:rsidR="00AD77BB" w:rsidRDefault="00B45BA0">
      <w:pPr>
        <w:shd w:val="clear" w:color="auto" w:fill="F4F4F4"/>
        <w:spacing w:line="270" w:lineRule="atLeast"/>
        <w:jc w:val="center"/>
        <w:textAlignment w:val="baseline"/>
        <w:rPr>
          <w:rFonts w:ascii="Georgia" w:eastAsia="Times New Roman" w:hAnsi="Georgia" w:cs="Times New Roman"/>
          <w:color w:val="555555"/>
          <w:sz w:val="20"/>
          <w:szCs w:val="20"/>
        </w:rPr>
      </w:pPr>
      <w:r>
        <w:rPr>
          <w:rFonts w:ascii="Georgia" w:eastAsia="Times New Roman" w:hAnsi="Georgia" w:cs="Times New Roman"/>
          <w:i/>
          <w:iCs/>
          <w:color w:val="555555"/>
          <w:sz w:val="20"/>
          <w:szCs w:val="20"/>
        </w:rPr>
        <w:t>P</w:t>
      </w:r>
      <w:r>
        <w:rPr>
          <w:rFonts w:ascii="Georgia" w:eastAsia="Times New Roman" w:hAnsi="Georgia" w:cs="Times New Roman"/>
          <w:color w:val="555555"/>
          <w:sz w:val="20"/>
          <w:szCs w:val="20"/>
        </w:rPr>
        <w:t>(</w:t>
      </w:r>
      <w:r>
        <w:rPr>
          <w:rFonts w:ascii="Georgia" w:eastAsia="Times New Roman" w:hAnsi="Georgia" w:cs="Times New Roman"/>
          <w:i/>
          <w:iCs/>
          <w:color w:val="555555"/>
          <w:sz w:val="20"/>
          <w:szCs w:val="20"/>
        </w:rPr>
        <w:t>E</w:t>
      </w:r>
      <w:r>
        <w:rPr>
          <w:rFonts w:ascii="Georgia" w:eastAsia="Times New Roman" w:hAnsi="Georgia" w:cs="Times New Roman"/>
          <w:color w:val="555555"/>
          <w:sz w:val="20"/>
          <w:szCs w:val="20"/>
        </w:rPr>
        <w:t>)=</w:t>
      </w:r>
      <w:r>
        <w:rPr>
          <w:rFonts w:ascii="Georgia" w:eastAsia="Times New Roman" w:hAnsi="Georgia" w:cs="Times New Roman"/>
          <w:i/>
          <w:iCs/>
          <w:color w:val="555555"/>
          <w:sz w:val="20"/>
          <w:szCs w:val="20"/>
        </w:rPr>
        <w:t>P</w:t>
      </w:r>
      <w:r>
        <w:rPr>
          <w:rFonts w:ascii="Georgia" w:eastAsia="Times New Roman" w:hAnsi="Georgia" w:cs="Times New Roman"/>
          <w:color w:val="555555"/>
          <w:sz w:val="20"/>
          <w:szCs w:val="20"/>
        </w:rPr>
        <w:t>(</w:t>
      </w:r>
      <w:r>
        <w:rPr>
          <w:rFonts w:ascii="Georgia" w:eastAsia="Times New Roman" w:hAnsi="Georgia" w:cs="Times New Roman"/>
          <w:i/>
          <w:iCs/>
          <w:color w:val="555555"/>
          <w:sz w:val="20"/>
          <w:szCs w:val="20"/>
        </w:rPr>
        <w:t>e</w:t>
      </w:r>
      <w:r>
        <w:rPr>
          <w:rFonts w:ascii="Georgia" w:eastAsia="Times New Roman" w:hAnsi="Georgia" w:cs="Times New Roman"/>
          <w:color w:val="555555"/>
          <w:sz w:val="20"/>
          <w:szCs w:val="20"/>
          <w:vertAlign w:val="subscript"/>
        </w:rPr>
        <w:t>1</w:t>
      </w:r>
      <w:r>
        <w:rPr>
          <w:rFonts w:ascii="Georgia" w:eastAsia="Times New Roman" w:hAnsi="Georgia" w:cs="Times New Roman"/>
          <w:color w:val="555555"/>
          <w:sz w:val="20"/>
          <w:szCs w:val="20"/>
        </w:rPr>
        <w:t>)+</w:t>
      </w:r>
      <w:r>
        <w:rPr>
          <w:rFonts w:ascii="Georgia" w:eastAsia="Times New Roman" w:hAnsi="Georgia" w:cs="Times New Roman"/>
          <w:i/>
          <w:iCs/>
          <w:color w:val="555555"/>
          <w:sz w:val="20"/>
          <w:szCs w:val="20"/>
        </w:rPr>
        <w:t>P</w:t>
      </w:r>
      <w:r>
        <w:rPr>
          <w:rFonts w:ascii="Georgia" w:eastAsia="Times New Roman" w:hAnsi="Georgia" w:cs="Times New Roman"/>
          <w:color w:val="555555"/>
          <w:sz w:val="20"/>
          <w:szCs w:val="20"/>
        </w:rPr>
        <w:t>(</w:t>
      </w:r>
      <w:r>
        <w:rPr>
          <w:rFonts w:ascii="Georgia" w:eastAsia="Times New Roman" w:hAnsi="Georgia" w:cs="Times New Roman"/>
          <w:i/>
          <w:iCs/>
          <w:color w:val="555555"/>
          <w:sz w:val="20"/>
          <w:szCs w:val="20"/>
        </w:rPr>
        <w:t>e</w:t>
      </w:r>
      <w:r>
        <w:rPr>
          <w:rFonts w:ascii="Georgia" w:eastAsia="Times New Roman" w:hAnsi="Georgia" w:cs="Times New Roman"/>
          <w:color w:val="555555"/>
          <w:sz w:val="20"/>
          <w:szCs w:val="20"/>
          <w:vertAlign w:val="subscript"/>
        </w:rPr>
        <w:t>2</w:t>
      </w:r>
      <w:r>
        <w:rPr>
          <w:rFonts w:ascii="Georgia" w:eastAsia="Times New Roman" w:hAnsi="Georgia" w:cs="Times New Roman"/>
          <w:color w:val="555555"/>
          <w:sz w:val="20"/>
          <w:szCs w:val="20"/>
        </w:rPr>
        <w:t>)+</w:t>
      </w:r>
      <w:r>
        <w:rPr>
          <w:rFonts w:ascii="Times New Roman" w:eastAsia="Times New Roman" w:hAnsi="Times New Roman" w:cs="Times New Roman"/>
          <w:color w:val="555555"/>
          <w:sz w:val="20"/>
          <w:szCs w:val="20"/>
        </w:rPr>
        <w:t> </w:t>
      </w:r>
      <w:r>
        <w:rPr>
          <w:rFonts w:ascii="Cambria Math" w:eastAsia="Times New Roman" w:hAnsi="Cambria Math" w:cs="Cambria Math"/>
          <w:color w:val="555555"/>
          <w:sz w:val="20"/>
          <w:szCs w:val="20"/>
        </w:rPr>
        <w:t>⋅</w:t>
      </w:r>
      <w:r>
        <w:rPr>
          <w:rFonts w:ascii="Georgia" w:eastAsia="Times New Roman" w:hAnsi="Georgia" w:cs="Times New Roman"/>
          <w:color w:val="555555"/>
          <w:sz w:val="20"/>
          <w:szCs w:val="20"/>
        </w:rPr>
        <w:t xml:space="preserve"> </w:t>
      </w:r>
      <w:r>
        <w:rPr>
          <w:rFonts w:ascii="Cambria Math" w:eastAsia="Times New Roman" w:hAnsi="Cambria Math" w:cs="Cambria Math"/>
          <w:color w:val="555555"/>
          <w:sz w:val="20"/>
          <w:szCs w:val="20"/>
        </w:rPr>
        <w:t>⋅</w:t>
      </w:r>
      <w:r>
        <w:rPr>
          <w:rFonts w:ascii="Georgia" w:eastAsia="Times New Roman" w:hAnsi="Georgia" w:cs="Times New Roman"/>
          <w:color w:val="555555"/>
          <w:sz w:val="20"/>
          <w:szCs w:val="20"/>
        </w:rPr>
        <w:t xml:space="preserve"> </w:t>
      </w:r>
      <w:r>
        <w:rPr>
          <w:rFonts w:ascii="Cambria Math" w:eastAsia="Times New Roman" w:hAnsi="Cambria Math" w:cs="Cambria Math"/>
          <w:color w:val="555555"/>
          <w:sz w:val="20"/>
          <w:szCs w:val="20"/>
        </w:rPr>
        <w:t>⋅</w:t>
      </w:r>
      <w:r>
        <w:rPr>
          <w:rFonts w:ascii="Times New Roman" w:eastAsia="Times New Roman" w:hAnsi="Times New Roman" w:cs="Times New Roman"/>
          <w:color w:val="555555"/>
          <w:sz w:val="20"/>
          <w:szCs w:val="20"/>
        </w:rPr>
        <w:t> </w:t>
      </w:r>
      <w:r>
        <w:rPr>
          <w:rFonts w:ascii="Georgia" w:eastAsia="Times New Roman" w:hAnsi="Georgia" w:cs="Times New Roman"/>
          <w:color w:val="555555"/>
          <w:sz w:val="20"/>
          <w:szCs w:val="20"/>
        </w:rPr>
        <w:t>+</w:t>
      </w:r>
      <w:r>
        <w:rPr>
          <w:rFonts w:ascii="Georgia" w:eastAsia="Times New Roman" w:hAnsi="Georgia" w:cs="Times New Roman"/>
          <w:i/>
          <w:iCs/>
          <w:color w:val="555555"/>
          <w:sz w:val="20"/>
          <w:szCs w:val="20"/>
        </w:rPr>
        <w:t>P</w:t>
      </w:r>
      <w:r>
        <w:rPr>
          <w:rFonts w:ascii="Georgia" w:eastAsia="Times New Roman" w:hAnsi="Georgia" w:cs="Times New Roman"/>
          <w:color w:val="555555"/>
          <w:sz w:val="20"/>
          <w:szCs w:val="20"/>
        </w:rPr>
        <w:t>(</w:t>
      </w:r>
      <w:r>
        <w:rPr>
          <w:rFonts w:ascii="Georgia" w:eastAsia="Times New Roman" w:hAnsi="Georgia" w:cs="Times New Roman"/>
          <w:i/>
          <w:iCs/>
          <w:color w:val="555555"/>
          <w:sz w:val="20"/>
          <w:szCs w:val="20"/>
        </w:rPr>
        <w:t>e</w:t>
      </w:r>
      <w:r>
        <w:rPr>
          <w:rFonts w:ascii="Georgia" w:eastAsia="Times New Roman" w:hAnsi="Georgia" w:cs="Times New Roman"/>
          <w:i/>
          <w:iCs/>
          <w:color w:val="555555"/>
          <w:sz w:val="20"/>
          <w:szCs w:val="20"/>
          <w:vertAlign w:val="subscript"/>
        </w:rPr>
        <w:t>k</w:t>
      </w:r>
      <w:r>
        <w:rPr>
          <w:rFonts w:ascii="Georgia" w:eastAsia="Times New Roman" w:hAnsi="Georgia" w:cs="Times New Roman"/>
          <w:color w:val="555555"/>
          <w:sz w:val="20"/>
          <w:szCs w:val="20"/>
        </w:rPr>
        <w:t>)</w:t>
      </w:r>
    </w:p>
    <w:p w:rsidR="00AD77BB" w:rsidRDefault="00B45BA0">
      <w:pPr>
        <w:shd w:val="clear" w:color="auto" w:fill="FFFFFF"/>
        <w:spacing w:after="0"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2689C6"/>
          <w:sz w:val="21"/>
          <w:szCs w:val="21"/>
        </w:rPr>
        <w:t>Figure 3.3 "Sample Spaces and Probability"</w:t>
      </w:r>
      <w:r>
        <w:rPr>
          <w:rFonts w:ascii="Georgia" w:eastAsia="Times New Roman" w:hAnsi="Georgia" w:cs="Times New Roman"/>
          <w:color w:val="333333"/>
          <w:sz w:val="21"/>
          <w:szCs w:val="21"/>
        </w:rPr>
        <w:t> graphically illustrates the definitions.</w:t>
      </w:r>
    </w:p>
    <w:p w:rsidR="00AD77BB" w:rsidRDefault="00B45BA0">
      <w:pPr>
        <w:shd w:val="clear" w:color="auto" w:fill="FFFFFF"/>
        <w:spacing w:after="0" w:line="439" w:lineRule="atLeast"/>
        <w:textAlignment w:val="baseline"/>
        <w:rPr>
          <w:rFonts w:ascii="Georgia" w:eastAsia="Times New Roman" w:hAnsi="Georgia" w:cs="Times New Roman"/>
          <w:i/>
          <w:iCs/>
          <w:color w:val="BB9966"/>
        </w:rPr>
      </w:pPr>
      <w:r>
        <w:rPr>
          <w:rFonts w:ascii="Georgia" w:eastAsia="Times New Roman" w:hAnsi="Georgia" w:cs="Times New Roman"/>
          <w:i/>
          <w:iCs/>
          <w:color w:val="000000"/>
          <w:sz w:val="20"/>
          <w:szCs w:val="20"/>
        </w:rPr>
        <w:t>Figure 3.3</w:t>
      </w:r>
      <w:r>
        <w:rPr>
          <w:rFonts w:ascii="Georgia" w:eastAsia="Times New Roman" w:hAnsi="Georgia" w:cs="Times New Roman"/>
          <w:i/>
          <w:iCs/>
          <w:color w:val="BB9966"/>
        </w:rPr>
        <w:t> Sample Spaces and Probability</w:t>
      </w:r>
    </w:p>
    <w:p w:rsidR="00AD77BB" w:rsidRDefault="00B45BA0">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14:anchorId="0A0EF0B1" wp14:editId="7A347251">
            <wp:extent cx="5676900" cy="2305050"/>
            <wp:effectExtent l="0" t="0" r="0" b="0"/>
            <wp:docPr id="75" name="Picture 87" descr="http://images.flatworldknowledge.com/shafer/shafer-fig0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images.flatworldknowledge.com/shafer/shafer-fig03_003.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76900" cy="2305050"/>
                    </a:xfrm>
                    <a:prstGeom prst="rect">
                      <a:avLst/>
                    </a:prstGeom>
                    <a:noFill/>
                    <a:ln>
                      <a:noFill/>
                    </a:ln>
                  </pic:spPr>
                </pic:pic>
              </a:graphicData>
            </a:graphic>
          </wp:inline>
        </w:drawing>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Since the whole sample space </w:t>
      </w:r>
      <w:r>
        <w:rPr>
          <w:rFonts w:ascii="Georgia" w:eastAsia="Times New Roman" w:hAnsi="Georgia" w:cs="Times New Roman"/>
          <w:i/>
          <w:iCs/>
          <w:color w:val="333333"/>
          <w:sz w:val="20"/>
          <w:szCs w:val="20"/>
        </w:rPr>
        <w:t>S</w:t>
      </w:r>
      <w:r>
        <w:rPr>
          <w:rFonts w:ascii="Georgia" w:eastAsia="Times New Roman" w:hAnsi="Georgia" w:cs="Times New Roman"/>
          <w:color w:val="333333"/>
          <w:sz w:val="21"/>
          <w:szCs w:val="21"/>
        </w:rPr>
        <w:t> is an event that is certain to occur, the sum of the probabilities of all the outcomes must be the number 1.</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In ordinary language probabilities are frequently expressed as percentages. For example, we would say that there is a 70% chance of rain tomorrow, meaning that the probability of rain is 0.70. We will use this practice here, but in all the computational formulas that follow we will use the form 0.70 and not 70%.</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EXAMPLE 5</w:t>
      </w:r>
    </w:p>
    <w:p w:rsidR="00AD77BB" w:rsidRDefault="00B45BA0">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coin is called “balanced” or “fair” if each side is equally likely to land up. Assign a probability to each outcome in the sample space for the experiment that consists of tossing a single fair coin.</w:t>
      </w:r>
    </w:p>
    <w:p w:rsidR="00AD77BB" w:rsidRDefault="00B45BA0">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Solution:</w:t>
      </w:r>
    </w:p>
    <w:p w:rsidR="00AD77BB" w:rsidRDefault="00B45BA0">
      <w:p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With the outcomes labeled </w:t>
      </w:r>
      <w:r>
        <w:rPr>
          <w:rFonts w:ascii="Calibri" w:eastAsia="Times New Roman" w:hAnsi="Calibri" w:cs="Times New Roman"/>
          <w:i/>
          <w:iCs/>
          <w:color w:val="333333"/>
          <w:sz w:val="20"/>
          <w:szCs w:val="20"/>
        </w:rPr>
        <w:t>h</w:t>
      </w:r>
      <w:r>
        <w:rPr>
          <w:rFonts w:ascii="Calibri" w:eastAsia="Times New Roman" w:hAnsi="Calibri" w:cs="Times New Roman"/>
          <w:color w:val="333333"/>
          <w:sz w:val="20"/>
          <w:szCs w:val="20"/>
        </w:rPr>
        <w:t> for heads and </w:t>
      </w:r>
      <w:r>
        <w:rPr>
          <w:rFonts w:ascii="Calibri" w:eastAsia="Times New Roman" w:hAnsi="Calibri" w:cs="Times New Roman"/>
          <w:i/>
          <w:iCs/>
          <w:color w:val="333333"/>
          <w:sz w:val="20"/>
          <w:szCs w:val="20"/>
        </w:rPr>
        <w:t>t</w:t>
      </w:r>
      <w:r>
        <w:rPr>
          <w:rFonts w:ascii="Calibri" w:eastAsia="Times New Roman" w:hAnsi="Calibri" w:cs="Times New Roman"/>
          <w:color w:val="333333"/>
          <w:sz w:val="20"/>
          <w:szCs w:val="20"/>
        </w:rPr>
        <w:t> for tails, the sample space is the set </w:t>
      </w:r>
      <w:r>
        <w:rPr>
          <w:rFonts w:ascii="MathJax_Math" w:eastAsia="Times New Roman" w:hAnsi="MathJax_Math" w:cs="Times New Roman"/>
          <w:b/>
          <w:i/>
          <w:iCs/>
          <w:color w:val="333333"/>
          <w:sz w:val="15"/>
          <w:szCs w:val="15"/>
        </w:rPr>
        <w:t>S</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h</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t</w:t>
      </w:r>
      <w:r>
        <w:rPr>
          <w:rFonts w:ascii="MathJax_Main" w:eastAsia="Times New Roman" w:hAnsi="MathJax_Main" w:cs="Times New Roman"/>
          <w:b/>
          <w:color w:val="333333"/>
          <w:sz w:val="15"/>
          <w:szCs w:val="15"/>
        </w:rPr>
        <w:t>}.</w:t>
      </w:r>
      <w:r>
        <w:rPr>
          <w:rFonts w:ascii="Calibri" w:eastAsia="Times New Roman" w:hAnsi="Calibri" w:cs="Times New Roman"/>
          <w:color w:val="333333"/>
          <w:sz w:val="20"/>
          <w:szCs w:val="20"/>
        </w:rPr>
        <w:t> Since the outcomes have the same probabilities, which must add up to 1, each outcome is assigned probability 1/2.</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EXAMPLE 6</w:t>
      </w:r>
    </w:p>
    <w:p w:rsidR="00AD77BB" w:rsidRDefault="00B45BA0">
      <w:pPr>
        <w:shd w:val="clear" w:color="auto" w:fill="E3EFF7"/>
        <w:spacing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die is called “balanced” or “fair” if each side is equally likely to land on top. Assign a probability to each outcome in the sample space for the experiment that consists of tossing a single fair die. Find the probabilities of the events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“an even number is rolled” and </w:t>
      </w:r>
      <w:r>
        <w:rPr>
          <w:rFonts w:ascii="Calibri" w:eastAsia="Times New Roman" w:hAnsi="Calibri" w:cs="Times New Roman"/>
          <w:i/>
          <w:iCs/>
          <w:color w:val="333333"/>
          <w:sz w:val="20"/>
          <w:szCs w:val="20"/>
        </w:rPr>
        <w:t>T</w:t>
      </w:r>
      <w:r>
        <w:rPr>
          <w:rFonts w:ascii="Calibri" w:eastAsia="Times New Roman" w:hAnsi="Calibri" w:cs="Times New Roman"/>
          <w:color w:val="333333"/>
          <w:sz w:val="20"/>
          <w:szCs w:val="20"/>
        </w:rPr>
        <w:t>: “a number greater than two is rolled.”</w:t>
      </w:r>
    </w:p>
    <w:p w:rsidR="00AD77BB" w:rsidRDefault="00B45BA0">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Solution:</w:t>
      </w:r>
    </w:p>
    <w:p w:rsidR="00AD77BB" w:rsidRDefault="00B45BA0">
      <w:p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With outcomes labeled according to the number of dots on the top face of the die, the sample space is the set</w:t>
      </w:r>
      <w:r>
        <w:rPr>
          <w:rFonts w:ascii="Calibri" w:eastAsia="Times New Roman" w:hAnsi="Calibri" w:cs="Times New Roman"/>
          <w:b/>
          <w:color w:val="333333"/>
          <w:sz w:val="20"/>
          <w:szCs w:val="20"/>
        </w:rPr>
        <w:t> </w:t>
      </w:r>
      <w:r>
        <w:rPr>
          <w:rFonts w:ascii="MathJax_Math" w:eastAsia="Times New Roman" w:hAnsi="MathJax_Math" w:cs="Times New Roman"/>
          <w:b/>
          <w:i/>
          <w:iCs/>
          <w:color w:val="333333"/>
          <w:sz w:val="15"/>
          <w:szCs w:val="15"/>
        </w:rPr>
        <w:t>S</w:t>
      </w:r>
      <w:r>
        <w:rPr>
          <w:rFonts w:ascii="MathJax_Main" w:eastAsia="Times New Roman" w:hAnsi="MathJax_Main" w:cs="Times New Roman"/>
          <w:b/>
          <w:color w:val="333333"/>
          <w:sz w:val="15"/>
          <w:szCs w:val="15"/>
        </w:rPr>
        <w:t>={1,2,3,4,5,6}.</w:t>
      </w:r>
      <w:r>
        <w:rPr>
          <w:rFonts w:ascii="Calibri" w:eastAsia="Times New Roman" w:hAnsi="Calibri" w:cs="Times New Roman"/>
          <w:b/>
          <w:color w:val="333333"/>
          <w:sz w:val="20"/>
          <w:szCs w:val="20"/>
        </w:rPr>
        <w:t> </w:t>
      </w:r>
      <w:r>
        <w:rPr>
          <w:rFonts w:ascii="Calibri" w:eastAsia="Times New Roman" w:hAnsi="Calibri" w:cs="Times New Roman"/>
          <w:color w:val="333333"/>
          <w:sz w:val="20"/>
          <w:szCs w:val="20"/>
        </w:rPr>
        <w:t>Since there are six equally likely outcomes, which must add up to 1, each is assigned probability 1/6.</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EXAMPLE 7</w:t>
      </w:r>
    </w:p>
    <w:p w:rsidR="00AD77BB" w:rsidRDefault="00B45BA0">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Two fair coins are tossed. Find the probability that the coins match, i.e., either both land heads or both land tails.</w:t>
      </w:r>
    </w:p>
    <w:p w:rsidR="00AD77BB" w:rsidRDefault="00B45BA0">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Solution:</w:t>
      </w:r>
    </w:p>
    <w:p w:rsidR="00AD77BB" w:rsidRDefault="00B45BA0">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In </w:t>
      </w:r>
      <w:r>
        <w:rPr>
          <w:rFonts w:ascii="Calibri" w:eastAsia="Times New Roman" w:hAnsi="Calibri" w:cs="Times New Roman"/>
          <w:color w:val="2689C6"/>
          <w:sz w:val="21"/>
          <w:szCs w:val="21"/>
        </w:rPr>
        <w:t>Note 3.8 "Example 3"</w:t>
      </w:r>
      <w:r>
        <w:rPr>
          <w:rFonts w:ascii="Calibri" w:eastAsia="Times New Roman" w:hAnsi="Calibri" w:cs="Times New Roman"/>
          <w:color w:val="333333"/>
          <w:sz w:val="21"/>
          <w:szCs w:val="21"/>
        </w:rPr>
        <w:t> we constructed the sample space </w:t>
      </w:r>
      <w:r>
        <w:rPr>
          <w:rFonts w:ascii="MathJax_Math" w:eastAsia="Times New Roman" w:hAnsi="MathJax_Math" w:cs="Times New Roman"/>
          <w:b/>
          <w:i/>
          <w:iCs/>
          <w:color w:val="333333"/>
          <w:sz w:val="15"/>
          <w:szCs w:val="15"/>
        </w:rPr>
        <w:t>S</w:t>
      </w:r>
      <w:r>
        <w:rPr>
          <w:rFonts w:ascii="MathJax_Main" w:eastAsia="Times New Roman" w:hAnsi="MathJax_Main" w:cs="Times New Roman"/>
          <w:b/>
          <w:color w:val="333333"/>
          <w:sz w:val="15"/>
          <w:szCs w:val="15"/>
        </w:rPr>
        <w:t>={2</w:t>
      </w:r>
      <w:r>
        <w:rPr>
          <w:rFonts w:ascii="MathJax_Math" w:eastAsia="Times New Roman" w:hAnsi="MathJax_Math" w:cs="Times New Roman"/>
          <w:b/>
          <w:i/>
          <w:iCs/>
          <w:color w:val="333333"/>
          <w:sz w:val="15"/>
          <w:szCs w:val="15"/>
        </w:rPr>
        <w:t>h</w:t>
      </w:r>
      <w:r>
        <w:rPr>
          <w:rFonts w:ascii="MathJax_Main" w:eastAsia="Times New Roman" w:hAnsi="MathJax_Main" w:cs="Times New Roman"/>
          <w:b/>
          <w:color w:val="333333"/>
          <w:sz w:val="15"/>
          <w:szCs w:val="15"/>
        </w:rPr>
        <w:t>,2</w:t>
      </w:r>
      <w:r>
        <w:rPr>
          <w:rFonts w:ascii="MathJax_Math" w:eastAsia="Times New Roman" w:hAnsi="MathJax_Math" w:cs="Times New Roman"/>
          <w:b/>
          <w:i/>
          <w:iCs/>
          <w:color w:val="333333"/>
          <w:sz w:val="15"/>
          <w:szCs w:val="15"/>
        </w:rPr>
        <w:t>t</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d</w:t>
      </w:r>
      <w:r>
        <w:rPr>
          <w:rFonts w:ascii="MathJax_Main" w:eastAsia="Times New Roman" w:hAnsi="MathJax_Main" w:cs="Times New Roman"/>
          <w:b/>
          <w:color w:val="333333"/>
          <w:sz w:val="15"/>
          <w:szCs w:val="15"/>
        </w:rPr>
        <w:t>}</w:t>
      </w:r>
      <w:r>
        <w:rPr>
          <w:rFonts w:ascii="Calibri" w:eastAsia="Times New Roman" w:hAnsi="Calibri" w:cs="Times New Roman"/>
          <w:color w:val="333333"/>
          <w:sz w:val="21"/>
          <w:szCs w:val="21"/>
        </w:rPr>
        <w:t> for the situation in which the coins are identical and the sample space </w:t>
      </w:r>
      <w:r>
        <w:rPr>
          <w:rFonts w:ascii="MathJax_Math" w:eastAsia="Times New Roman" w:hAnsi="MathJax_Math" w:cs="Times New Roman"/>
          <w:b/>
          <w:i/>
          <w:iCs/>
          <w:color w:val="333333"/>
          <w:sz w:val="15"/>
          <w:szCs w:val="15"/>
        </w:rPr>
        <w:t>S</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hh</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ht</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th</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tt</w:t>
      </w:r>
      <w:r>
        <w:rPr>
          <w:rFonts w:ascii="MathJax_Main" w:eastAsia="Times New Roman" w:hAnsi="MathJax_Main" w:cs="Times New Roman"/>
          <w:b/>
          <w:color w:val="333333"/>
          <w:sz w:val="15"/>
          <w:szCs w:val="15"/>
        </w:rPr>
        <w:t>}</w:t>
      </w:r>
      <w:r>
        <w:rPr>
          <w:rFonts w:ascii="Calibri" w:eastAsia="Times New Roman" w:hAnsi="Calibri" w:cs="Times New Roman"/>
          <w:color w:val="333333"/>
          <w:sz w:val="21"/>
          <w:szCs w:val="21"/>
        </w:rPr>
        <w:t>for the situation in which the two coins can be told apart.</w:t>
      </w:r>
    </w:p>
    <w:p w:rsidR="00AD77BB" w:rsidRDefault="00B45BA0">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The theory of probability does not tell us </w:t>
      </w:r>
      <w:r>
        <w:rPr>
          <w:rFonts w:ascii="Calibri" w:eastAsia="Times New Roman" w:hAnsi="Calibri" w:cs="Times New Roman"/>
          <w:i/>
          <w:iCs/>
          <w:color w:val="333333"/>
          <w:sz w:val="20"/>
          <w:szCs w:val="20"/>
        </w:rPr>
        <w:t>how</w:t>
      </w:r>
      <w:r>
        <w:rPr>
          <w:rFonts w:ascii="Calibri" w:eastAsia="Times New Roman" w:hAnsi="Calibri" w:cs="Times New Roman"/>
          <w:color w:val="333333"/>
          <w:sz w:val="21"/>
          <w:szCs w:val="21"/>
        </w:rPr>
        <w:t> to assign probabilities to the outcomes, only what to do with them once they are assigned. Specifically, using sample space </w:t>
      </w:r>
      <w:r>
        <w:rPr>
          <w:rFonts w:ascii="Calibri" w:eastAsia="Times New Roman" w:hAnsi="Calibri" w:cs="Times New Roman"/>
          <w:i/>
          <w:iCs/>
          <w:color w:val="333333"/>
          <w:sz w:val="20"/>
          <w:szCs w:val="20"/>
        </w:rPr>
        <w:t>S</w:t>
      </w:r>
      <w:r>
        <w:rPr>
          <w:rFonts w:ascii="Calibri" w:eastAsia="Times New Roman" w:hAnsi="Calibri" w:cs="Times New Roman"/>
          <w:color w:val="333333"/>
          <w:sz w:val="21"/>
          <w:szCs w:val="21"/>
        </w:rPr>
        <w:t>, matching coins is the event </w:t>
      </w:r>
      <w:r>
        <w:rPr>
          <w:rFonts w:ascii="MathJax_Math" w:eastAsia="Times New Roman" w:hAnsi="MathJax_Math" w:cs="Times New Roman"/>
          <w:b/>
          <w:i/>
          <w:iCs/>
          <w:color w:val="333333"/>
          <w:sz w:val="15"/>
          <w:szCs w:val="15"/>
        </w:rPr>
        <w:t>M</w:t>
      </w:r>
      <w:r>
        <w:rPr>
          <w:rFonts w:ascii="MathJax_Main" w:eastAsia="Times New Roman" w:hAnsi="MathJax_Main" w:cs="Times New Roman"/>
          <w:b/>
          <w:color w:val="333333"/>
          <w:sz w:val="15"/>
          <w:szCs w:val="15"/>
        </w:rPr>
        <w:t>={2</w:t>
      </w:r>
      <w:r>
        <w:rPr>
          <w:rFonts w:ascii="MathJax_Math" w:eastAsia="Times New Roman" w:hAnsi="MathJax_Math" w:cs="Times New Roman"/>
          <w:b/>
          <w:i/>
          <w:iCs/>
          <w:color w:val="333333"/>
          <w:sz w:val="15"/>
          <w:szCs w:val="15"/>
        </w:rPr>
        <w:t>h</w:t>
      </w:r>
      <w:r>
        <w:rPr>
          <w:rFonts w:ascii="MathJax_Main" w:eastAsia="Times New Roman" w:hAnsi="MathJax_Main" w:cs="Times New Roman"/>
          <w:b/>
          <w:color w:val="333333"/>
          <w:sz w:val="15"/>
          <w:szCs w:val="15"/>
        </w:rPr>
        <w:t>,2</w:t>
      </w:r>
      <w:r>
        <w:rPr>
          <w:rFonts w:ascii="MathJax_Math" w:eastAsia="Times New Roman" w:hAnsi="MathJax_Math" w:cs="Times New Roman"/>
          <w:b/>
          <w:i/>
          <w:iCs/>
          <w:color w:val="333333"/>
          <w:sz w:val="15"/>
          <w:szCs w:val="15"/>
        </w:rPr>
        <w:t>t</w:t>
      </w:r>
      <w:r>
        <w:rPr>
          <w:rFonts w:ascii="MathJax_Main" w:eastAsia="Times New Roman" w:hAnsi="MathJax_Main" w:cs="Times New Roman"/>
          <w:b/>
          <w:color w:val="333333"/>
          <w:sz w:val="15"/>
          <w:szCs w:val="15"/>
        </w:rPr>
        <w:t>}</w:t>
      </w:r>
      <w:r>
        <w:rPr>
          <w:rFonts w:ascii="Calibri" w:eastAsia="Times New Roman" w:hAnsi="Calibri" w:cs="Times New Roman"/>
          <w:color w:val="333333"/>
          <w:sz w:val="21"/>
          <w:szCs w:val="21"/>
        </w:rPr>
        <w:t>, which has probability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(2</w:t>
      </w:r>
      <w:r>
        <w:rPr>
          <w:rFonts w:ascii="MathJax_Math" w:eastAsia="Times New Roman" w:hAnsi="MathJax_Math" w:cs="Times New Roman"/>
          <w:b/>
          <w:i/>
          <w:iCs/>
          <w:color w:val="333333"/>
          <w:sz w:val="15"/>
          <w:szCs w:val="15"/>
        </w:rPr>
        <w:t>h</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(2</w:t>
      </w:r>
      <w:r>
        <w:rPr>
          <w:rFonts w:ascii="MathJax_Math" w:eastAsia="Times New Roman" w:hAnsi="MathJax_Math" w:cs="Times New Roman"/>
          <w:b/>
          <w:i/>
          <w:iCs/>
          <w:color w:val="333333"/>
          <w:sz w:val="15"/>
          <w:szCs w:val="15"/>
        </w:rPr>
        <w:t>t</w:t>
      </w:r>
      <w:r>
        <w:rPr>
          <w:rFonts w:ascii="MathJax_Main" w:eastAsia="Times New Roman" w:hAnsi="MathJax_Main" w:cs="Times New Roman"/>
          <w:b/>
          <w:color w:val="333333"/>
          <w:sz w:val="15"/>
          <w:szCs w:val="15"/>
        </w:rPr>
        <w:t>).</w:t>
      </w:r>
      <w:r>
        <w:rPr>
          <w:rFonts w:ascii="Calibri" w:eastAsia="Times New Roman" w:hAnsi="Calibri" w:cs="Times New Roman"/>
          <w:color w:val="333333"/>
          <w:sz w:val="21"/>
          <w:szCs w:val="21"/>
        </w:rPr>
        <w:t> Using sample space </w:t>
      </w:r>
      <w:r>
        <w:rPr>
          <w:rFonts w:ascii="MathJax_Math" w:eastAsia="Times New Roman" w:hAnsi="MathJax_Math" w:cs="Times New Roman"/>
          <w:b/>
          <w:i/>
          <w:iCs/>
          <w:color w:val="333333"/>
          <w:sz w:val="15"/>
          <w:szCs w:val="15"/>
        </w:rPr>
        <w:t>S</w:t>
      </w:r>
      <w:r>
        <w:rPr>
          <w:rFonts w:ascii="MathJax_Main" w:eastAsia="Times New Roman" w:hAnsi="MathJax_Main" w:cs="Times New Roman"/>
          <w:b/>
          <w:color w:val="333333"/>
          <w:sz w:val="15"/>
          <w:szCs w:val="15"/>
        </w:rPr>
        <w:t>′</w:t>
      </w:r>
      <w:r>
        <w:rPr>
          <w:rFonts w:ascii="Calibri" w:eastAsia="Times New Roman" w:hAnsi="Calibri" w:cs="Times New Roman"/>
          <w:color w:val="333333"/>
          <w:sz w:val="21"/>
          <w:szCs w:val="21"/>
        </w:rPr>
        <w:t xml:space="preserve">, matching coins is the </w:t>
      </w:r>
      <w:r>
        <w:rPr>
          <w:rFonts w:ascii="Calibri" w:eastAsia="Times New Roman" w:hAnsi="Calibri" w:cs="Times New Roman"/>
          <w:color w:val="333333"/>
          <w:sz w:val="21"/>
          <w:szCs w:val="21"/>
        </w:rPr>
        <w:lastRenderedPageBreak/>
        <w:t>event </w:t>
      </w:r>
      <w:r>
        <w:rPr>
          <w:rFonts w:ascii="MathJax_Math" w:eastAsia="Times New Roman" w:hAnsi="MathJax_Math" w:cs="Times New Roman"/>
          <w:b/>
          <w:i/>
          <w:iCs/>
          <w:color w:val="333333"/>
          <w:sz w:val="15"/>
          <w:szCs w:val="15"/>
        </w:rPr>
        <w:t>M</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hh</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tt</w:t>
      </w:r>
      <w:r>
        <w:rPr>
          <w:rFonts w:ascii="MathJax_Main" w:eastAsia="Times New Roman" w:hAnsi="MathJax_Main" w:cs="Times New Roman"/>
          <w:b/>
          <w:color w:val="333333"/>
          <w:sz w:val="15"/>
          <w:szCs w:val="15"/>
        </w:rPr>
        <w:t>}</w:t>
      </w:r>
      <w:r>
        <w:rPr>
          <w:rFonts w:ascii="Calibri" w:eastAsia="Times New Roman" w:hAnsi="Calibri" w:cs="Times New Roman"/>
          <w:color w:val="333333"/>
          <w:sz w:val="21"/>
          <w:szCs w:val="21"/>
        </w:rPr>
        <w:t>, which has probability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hh</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tt</w:t>
      </w:r>
      <w:r>
        <w:rPr>
          <w:rFonts w:ascii="MathJax_Main" w:eastAsia="Times New Roman" w:hAnsi="MathJax_Main" w:cs="Times New Roman"/>
          <w:b/>
          <w:color w:val="333333"/>
          <w:sz w:val="15"/>
          <w:szCs w:val="15"/>
        </w:rPr>
        <w:t>)</w:t>
      </w:r>
      <w:r>
        <w:rPr>
          <w:rFonts w:ascii="MathJax_Main" w:eastAsia="Times New Roman" w:hAnsi="MathJax_Main" w:cs="Times New Roman"/>
          <w:color w:val="333333"/>
          <w:sz w:val="15"/>
          <w:szCs w:val="15"/>
        </w:rPr>
        <w:t>.</w:t>
      </w:r>
      <w:r>
        <w:rPr>
          <w:rFonts w:ascii="Calibri" w:eastAsia="Times New Roman" w:hAnsi="Calibri" w:cs="Times New Roman"/>
          <w:color w:val="333333"/>
          <w:sz w:val="21"/>
          <w:szCs w:val="21"/>
        </w:rPr>
        <w:t> In the physical world it should make no difference whether the coins are identical or not, and so we would like to assign probabilities to the outcomes so that the numbers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M</w:t>
      </w:r>
      <w:r>
        <w:rPr>
          <w:rFonts w:ascii="MathJax_Main" w:eastAsia="Times New Roman" w:hAnsi="MathJax_Main" w:cs="Times New Roman"/>
          <w:b/>
          <w:color w:val="333333"/>
          <w:sz w:val="15"/>
          <w:szCs w:val="15"/>
        </w:rPr>
        <w:t>)</w:t>
      </w:r>
      <w:r>
        <w:rPr>
          <w:rFonts w:ascii="Calibri" w:eastAsia="Times New Roman" w:hAnsi="Calibri" w:cs="Times New Roman"/>
          <w:color w:val="333333"/>
          <w:sz w:val="21"/>
          <w:szCs w:val="21"/>
        </w:rPr>
        <w:t> and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M</w:t>
      </w:r>
      <w:r>
        <w:rPr>
          <w:rFonts w:ascii="MathJax_Main" w:eastAsia="Times New Roman" w:hAnsi="MathJax_Main" w:cs="Times New Roman"/>
          <w:b/>
          <w:color w:val="333333"/>
          <w:sz w:val="15"/>
          <w:szCs w:val="15"/>
        </w:rPr>
        <w:t>′)</w:t>
      </w:r>
      <w:r>
        <w:rPr>
          <w:rFonts w:ascii="Calibri" w:eastAsia="Times New Roman" w:hAnsi="Calibri" w:cs="Times New Roman"/>
          <w:color w:val="333333"/>
          <w:sz w:val="21"/>
          <w:szCs w:val="21"/>
        </w:rPr>
        <w:t> are the same and best match what we observe when actual physical experiments are performed with coins that seem to be fair. Actual experience suggests that the outcomes in </w:t>
      </w:r>
      <w:r>
        <w:rPr>
          <w:rFonts w:ascii="MathJax_Math" w:eastAsia="Times New Roman" w:hAnsi="MathJax_Math" w:cs="Times New Roman"/>
          <w:b/>
          <w:i/>
          <w:iCs/>
          <w:color w:val="333333"/>
          <w:sz w:val="15"/>
          <w:szCs w:val="15"/>
        </w:rPr>
        <w:t>S</w:t>
      </w:r>
      <w:r>
        <w:rPr>
          <w:rFonts w:ascii="MathJax_Main" w:eastAsia="Times New Roman" w:hAnsi="MathJax_Main" w:cs="Times New Roman"/>
          <w:b/>
          <w:color w:val="333333"/>
          <w:sz w:val="15"/>
          <w:szCs w:val="15"/>
        </w:rPr>
        <w:t>′</w:t>
      </w:r>
      <w:r>
        <w:rPr>
          <w:rFonts w:ascii="MathJax_Main" w:eastAsia="Times New Roman" w:hAnsi="MathJax_Main" w:cs="Times New Roman"/>
          <w:color w:val="333333"/>
          <w:sz w:val="15"/>
          <w:szCs w:val="15"/>
        </w:rPr>
        <w:t xml:space="preserve"> </w:t>
      </w:r>
      <w:r>
        <w:rPr>
          <w:rFonts w:ascii="Calibri" w:eastAsia="Times New Roman" w:hAnsi="Calibri" w:cs="Times New Roman"/>
          <w:color w:val="333333"/>
          <w:sz w:val="21"/>
          <w:szCs w:val="21"/>
        </w:rPr>
        <w:t>are equally likely, so we assign to each probability 1∕4, and then</w:t>
      </w:r>
    </w:p>
    <w:p w:rsidR="00AD77BB" w:rsidRDefault="00B45BA0">
      <w:pPr>
        <w:shd w:val="clear" w:color="auto" w:fill="DAEEF3" w:themeFill="accent5" w:themeFillTint="33"/>
        <w:spacing w:line="270" w:lineRule="atLeast"/>
        <w:jc w:val="center"/>
        <w:textAlignment w:val="baseline"/>
        <w:rPr>
          <w:rFonts w:ascii="Calibri" w:eastAsia="Times New Roman" w:hAnsi="Calibri" w:cs="Times New Roman"/>
          <w:color w:val="555555"/>
          <w:sz w:val="23"/>
          <w:szCs w:val="23"/>
        </w:rPr>
      </w:pPr>
      <w:r>
        <w:rPr>
          <w:rFonts w:ascii="MathJax_Math" w:eastAsia="Times New Roman" w:hAnsi="MathJax_Math" w:cs="Times New Roman"/>
          <w:i/>
          <w:iCs/>
          <w:color w:val="555555"/>
          <w:sz w:val="18"/>
          <w:szCs w:val="18"/>
        </w:rPr>
        <w:t>P</w:t>
      </w:r>
      <w:r>
        <w:rPr>
          <w:rFonts w:ascii="MathJax_Main" w:eastAsia="Times New Roman" w:hAnsi="MathJax_Main" w:cs="Times New Roman"/>
          <w:color w:val="555555"/>
          <w:sz w:val="18"/>
          <w:szCs w:val="18"/>
        </w:rPr>
        <w:t>(</w:t>
      </w:r>
      <w:r>
        <w:rPr>
          <w:rFonts w:ascii="MathJax_Math" w:eastAsia="Times New Roman" w:hAnsi="MathJax_Math" w:cs="Times New Roman"/>
          <w:i/>
          <w:iCs/>
          <w:color w:val="555555"/>
          <w:sz w:val="18"/>
          <w:szCs w:val="18"/>
        </w:rPr>
        <w:t>M</w:t>
      </w:r>
      <w:r>
        <w:rPr>
          <w:rFonts w:ascii="MathJax_Main" w:eastAsia="Times New Roman" w:hAnsi="MathJax_Main" w:cs="Times New Roman"/>
          <w:color w:val="555555"/>
          <w:sz w:val="18"/>
          <w:szCs w:val="18"/>
        </w:rPr>
        <w:t>′)=</w:t>
      </w:r>
      <w:r>
        <w:rPr>
          <w:rFonts w:ascii="MathJax_Math" w:eastAsia="Times New Roman" w:hAnsi="MathJax_Math" w:cs="Times New Roman"/>
          <w:i/>
          <w:iCs/>
          <w:color w:val="555555"/>
          <w:sz w:val="18"/>
          <w:szCs w:val="18"/>
        </w:rPr>
        <w:t>P</w:t>
      </w:r>
      <w:r>
        <w:rPr>
          <w:rFonts w:ascii="MathJax_Main" w:eastAsia="Times New Roman" w:hAnsi="MathJax_Main" w:cs="Times New Roman"/>
          <w:color w:val="555555"/>
          <w:sz w:val="18"/>
          <w:szCs w:val="18"/>
        </w:rPr>
        <w:t>(</w:t>
      </w:r>
      <w:r>
        <w:rPr>
          <w:rFonts w:ascii="MathJax_Math" w:eastAsia="Times New Roman" w:hAnsi="MathJax_Math" w:cs="Times New Roman"/>
          <w:i/>
          <w:iCs/>
          <w:color w:val="555555"/>
          <w:sz w:val="18"/>
          <w:szCs w:val="18"/>
        </w:rPr>
        <w:t>hh</w:t>
      </w:r>
      <w:r>
        <w:rPr>
          <w:rFonts w:ascii="MathJax_Main" w:eastAsia="Times New Roman" w:hAnsi="MathJax_Main" w:cs="Times New Roman"/>
          <w:color w:val="555555"/>
          <w:sz w:val="18"/>
          <w:szCs w:val="18"/>
        </w:rPr>
        <w:t>)+</w:t>
      </w:r>
      <w:r>
        <w:rPr>
          <w:rFonts w:ascii="MathJax_Math" w:eastAsia="Times New Roman" w:hAnsi="MathJax_Math" w:cs="Times New Roman"/>
          <w:i/>
          <w:iCs/>
          <w:color w:val="555555"/>
          <w:sz w:val="18"/>
          <w:szCs w:val="18"/>
        </w:rPr>
        <w:t>P</w:t>
      </w:r>
      <w:r>
        <w:rPr>
          <w:rFonts w:ascii="MathJax_Main" w:eastAsia="Times New Roman" w:hAnsi="MathJax_Main" w:cs="Times New Roman"/>
          <w:color w:val="555555"/>
          <w:sz w:val="18"/>
          <w:szCs w:val="18"/>
        </w:rPr>
        <w:t>(</w:t>
      </w:r>
      <w:r>
        <w:rPr>
          <w:rFonts w:ascii="MathJax_Math" w:eastAsia="Times New Roman" w:hAnsi="MathJax_Math" w:cs="Times New Roman"/>
          <w:i/>
          <w:iCs/>
          <w:color w:val="555555"/>
          <w:sz w:val="18"/>
          <w:szCs w:val="18"/>
        </w:rPr>
        <w:t>tt</w:t>
      </w:r>
      <w:r>
        <w:rPr>
          <w:rFonts w:ascii="MathJax_Main" w:eastAsia="Times New Roman" w:hAnsi="MathJax_Main" w:cs="Times New Roman"/>
          <w:color w:val="555555"/>
          <w:sz w:val="18"/>
          <w:szCs w:val="18"/>
        </w:rPr>
        <w:t>)=1/4+1/4=1/2</w:t>
      </w:r>
    </w:p>
    <w:p w:rsidR="00AD77BB" w:rsidRDefault="00B45BA0">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Similarly, from experience appropriate choices for the outcomes in </w:t>
      </w:r>
      <w:r>
        <w:rPr>
          <w:rFonts w:ascii="Calibri" w:eastAsia="Times New Roman" w:hAnsi="Calibri" w:cs="Times New Roman"/>
          <w:i/>
          <w:iCs/>
          <w:color w:val="333333"/>
          <w:sz w:val="20"/>
          <w:szCs w:val="20"/>
        </w:rPr>
        <w:t>S</w:t>
      </w:r>
      <w:r>
        <w:rPr>
          <w:rFonts w:ascii="Calibri" w:eastAsia="Times New Roman" w:hAnsi="Calibri" w:cs="Times New Roman"/>
          <w:color w:val="333333"/>
          <w:sz w:val="21"/>
          <w:szCs w:val="21"/>
        </w:rPr>
        <w:t> are:</w:t>
      </w:r>
    </w:p>
    <w:p w:rsidR="00AD77BB" w:rsidRDefault="00B45BA0">
      <w:pPr>
        <w:shd w:val="clear" w:color="auto" w:fill="DAEEF3" w:themeFill="accent5" w:themeFillTint="33"/>
        <w:spacing w:line="270" w:lineRule="atLeast"/>
        <w:jc w:val="center"/>
        <w:textAlignment w:val="baseline"/>
        <w:rPr>
          <w:rFonts w:ascii="Calibri" w:eastAsia="Times New Roman" w:hAnsi="Calibri" w:cs="Times New Roman"/>
          <w:color w:val="555555"/>
          <w:sz w:val="23"/>
          <w:szCs w:val="23"/>
        </w:rPr>
      </w:pPr>
      <w:r>
        <w:rPr>
          <w:rFonts w:ascii="MathJax_Math" w:eastAsia="Times New Roman" w:hAnsi="MathJax_Math" w:cs="Times New Roman"/>
          <w:i/>
          <w:iCs/>
          <w:color w:val="555555"/>
          <w:sz w:val="18"/>
          <w:szCs w:val="18"/>
        </w:rPr>
        <w:t>P</w:t>
      </w:r>
      <w:r>
        <w:rPr>
          <w:rFonts w:ascii="MathJax_Main" w:eastAsia="Times New Roman" w:hAnsi="MathJax_Main" w:cs="Times New Roman"/>
          <w:color w:val="555555"/>
          <w:sz w:val="18"/>
          <w:szCs w:val="18"/>
        </w:rPr>
        <w:t>(2</w:t>
      </w:r>
      <w:r>
        <w:rPr>
          <w:rFonts w:ascii="MathJax_Math" w:eastAsia="Times New Roman" w:hAnsi="MathJax_Math" w:cs="Times New Roman"/>
          <w:i/>
          <w:iCs/>
          <w:color w:val="555555"/>
          <w:sz w:val="18"/>
          <w:szCs w:val="18"/>
        </w:rPr>
        <w:t>h</w:t>
      </w:r>
      <w:r>
        <w:rPr>
          <w:rFonts w:ascii="MathJax_Main" w:eastAsia="Times New Roman" w:hAnsi="MathJax_Main" w:cs="Times New Roman"/>
          <w:color w:val="555555"/>
          <w:sz w:val="18"/>
          <w:szCs w:val="18"/>
        </w:rPr>
        <w:t>)=1/4</w:t>
      </w:r>
      <w:r>
        <w:rPr>
          <w:rFonts w:ascii="MathJax_Main" w:eastAsia="Times New Roman" w:hAnsi="MathJax_Main" w:cs="Times New Roman"/>
          <w:color w:val="555555"/>
          <w:sz w:val="18"/>
          <w:szCs w:val="18"/>
        </w:rPr>
        <w:t> </w:t>
      </w:r>
      <w:r>
        <w:rPr>
          <w:rFonts w:ascii="MathJax_Math" w:eastAsia="Times New Roman" w:hAnsi="MathJax_Math" w:cs="Times New Roman"/>
          <w:i/>
          <w:iCs/>
          <w:color w:val="555555"/>
          <w:sz w:val="18"/>
          <w:szCs w:val="18"/>
        </w:rPr>
        <w:t>P</w:t>
      </w:r>
      <w:r>
        <w:rPr>
          <w:rFonts w:ascii="MathJax_Main" w:eastAsia="Times New Roman" w:hAnsi="MathJax_Main" w:cs="Times New Roman"/>
          <w:color w:val="555555"/>
          <w:sz w:val="18"/>
          <w:szCs w:val="18"/>
        </w:rPr>
        <w:t>(2</w:t>
      </w:r>
      <w:r>
        <w:rPr>
          <w:rFonts w:ascii="MathJax_Math" w:eastAsia="Times New Roman" w:hAnsi="MathJax_Math" w:cs="Times New Roman"/>
          <w:i/>
          <w:iCs/>
          <w:color w:val="555555"/>
          <w:sz w:val="18"/>
          <w:szCs w:val="18"/>
        </w:rPr>
        <w:t>t</w:t>
      </w:r>
      <w:r>
        <w:rPr>
          <w:rFonts w:ascii="MathJax_Main" w:eastAsia="Times New Roman" w:hAnsi="MathJax_Main" w:cs="Times New Roman"/>
          <w:color w:val="555555"/>
          <w:sz w:val="18"/>
          <w:szCs w:val="18"/>
        </w:rPr>
        <w:t>)=1/4</w:t>
      </w:r>
      <w:r>
        <w:rPr>
          <w:rFonts w:ascii="MathJax_Main" w:eastAsia="Times New Roman" w:hAnsi="MathJax_Main" w:cs="Times New Roman"/>
          <w:color w:val="555555"/>
          <w:sz w:val="18"/>
          <w:szCs w:val="18"/>
        </w:rPr>
        <w:t> </w:t>
      </w:r>
      <w:r>
        <w:rPr>
          <w:rFonts w:ascii="MathJax_Math" w:eastAsia="Times New Roman" w:hAnsi="MathJax_Math" w:cs="Times New Roman"/>
          <w:i/>
          <w:iCs/>
          <w:color w:val="555555"/>
          <w:sz w:val="18"/>
          <w:szCs w:val="18"/>
        </w:rPr>
        <w:t>P</w:t>
      </w:r>
      <w:r>
        <w:rPr>
          <w:rFonts w:ascii="MathJax_Main" w:eastAsia="Times New Roman" w:hAnsi="MathJax_Main" w:cs="Times New Roman"/>
          <w:color w:val="555555"/>
          <w:sz w:val="18"/>
          <w:szCs w:val="18"/>
        </w:rPr>
        <w:t>(</w:t>
      </w:r>
      <w:r>
        <w:rPr>
          <w:rFonts w:ascii="MathJax_Math" w:eastAsia="Times New Roman" w:hAnsi="MathJax_Math" w:cs="Times New Roman"/>
          <w:i/>
          <w:iCs/>
          <w:color w:val="555555"/>
          <w:sz w:val="18"/>
          <w:szCs w:val="18"/>
        </w:rPr>
        <w:t>d</w:t>
      </w:r>
      <w:r>
        <w:rPr>
          <w:rFonts w:ascii="MathJax_Main" w:eastAsia="Times New Roman" w:hAnsi="MathJax_Main" w:cs="Times New Roman"/>
          <w:color w:val="555555"/>
          <w:sz w:val="18"/>
          <w:szCs w:val="18"/>
        </w:rPr>
        <w:t>)=1/2</w:t>
      </w:r>
    </w:p>
    <w:p w:rsidR="00AD77BB" w:rsidRDefault="00B45BA0">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which give the same final answer</w:t>
      </w:r>
    </w:p>
    <w:p w:rsidR="00AD77BB" w:rsidRDefault="00B45BA0">
      <w:pPr>
        <w:shd w:val="clear" w:color="auto" w:fill="DAEEF3" w:themeFill="accent5" w:themeFillTint="33"/>
        <w:spacing w:line="270" w:lineRule="atLeast"/>
        <w:jc w:val="center"/>
        <w:textAlignment w:val="baseline"/>
        <w:rPr>
          <w:rFonts w:ascii="Calibri" w:eastAsia="Times New Roman" w:hAnsi="Calibri" w:cs="Times New Roman"/>
          <w:color w:val="555555"/>
          <w:sz w:val="23"/>
          <w:szCs w:val="23"/>
        </w:rPr>
      </w:pPr>
      <w:r>
        <w:rPr>
          <w:rFonts w:ascii="MathJax_Math" w:eastAsia="Times New Roman" w:hAnsi="MathJax_Math" w:cs="Times New Roman"/>
          <w:i/>
          <w:iCs/>
          <w:color w:val="555555"/>
          <w:sz w:val="18"/>
          <w:szCs w:val="18"/>
        </w:rPr>
        <w:t>P</w:t>
      </w:r>
      <w:r>
        <w:rPr>
          <w:rFonts w:ascii="MathJax_Main" w:eastAsia="Times New Roman" w:hAnsi="MathJax_Main" w:cs="Times New Roman"/>
          <w:color w:val="555555"/>
          <w:sz w:val="18"/>
          <w:szCs w:val="18"/>
        </w:rPr>
        <w:t>(</w:t>
      </w:r>
      <w:r>
        <w:rPr>
          <w:rFonts w:ascii="MathJax_Math" w:eastAsia="Times New Roman" w:hAnsi="MathJax_Math" w:cs="Times New Roman"/>
          <w:i/>
          <w:iCs/>
          <w:color w:val="555555"/>
          <w:sz w:val="18"/>
          <w:szCs w:val="18"/>
        </w:rPr>
        <w:t>M</w:t>
      </w:r>
      <w:r>
        <w:rPr>
          <w:rFonts w:ascii="MathJax_Main" w:eastAsia="Times New Roman" w:hAnsi="MathJax_Main" w:cs="Times New Roman"/>
          <w:color w:val="555555"/>
          <w:sz w:val="18"/>
          <w:szCs w:val="18"/>
        </w:rPr>
        <w:t>)=</w:t>
      </w:r>
      <w:r>
        <w:rPr>
          <w:rFonts w:ascii="MathJax_Math" w:eastAsia="Times New Roman" w:hAnsi="MathJax_Math" w:cs="Times New Roman"/>
          <w:i/>
          <w:iCs/>
          <w:color w:val="555555"/>
          <w:sz w:val="18"/>
          <w:szCs w:val="18"/>
        </w:rPr>
        <w:t>P</w:t>
      </w:r>
      <w:r>
        <w:rPr>
          <w:rFonts w:ascii="MathJax_Main" w:eastAsia="Times New Roman" w:hAnsi="MathJax_Main" w:cs="Times New Roman"/>
          <w:color w:val="555555"/>
          <w:sz w:val="18"/>
          <w:szCs w:val="18"/>
        </w:rPr>
        <w:t>(2</w:t>
      </w:r>
      <w:r>
        <w:rPr>
          <w:rFonts w:ascii="MathJax_Math" w:eastAsia="Times New Roman" w:hAnsi="MathJax_Math" w:cs="Times New Roman"/>
          <w:i/>
          <w:iCs/>
          <w:color w:val="555555"/>
          <w:sz w:val="18"/>
          <w:szCs w:val="18"/>
        </w:rPr>
        <w:t>h</w:t>
      </w:r>
      <w:r>
        <w:rPr>
          <w:rFonts w:ascii="MathJax_Main" w:eastAsia="Times New Roman" w:hAnsi="MathJax_Main" w:cs="Times New Roman"/>
          <w:color w:val="555555"/>
          <w:sz w:val="18"/>
          <w:szCs w:val="18"/>
        </w:rPr>
        <w:t>)+</w:t>
      </w:r>
      <w:r>
        <w:rPr>
          <w:rFonts w:ascii="MathJax_Math" w:eastAsia="Times New Roman" w:hAnsi="MathJax_Math" w:cs="Times New Roman"/>
          <w:i/>
          <w:iCs/>
          <w:color w:val="555555"/>
          <w:sz w:val="18"/>
          <w:szCs w:val="18"/>
        </w:rPr>
        <w:t>P</w:t>
      </w:r>
      <w:r>
        <w:rPr>
          <w:rFonts w:ascii="MathJax_Main" w:eastAsia="Times New Roman" w:hAnsi="MathJax_Main" w:cs="Times New Roman"/>
          <w:color w:val="555555"/>
          <w:sz w:val="18"/>
          <w:szCs w:val="18"/>
        </w:rPr>
        <w:t>(2</w:t>
      </w:r>
      <w:r>
        <w:rPr>
          <w:rFonts w:ascii="MathJax_Math" w:eastAsia="Times New Roman" w:hAnsi="MathJax_Math" w:cs="Times New Roman"/>
          <w:i/>
          <w:iCs/>
          <w:color w:val="555555"/>
          <w:sz w:val="18"/>
          <w:szCs w:val="18"/>
        </w:rPr>
        <w:t>t</w:t>
      </w:r>
      <w:r>
        <w:rPr>
          <w:rFonts w:ascii="MathJax_Main" w:eastAsia="Times New Roman" w:hAnsi="MathJax_Main" w:cs="Times New Roman"/>
          <w:color w:val="555555"/>
          <w:sz w:val="18"/>
          <w:szCs w:val="18"/>
        </w:rPr>
        <w:t>)=1/4+1/4=1/2</w:t>
      </w:r>
    </w:p>
    <w:p w:rsidR="00AD77BB" w:rsidRDefault="00B45BA0">
      <w:pPr>
        <w:shd w:val="clear" w:color="auto" w:fill="FFFFFF" w:themeFill="background1"/>
        <w:spacing w:after="0" w:line="360" w:lineRule="auto"/>
        <w:ind w:left="302" w:right="374"/>
        <w:textAlignment w:val="baseline"/>
        <w:rPr>
          <w:rFonts w:ascii="Calibri" w:eastAsia="Times New Roman" w:hAnsi="Calibri" w:cs="Times New Roman"/>
          <w:color w:val="333333"/>
          <w:sz w:val="21"/>
          <w:szCs w:val="21"/>
        </w:rPr>
      </w:pPr>
      <w:r>
        <w:rPr>
          <w:rFonts w:ascii="Georgia" w:hAnsi="Georgia"/>
          <w:color w:val="333333"/>
          <w:sz w:val="20"/>
          <w:szCs w:val="20"/>
          <w:shd w:val="clear" w:color="auto" w:fill="FFFFFF"/>
        </w:rPr>
        <w:t>The previous three examples illustrate how probabilities can be computed simply by counting when the sample space consists of a finite number of equally likely outcomes. In some situations the individual outcomes of any sample space that represents the experiment are unavoidably unequally likely, in which case probabilities cannot be computed merely by counting, but the computational formula given in the definition of the probability of an event must be used.</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EXAMPLE 8</w:t>
      </w:r>
    </w:p>
    <w:p w:rsidR="00AD77BB" w:rsidRDefault="00B45BA0">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The breakdown of the student body in a local high school according to race and ethnicity is 51% white, 27% black, 11% Hispanic, 6% Asian, and 5% for all others. A student is randomly selected from this high school. (To select “randomly” means that every student has the same chance of being selected.) Find the probabilities of the following events:</w:t>
      </w:r>
    </w:p>
    <w:p w:rsidR="00AD77BB" w:rsidRDefault="00B45BA0">
      <w:pPr>
        <w:pStyle w:val="ListParagraph"/>
        <w:numPr>
          <w:ilvl w:val="0"/>
          <w:numId w:val="46"/>
        </w:numPr>
        <w:shd w:val="clear" w:color="auto" w:fill="DAEEF3" w:themeFill="accent5" w:themeFillTint="33"/>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 xml:space="preserve"> B</w:t>
      </w:r>
      <w:r>
        <w:rPr>
          <w:rFonts w:ascii="Calibri" w:eastAsia="Times New Roman" w:hAnsi="Calibri" w:cs="Times New Roman"/>
          <w:color w:val="333333"/>
          <w:sz w:val="20"/>
          <w:szCs w:val="20"/>
        </w:rPr>
        <w:t>: the student is black,</w:t>
      </w:r>
    </w:p>
    <w:p w:rsidR="00AD77BB" w:rsidRDefault="00B45BA0">
      <w:pPr>
        <w:numPr>
          <w:ilvl w:val="0"/>
          <w:numId w:val="47"/>
        </w:numPr>
        <w:shd w:val="clear" w:color="auto" w:fill="DAEEF3" w:themeFill="accent5" w:themeFillTint="33"/>
        <w:spacing w:after="0" w:line="439" w:lineRule="atLeast"/>
        <w:ind w:left="360" w:right="375" w:hanging="360"/>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M</w:t>
      </w:r>
      <w:r>
        <w:rPr>
          <w:rFonts w:ascii="Calibri" w:eastAsia="Times New Roman" w:hAnsi="Calibri" w:cs="Times New Roman"/>
          <w:color w:val="333333"/>
          <w:sz w:val="20"/>
          <w:szCs w:val="20"/>
        </w:rPr>
        <w:t>: the student is minority (that is, not white),</w:t>
      </w:r>
    </w:p>
    <w:p w:rsidR="00AD77BB" w:rsidRDefault="00B45BA0">
      <w:pPr>
        <w:numPr>
          <w:ilvl w:val="0"/>
          <w:numId w:val="47"/>
        </w:numPr>
        <w:shd w:val="clear" w:color="auto" w:fill="DAEEF3" w:themeFill="accent5" w:themeFillTint="33"/>
        <w:spacing w:after="0" w:line="439" w:lineRule="atLeast"/>
        <w:ind w:left="360" w:right="375" w:hanging="360"/>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the student is not black.</w:t>
      </w:r>
    </w:p>
    <w:p w:rsidR="00AD77BB" w:rsidRDefault="00B45BA0">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Solution:</w:t>
      </w:r>
    </w:p>
    <w:p w:rsidR="00AD77BB" w:rsidRDefault="00B45BA0">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The experiment is the action of randomly selecting a student from the student population of the high school. An obvious sample space is </w:t>
      </w:r>
      <w:r>
        <w:rPr>
          <w:rFonts w:ascii="MathJax_Math" w:eastAsia="Times New Roman" w:hAnsi="MathJax_Math" w:cs="Times New Roman"/>
          <w:b/>
          <w:i/>
          <w:iCs/>
          <w:color w:val="333333"/>
          <w:sz w:val="15"/>
          <w:szCs w:val="15"/>
        </w:rPr>
        <w:t>S</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w</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h</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o</w:t>
      </w:r>
      <w:r>
        <w:rPr>
          <w:rFonts w:ascii="MathJax_Main" w:eastAsia="Times New Roman" w:hAnsi="MathJax_Main" w:cs="Times New Roman"/>
          <w:b/>
          <w:color w:val="333333"/>
          <w:sz w:val="15"/>
          <w:szCs w:val="15"/>
        </w:rPr>
        <w:t>}.</w:t>
      </w:r>
      <w:r>
        <w:rPr>
          <w:rFonts w:ascii="Calibri" w:eastAsia="Times New Roman" w:hAnsi="Calibri" w:cs="Times New Roman"/>
          <w:color w:val="333333"/>
          <w:sz w:val="21"/>
          <w:szCs w:val="21"/>
        </w:rPr>
        <w:t> Since 51% of the students are white and all students have the same chance of being selected,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w</w:t>
      </w:r>
      <w:r>
        <w:rPr>
          <w:rFonts w:ascii="MathJax_Main" w:eastAsia="Times New Roman" w:hAnsi="MathJax_Main" w:cs="Times New Roman"/>
          <w:b/>
          <w:color w:val="333333"/>
          <w:sz w:val="15"/>
          <w:szCs w:val="15"/>
        </w:rPr>
        <w:t>)=0.51</w:t>
      </w:r>
      <w:r>
        <w:rPr>
          <w:rFonts w:ascii="Calibri" w:eastAsia="Times New Roman" w:hAnsi="Calibri" w:cs="Times New Roman"/>
          <w:color w:val="333333"/>
          <w:sz w:val="21"/>
          <w:szCs w:val="21"/>
        </w:rPr>
        <w:t>, and similarly for the other outcomes. This information is summarized in the following table:</w:t>
      </w:r>
    </w:p>
    <w:p w:rsidR="00AD77BB" w:rsidRDefault="00B45BA0">
      <w:pPr>
        <w:shd w:val="clear" w:color="auto" w:fill="FFFFFF" w:themeFill="background1"/>
        <w:spacing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noProof/>
          <w:color w:val="333333"/>
          <w:sz w:val="21"/>
          <w:szCs w:val="21"/>
        </w:rPr>
        <w:lastRenderedPageBreak/>
        <w:drawing>
          <wp:inline distT="0" distB="0" distL="0" distR="0" wp14:anchorId="49127A39" wp14:editId="64E7ACA7">
            <wp:extent cx="5724525" cy="1866900"/>
            <wp:effectExtent l="0" t="0" r="9525" b="0"/>
            <wp:docPr id="76"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24525" cy="1866900"/>
                    </a:xfrm>
                    <a:prstGeom prst="rect">
                      <a:avLst/>
                    </a:prstGeom>
                    <a:noFill/>
                    <a:ln>
                      <a:noFill/>
                    </a:ln>
                  </pic:spPr>
                </pic:pic>
              </a:graphicData>
            </a:graphic>
          </wp:inline>
        </w:drawing>
      </w:r>
    </w:p>
    <w:p w:rsidR="00AD77BB" w:rsidRDefault="00AD77BB">
      <w:pPr>
        <w:shd w:val="clear" w:color="auto" w:fill="FFFFFF" w:themeFill="background1"/>
        <w:spacing w:line="360" w:lineRule="auto"/>
        <w:ind w:left="86"/>
        <w:textAlignment w:val="baseline"/>
        <w:rPr>
          <w:rFonts w:ascii="Calibri" w:eastAsia="Times New Roman" w:hAnsi="Calibri" w:cs="Times New Roman"/>
          <w:color w:val="333333"/>
          <w:sz w:val="20"/>
          <w:szCs w:val="20"/>
        </w:rPr>
      </w:pP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9</w:t>
      </w:r>
    </w:p>
    <w:p w:rsidR="00AD77BB" w:rsidRDefault="00B45BA0">
      <w:pPr>
        <w:pStyle w:val="para"/>
        <w:shd w:val="clear" w:color="auto" w:fill="DAEEF3" w:themeFill="accent5" w:themeFillTint="33"/>
        <w:spacing w:before="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The student body in the high school considered in</w:t>
      </w:r>
      <w:r>
        <w:rPr>
          <w:rStyle w:val="apple-converted-space"/>
          <w:rFonts w:ascii="Calibri" w:hAnsi="Calibri"/>
          <w:color w:val="333333"/>
          <w:sz w:val="21"/>
          <w:szCs w:val="21"/>
        </w:rPr>
        <w:t> </w:t>
      </w:r>
      <w:r>
        <w:rPr>
          <w:rFonts w:ascii="Calibri" w:hAnsi="Calibri"/>
          <w:color w:val="2689C6"/>
          <w:sz w:val="21"/>
          <w:szCs w:val="21"/>
        </w:rPr>
        <w:t>Note 3.18 "Example 8"</w:t>
      </w:r>
      <w:r>
        <w:rPr>
          <w:rStyle w:val="apple-converted-space"/>
          <w:rFonts w:ascii="Calibri" w:hAnsi="Calibri"/>
          <w:color w:val="333333"/>
          <w:sz w:val="21"/>
          <w:szCs w:val="21"/>
        </w:rPr>
        <w:t> </w:t>
      </w:r>
      <w:r>
        <w:rPr>
          <w:rFonts w:ascii="Calibri" w:hAnsi="Calibri"/>
          <w:color w:val="333333"/>
          <w:sz w:val="21"/>
          <w:szCs w:val="21"/>
        </w:rPr>
        <w:t>may be broken down into ten categories as follows: 25% white male, 26% white female, 12% black male, 15% black female, 6% Hispanic male, 5% Hispanic female, 3% Asian male, 3% Asian female, 1% male of other minorities combined, and 4% female of other minorities combined. A student is randomly selected from this high school. Find the probabilities of the following events:</w:t>
      </w:r>
    </w:p>
    <w:p w:rsidR="00AD77BB" w:rsidRDefault="00B45BA0">
      <w:pPr>
        <w:numPr>
          <w:ilvl w:val="0"/>
          <w:numId w:val="48"/>
        </w:numPr>
        <w:shd w:val="clear" w:color="auto" w:fill="DAEEF3" w:themeFill="accent5" w:themeFillTint="33"/>
        <w:spacing w:after="0" w:line="439" w:lineRule="atLeast"/>
        <w:ind w:right="375"/>
        <w:textAlignment w:val="baseline"/>
        <w:rPr>
          <w:rFonts w:ascii="Calibri" w:hAnsi="Calibri"/>
          <w:color w:val="333333"/>
          <w:sz w:val="20"/>
          <w:szCs w:val="20"/>
        </w:rPr>
      </w:pPr>
      <w:r>
        <w:rPr>
          <w:rStyle w:val="Emphasis"/>
          <w:rFonts w:ascii="Calibri" w:hAnsi="Calibri"/>
          <w:color w:val="333333"/>
          <w:sz w:val="20"/>
          <w:szCs w:val="20"/>
        </w:rPr>
        <w:t>B</w:t>
      </w:r>
      <w:r>
        <w:rPr>
          <w:rFonts w:ascii="Calibri" w:hAnsi="Calibri"/>
          <w:color w:val="333333"/>
          <w:sz w:val="20"/>
          <w:szCs w:val="20"/>
        </w:rPr>
        <w:t>: the student is black,</w:t>
      </w:r>
    </w:p>
    <w:p w:rsidR="00AD77BB" w:rsidRDefault="00B45BA0">
      <w:pPr>
        <w:numPr>
          <w:ilvl w:val="0"/>
          <w:numId w:val="48"/>
        </w:numPr>
        <w:shd w:val="clear" w:color="auto" w:fill="DAEEF3" w:themeFill="accent5" w:themeFillTint="33"/>
        <w:spacing w:after="0" w:line="439" w:lineRule="atLeast"/>
        <w:ind w:left="360" w:right="375" w:hanging="360"/>
        <w:textAlignment w:val="baseline"/>
        <w:rPr>
          <w:rFonts w:ascii="Calibri" w:hAnsi="Calibri"/>
          <w:color w:val="333333"/>
          <w:sz w:val="20"/>
          <w:szCs w:val="20"/>
        </w:rPr>
      </w:pPr>
      <w:r>
        <w:rPr>
          <w:rStyle w:val="mi"/>
          <w:rFonts w:ascii="MathJax_Math" w:hAnsi="MathJax_Math"/>
          <w:b/>
          <w:i/>
          <w:iCs/>
          <w:color w:val="333333"/>
          <w:sz w:val="15"/>
          <w:szCs w:val="15"/>
        </w:rPr>
        <w:t>MF</w:t>
      </w:r>
      <w:r>
        <w:rPr>
          <w:rFonts w:ascii="Calibri" w:hAnsi="Calibri"/>
          <w:color w:val="333333"/>
          <w:sz w:val="20"/>
          <w:szCs w:val="20"/>
        </w:rPr>
        <w:t>: the student is minority female,</w:t>
      </w:r>
    </w:p>
    <w:p w:rsidR="00AD77BB" w:rsidRDefault="00B45BA0">
      <w:pPr>
        <w:numPr>
          <w:ilvl w:val="0"/>
          <w:numId w:val="48"/>
        </w:numPr>
        <w:shd w:val="clear" w:color="auto" w:fill="DAEEF3" w:themeFill="accent5" w:themeFillTint="33"/>
        <w:spacing w:after="0" w:line="439" w:lineRule="atLeast"/>
        <w:ind w:left="360" w:right="375" w:hanging="360"/>
        <w:textAlignment w:val="baseline"/>
        <w:rPr>
          <w:rFonts w:ascii="Calibri" w:hAnsi="Calibri"/>
          <w:color w:val="333333"/>
          <w:sz w:val="20"/>
          <w:szCs w:val="20"/>
        </w:rPr>
      </w:pPr>
      <w:r>
        <w:rPr>
          <w:rStyle w:val="mi"/>
          <w:rFonts w:ascii="MathJax_Math" w:hAnsi="MathJax_Math"/>
          <w:b/>
          <w:i/>
          <w:iCs/>
          <w:color w:val="333333"/>
          <w:sz w:val="15"/>
          <w:szCs w:val="15"/>
        </w:rPr>
        <w:t>FN</w:t>
      </w:r>
      <w:r>
        <w:rPr>
          <w:rFonts w:ascii="Calibri" w:hAnsi="Calibri"/>
          <w:color w:val="333333"/>
          <w:sz w:val="20"/>
          <w:szCs w:val="20"/>
        </w:rPr>
        <w:t>: the student is female and is not black.</w:t>
      </w:r>
    </w:p>
    <w:p w:rsidR="00AD77BB" w:rsidRDefault="00B45BA0">
      <w:pPr>
        <w:pStyle w:val="simpara"/>
        <w:shd w:val="clear" w:color="auto" w:fill="DAEEF3" w:themeFill="accent5" w:themeFillTint="33"/>
        <w:spacing w:before="15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Solution:</w:t>
      </w:r>
    </w:p>
    <w:p w:rsidR="00AD77BB" w:rsidRDefault="00B45BA0">
      <w:pPr>
        <w:pStyle w:val="para"/>
        <w:shd w:val="clear" w:color="auto" w:fill="DAEEF3" w:themeFill="accent5" w:themeFillTint="33"/>
        <w:spacing w:before="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Now the sample space is</w:t>
      </w:r>
      <w:r>
        <w:rPr>
          <w:rStyle w:val="apple-converted-space"/>
          <w:rFonts w:ascii="Calibri" w:hAnsi="Calibri"/>
          <w:color w:val="333333"/>
          <w:sz w:val="21"/>
          <w:szCs w:val="21"/>
        </w:rPr>
        <w:t> </w:t>
      </w:r>
      <w:r>
        <w:rPr>
          <w:rStyle w:val="mi"/>
          <w:rFonts w:ascii="MathJax_Math" w:hAnsi="MathJax_Math"/>
          <w:b/>
          <w:i/>
          <w:iCs/>
          <w:color w:val="333333"/>
          <w:sz w:val="15"/>
          <w:szCs w:val="15"/>
        </w:rPr>
        <w:t>S</w:t>
      </w:r>
      <w:r>
        <w:rPr>
          <w:rStyle w:val="mo"/>
          <w:rFonts w:ascii="MathJax_Main" w:hAnsi="MathJax_Main"/>
          <w:b/>
          <w:color w:val="333333"/>
          <w:sz w:val="15"/>
          <w:szCs w:val="15"/>
        </w:rPr>
        <w:t>={</w:t>
      </w:r>
      <w:r>
        <w:rPr>
          <w:rStyle w:val="mi"/>
          <w:rFonts w:ascii="MathJax_Math" w:hAnsi="MathJax_Math"/>
          <w:b/>
          <w:i/>
          <w:iCs/>
          <w:color w:val="333333"/>
          <w:sz w:val="15"/>
          <w:szCs w:val="15"/>
        </w:rPr>
        <w:t>wm</w:t>
      </w:r>
      <w:r>
        <w:rPr>
          <w:rStyle w:val="mo"/>
          <w:rFonts w:ascii="MathJax_Main" w:hAnsi="MathJax_Main"/>
          <w:b/>
          <w:color w:val="333333"/>
          <w:sz w:val="15"/>
          <w:szCs w:val="15"/>
        </w:rPr>
        <w:t>,</w:t>
      </w:r>
      <w:r>
        <w:rPr>
          <w:rStyle w:val="mi"/>
          <w:rFonts w:ascii="MathJax_Math" w:hAnsi="MathJax_Math"/>
          <w:b/>
          <w:i/>
          <w:iCs/>
          <w:color w:val="333333"/>
          <w:sz w:val="15"/>
          <w:szCs w:val="15"/>
        </w:rPr>
        <w:t>bm</w:t>
      </w:r>
      <w:r>
        <w:rPr>
          <w:rStyle w:val="mo"/>
          <w:rFonts w:ascii="MathJax_Main" w:hAnsi="MathJax_Main"/>
          <w:b/>
          <w:color w:val="333333"/>
          <w:sz w:val="15"/>
          <w:szCs w:val="15"/>
        </w:rPr>
        <w:t>,</w:t>
      </w:r>
      <w:r>
        <w:rPr>
          <w:rStyle w:val="mi"/>
          <w:rFonts w:ascii="MathJax_Math" w:hAnsi="MathJax_Math"/>
          <w:b/>
          <w:i/>
          <w:iCs/>
          <w:color w:val="333333"/>
          <w:sz w:val="15"/>
          <w:szCs w:val="15"/>
        </w:rPr>
        <w:t>hm</w:t>
      </w:r>
      <w:r>
        <w:rPr>
          <w:rStyle w:val="mo"/>
          <w:rFonts w:ascii="MathJax_Main" w:hAnsi="MathJax_Main"/>
          <w:b/>
          <w:color w:val="333333"/>
          <w:sz w:val="15"/>
          <w:szCs w:val="15"/>
        </w:rPr>
        <w:t>,</w:t>
      </w:r>
      <w:r>
        <w:rPr>
          <w:rStyle w:val="mi"/>
          <w:rFonts w:ascii="MathJax_Math" w:hAnsi="MathJax_Math"/>
          <w:b/>
          <w:i/>
          <w:iCs/>
          <w:color w:val="333333"/>
          <w:sz w:val="15"/>
          <w:szCs w:val="15"/>
        </w:rPr>
        <w:t>am</w:t>
      </w:r>
      <w:r>
        <w:rPr>
          <w:rStyle w:val="mo"/>
          <w:rFonts w:ascii="MathJax_Main" w:hAnsi="MathJax_Main"/>
          <w:b/>
          <w:color w:val="333333"/>
          <w:sz w:val="15"/>
          <w:szCs w:val="15"/>
        </w:rPr>
        <w:t>,</w:t>
      </w:r>
      <w:r>
        <w:rPr>
          <w:rStyle w:val="mi"/>
          <w:rFonts w:ascii="MathJax_Math" w:hAnsi="MathJax_Math"/>
          <w:b/>
          <w:i/>
          <w:iCs/>
          <w:color w:val="333333"/>
          <w:sz w:val="15"/>
          <w:szCs w:val="15"/>
        </w:rPr>
        <w:t>om</w:t>
      </w:r>
      <w:r>
        <w:rPr>
          <w:rStyle w:val="mo"/>
          <w:rFonts w:ascii="MathJax_Main" w:hAnsi="MathJax_Main"/>
          <w:b/>
          <w:color w:val="333333"/>
          <w:sz w:val="15"/>
          <w:szCs w:val="15"/>
        </w:rPr>
        <w:t>,</w:t>
      </w:r>
      <w:r>
        <w:rPr>
          <w:rStyle w:val="mi"/>
          <w:rFonts w:ascii="MathJax_Math" w:hAnsi="MathJax_Math"/>
          <w:b/>
          <w:i/>
          <w:iCs/>
          <w:color w:val="333333"/>
          <w:sz w:val="15"/>
          <w:szCs w:val="15"/>
        </w:rPr>
        <w:t>wf</w:t>
      </w:r>
      <w:r>
        <w:rPr>
          <w:rStyle w:val="mo"/>
          <w:rFonts w:ascii="MathJax_Main" w:hAnsi="MathJax_Main"/>
          <w:b/>
          <w:color w:val="333333"/>
          <w:sz w:val="15"/>
          <w:szCs w:val="15"/>
        </w:rPr>
        <w:t>,</w:t>
      </w:r>
      <w:r>
        <w:rPr>
          <w:rStyle w:val="mi"/>
          <w:rFonts w:ascii="MathJax_Math" w:hAnsi="MathJax_Math"/>
          <w:b/>
          <w:i/>
          <w:iCs/>
          <w:color w:val="333333"/>
          <w:sz w:val="15"/>
          <w:szCs w:val="15"/>
        </w:rPr>
        <w:t>bf</w:t>
      </w:r>
      <w:r>
        <w:rPr>
          <w:rStyle w:val="mo"/>
          <w:rFonts w:ascii="MathJax_Main" w:hAnsi="MathJax_Main"/>
          <w:b/>
          <w:color w:val="333333"/>
          <w:sz w:val="15"/>
          <w:szCs w:val="15"/>
        </w:rPr>
        <w:t>,</w:t>
      </w:r>
      <w:r>
        <w:rPr>
          <w:rStyle w:val="mi"/>
          <w:rFonts w:ascii="MathJax_Math" w:hAnsi="MathJax_Math"/>
          <w:b/>
          <w:i/>
          <w:iCs/>
          <w:color w:val="333333"/>
          <w:sz w:val="15"/>
          <w:szCs w:val="15"/>
        </w:rPr>
        <w:t>hf</w:t>
      </w:r>
      <w:r>
        <w:rPr>
          <w:rStyle w:val="mo"/>
          <w:rFonts w:ascii="MathJax_Main" w:hAnsi="MathJax_Main"/>
          <w:b/>
          <w:color w:val="333333"/>
          <w:sz w:val="15"/>
          <w:szCs w:val="15"/>
        </w:rPr>
        <w:t>,</w:t>
      </w:r>
      <w:r>
        <w:rPr>
          <w:rStyle w:val="mi"/>
          <w:rFonts w:ascii="MathJax_Math" w:hAnsi="MathJax_Math"/>
          <w:b/>
          <w:i/>
          <w:iCs/>
          <w:color w:val="333333"/>
          <w:sz w:val="15"/>
          <w:szCs w:val="15"/>
        </w:rPr>
        <w:t>af</w:t>
      </w:r>
      <w:r>
        <w:rPr>
          <w:rStyle w:val="mo"/>
          <w:rFonts w:ascii="MathJax_Main" w:hAnsi="MathJax_Main"/>
          <w:b/>
          <w:color w:val="333333"/>
          <w:sz w:val="15"/>
          <w:szCs w:val="15"/>
        </w:rPr>
        <w:t>,</w:t>
      </w:r>
      <w:r>
        <w:rPr>
          <w:rStyle w:val="mi"/>
          <w:rFonts w:ascii="MathJax_Math" w:hAnsi="MathJax_Math"/>
          <w:b/>
          <w:i/>
          <w:iCs/>
          <w:color w:val="333333"/>
          <w:sz w:val="15"/>
          <w:szCs w:val="15"/>
        </w:rPr>
        <w:t>of</w:t>
      </w:r>
      <w:r>
        <w:rPr>
          <w:rStyle w:val="mo"/>
          <w:rFonts w:ascii="MathJax_Main" w:hAnsi="MathJax_Main"/>
          <w:b/>
          <w:color w:val="333333"/>
          <w:sz w:val="15"/>
          <w:szCs w:val="15"/>
        </w:rPr>
        <w:t>}.</w:t>
      </w:r>
      <w:r>
        <w:rPr>
          <w:rStyle w:val="apple-converted-space"/>
          <w:rFonts w:ascii="Calibri" w:hAnsi="Calibri"/>
          <w:color w:val="333333"/>
          <w:sz w:val="21"/>
          <w:szCs w:val="21"/>
        </w:rPr>
        <w:t> </w:t>
      </w:r>
      <w:r>
        <w:rPr>
          <w:rFonts w:ascii="Calibri" w:hAnsi="Calibri"/>
          <w:color w:val="333333"/>
          <w:sz w:val="21"/>
          <w:szCs w:val="21"/>
        </w:rPr>
        <w:t>The information given in the example can be summarized in the following table, called a</w:t>
      </w:r>
      <w:r>
        <w:rPr>
          <w:rStyle w:val="apple-converted-space"/>
          <w:rFonts w:ascii="Calibri" w:hAnsi="Calibri"/>
          <w:color w:val="333333"/>
          <w:sz w:val="21"/>
          <w:szCs w:val="21"/>
        </w:rPr>
        <w:t> </w:t>
      </w:r>
      <w:r>
        <w:rPr>
          <w:rStyle w:val="Emphasis"/>
          <w:rFonts w:ascii="Calibri" w:hAnsi="Calibri"/>
          <w:color w:val="333333"/>
          <w:sz w:val="20"/>
          <w:szCs w:val="20"/>
        </w:rPr>
        <w:t>two-way contingency table</w:t>
      </w:r>
      <w:r>
        <w:rPr>
          <w:rFonts w:ascii="Calibri" w:hAnsi="Calibri"/>
          <w:color w:val="333333"/>
          <w:sz w:val="21"/>
          <w:szCs w:val="21"/>
        </w:rPr>
        <w:t>:</w:t>
      </w:r>
    </w:p>
    <w:tbl>
      <w:tblPr>
        <w:tblW w:w="0" w:type="auto"/>
        <w:tblCellMar>
          <w:left w:w="0" w:type="dxa"/>
          <w:right w:w="0" w:type="dxa"/>
        </w:tblCellMar>
        <w:tblLook w:val="04A0" w:firstRow="1" w:lastRow="0" w:firstColumn="1" w:lastColumn="0" w:noHBand="0" w:noVBand="1"/>
      </w:tblPr>
      <w:tblGrid>
        <w:gridCol w:w="796"/>
        <w:gridCol w:w="684"/>
        <w:gridCol w:w="612"/>
        <w:gridCol w:w="887"/>
        <w:gridCol w:w="629"/>
        <w:gridCol w:w="742"/>
      </w:tblGrid>
      <w:tr w:rsidR="00AD77BB">
        <w:trPr>
          <w:tblHeader/>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hemeFill="background1"/>
            <w:tcMar>
              <w:top w:w="75" w:type="dxa"/>
              <w:left w:w="75" w:type="dxa"/>
              <w:bottom w:w="75" w:type="dxa"/>
              <w:right w:w="75" w:type="dxa"/>
            </w:tcMar>
            <w:vAlign w:val="bottom"/>
            <w:hideMark/>
          </w:tcPr>
          <w:p w:rsidR="00AD77BB" w:rsidRDefault="00B45BA0">
            <w:pPr>
              <w:shd w:val="clear" w:color="auto" w:fill="DAEEF3" w:themeFill="accent5" w:themeFillTint="33"/>
              <w:rPr>
                <w:b/>
                <w:bCs/>
                <w:color w:val="F48800"/>
                <w:sz w:val="21"/>
                <w:szCs w:val="21"/>
              </w:rPr>
            </w:pPr>
            <w:r>
              <w:rPr>
                <w:b/>
                <w:bCs/>
                <w:color w:val="F48800"/>
                <w:sz w:val="21"/>
                <w:szCs w:val="21"/>
              </w:rPr>
              <w:t>Gender</w:t>
            </w:r>
          </w:p>
        </w:tc>
        <w:tc>
          <w:tcPr>
            <w:tcW w:w="0" w:type="auto"/>
            <w:gridSpan w:val="5"/>
            <w:tcBorders>
              <w:top w:val="single" w:sz="6" w:space="0" w:color="000000"/>
              <w:left w:val="single" w:sz="6" w:space="0" w:color="000000"/>
              <w:bottom w:val="single" w:sz="6" w:space="0" w:color="000000"/>
              <w:right w:val="single" w:sz="6" w:space="0" w:color="000000"/>
            </w:tcBorders>
            <w:shd w:val="clear" w:color="auto" w:fill="FFFFFF" w:themeFill="background1"/>
            <w:tcMar>
              <w:top w:w="75" w:type="dxa"/>
              <w:left w:w="75" w:type="dxa"/>
              <w:bottom w:w="75" w:type="dxa"/>
              <w:right w:w="75" w:type="dxa"/>
            </w:tcMar>
            <w:vAlign w:val="bottom"/>
            <w:hideMark/>
          </w:tcPr>
          <w:p w:rsidR="00AD77BB" w:rsidRDefault="00B45BA0">
            <w:pPr>
              <w:shd w:val="clear" w:color="auto" w:fill="DAEEF3" w:themeFill="accent5" w:themeFillTint="33"/>
              <w:jc w:val="center"/>
              <w:rPr>
                <w:b/>
                <w:bCs/>
                <w:color w:val="F48800"/>
                <w:sz w:val="21"/>
                <w:szCs w:val="21"/>
              </w:rPr>
            </w:pPr>
            <w:r>
              <w:rPr>
                <w:b/>
                <w:bCs/>
                <w:color w:val="F48800"/>
                <w:sz w:val="21"/>
                <w:szCs w:val="21"/>
              </w:rPr>
              <w:t>Race / Ethnicity</w:t>
            </w:r>
          </w:p>
        </w:tc>
      </w:tr>
      <w:tr w:rsidR="00AD77BB">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hemeFill="background1"/>
            <w:tcMar>
              <w:top w:w="75" w:type="dxa"/>
              <w:left w:w="75" w:type="dxa"/>
              <w:bottom w:w="75" w:type="dxa"/>
              <w:right w:w="75" w:type="dxa"/>
            </w:tcMar>
            <w:vAlign w:val="bottom"/>
            <w:hideMark/>
          </w:tcPr>
          <w:p w:rsidR="00AD77BB" w:rsidRDefault="00B45BA0">
            <w:pPr>
              <w:shd w:val="clear" w:color="auto" w:fill="DAEEF3" w:themeFill="accent5" w:themeFillTint="33"/>
              <w:jc w:val="center"/>
              <w:rPr>
                <w:b/>
                <w:bCs/>
                <w:color w:val="F48800"/>
                <w:sz w:val="21"/>
                <w:szCs w:val="21"/>
              </w:rPr>
            </w:pPr>
            <w:r>
              <w:rPr>
                <w:b/>
                <w:bCs/>
                <w:color w:val="F48800"/>
                <w:sz w:val="21"/>
                <w:szCs w:val="21"/>
              </w:rPr>
              <w:t>White</w:t>
            </w:r>
          </w:p>
        </w:tc>
        <w:tc>
          <w:tcPr>
            <w:tcW w:w="0" w:type="auto"/>
            <w:tcBorders>
              <w:top w:val="single" w:sz="6" w:space="0" w:color="000000"/>
              <w:left w:val="single" w:sz="6" w:space="0" w:color="000000"/>
              <w:bottom w:val="single" w:sz="6" w:space="0" w:color="000000"/>
              <w:right w:val="single" w:sz="6" w:space="0" w:color="000000"/>
            </w:tcBorders>
            <w:shd w:val="clear" w:color="auto" w:fill="FFFFFF" w:themeFill="background1"/>
            <w:tcMar>
              <w:top w:w="75" w:type="dxa"/>
              <w:left w:w="75" w:type="dxa"/>
              <w:bottom w:w="75" w:type="dxa"/>
              <w:right w:w="75" w:type="dxa"/>
            </w:tcMar>
            <w:vAlign w:val="bottom"/>
            <w:hideMark/>
          </w:tcPr>
          <w:p w:rsidR="00AD77BB" w:rsidRDefault="00B45BA0">
            <w:pPr>
              <w:shd w:val="clear" w:color="auto" w:fill="DAEEF3" w:themeFill="accent5" w:themeFillTint="33"/>
              <w:jc w:val="center"/>
              <w:rPr>
                <w:b/>
                <w:bCs/>
                <w:color w:val="F48800"/>
                <w:sz w:val="21"/>
                <w:szCs w:val="21"/>
              </w:rPr>
            </w:pPr>
            <w:r>
              <w:rPr>
                <w:b/>
                <w:bCs/>
                <w:color w:val="F48800"/>
                <w:sz w:val="21"/>
                <w:szCs w:val="21"/>
              </w:rPr>
              <w:t>Black</w:t>
            </w:r>
          </w:p>
        </w:tc>
        <w:tc>
          <w:tcPr>
            <w:tcW w:w="0" w:type="auto"/>
            <w:tcBorders>
              <w:top w:val="single" w:sz="6" w:space="0" w:color="000000"/>
              <w:left w:val="single" w:sz="6" w:space="0" w:color="000000"/>
              <w:bottom w:val="single" w:sz="6" w:space="0" w:color="000000"/>
              <w:right w:val="single" w:sz="6" w:space="0" w:color="000000"/>
            </w:tcBorders>
            <w:shd w:val="clear" w:color="auto" w:fill="FFFFFF" w:themeFill="background1"/>
            <w:tcMar>
              <w:top w:w="75" w:type="dxa"/>
              <w:left w:w="75" w:type="dxa"/>
              <w:bottom w:w="75" w:type="dxa"/>
              <w:right w:w="75" w:type="dxa"/>
            </w:tcMar>
            <w:vAlign w:val="bottom"/>
            <w:hideMark/>
          </w:tcPr>
          <w:p w:rsidR="00AD77BB" w:rsidRDefault="00B45BA0">
            <w:pPr>
              <w:shd w:val="clear" w:color="auto" w:fill="DAEEF3" w:themeFill="accent5" w:themeFillTint="33"/>
              <w:jc w:val="center"/>
              <w:rPr>
                <w:b/>
                <w:bCs/>
                <w:color w:val="F48800"/>
                <w:sz w:val="21"/>
                <w:szCs w:val="21"/>
              </w:rPr>
            </w:pPr>
            <w:r>
              <w:rPr>
                <w:b/>
                <w:bCs/>
                <w:color w:val="F48800"/>
                <w:sz w:val="21"/>
                <w:szCs w:val="21"/>
              </w:rPr>
              <w:t>Hispanic</w:t>
            </w:r>
          </w:p>
        </w:tc>
        <w:tc>
          <w:tcPr>
            <w:tcW w:w="0" w:type="auto"/>
            <w:tcBorders>
              <w:top w:val="single" w:sz="6" w:space="0" w:color="000000"/>
              <w:left w:val="single" w:sz="6" w:space="0" w:color="000000"/>
              <w:bottom w:val="single" w:sz="6" w:space="0" w:color="000000"/>
              <w:right w:val="single" w:sz="6" w:space="0" w:color="000000"/>
            </w:tcBorders>
            <w:shd w:val="clear" w:color="auto" w:fill="FFFFFF" w:themeFill="background1"/>
            <w:tcMar>
              <w:top w:w="75" w:type="dxa"/>
              <w:left w:w="75" w:type="dxa"/>
              <w:bottom w:w="75" w:type="dxa"/>
              <w:right w:w="75" w:type="dxa"/>
            </w:tcMar>
            <w:vAlign w:val="bottom"/>
            <w:hideMark/>
          </w:tcPr>
          <w:p w:rsidR="00AD77BB" w:rsidRDefault="00B45BA0">
            <w:pPr>
              <w:shd w:val="clear" w:color="auto" w:fill="DAEEF3" w:themeFill="accent5" w:themeFillTint="33"/>
              <w:jc w:val="center"/>
              <w:rPr>
                <w:b/>
                <w:bCs/>
                <w:color w:val="F48800"/>
                <w:sz w:val="21"/>
                <w:szCs w:val="21"/>
              </w:rPr>
            </w:pPr>
            <w:r>
              <w:rPr>
                <w:b/>
                <w:bCs/>
                <w:color w:val="F48800"/>
                <w:sz w:val="21"/>
                <w:szCs w:val="21"/>
              </w:rPr>
              <w:t>Asian</w:t>
            </w:r>
          </w:p>
        </w:tc>
        <w:tc>
          <w:tcPr>
            <w:tcW w:w="0" w:type="auto"/>
            <w:tcBorders>
              <w:top w:val="single" w:sz="6" w:space="0" w:color="000000"/>
              <w:left w:val="single" w:sz="6" w:space="0" w:color="000000"/>
              <w:bottom w:val="single" w:sz="6" w:space="0" w:color="000000"/>
              <w:right w:val="single" w:sz="6" w:space="0" w:color="000000"/>
            </w:tcBorders>
            <w:shd w:val="clear" w:color="auto" w:fill="FFFFFF" w:themeFill="background1"/>
            <w:tcMar>
              <w:top w:w="75" w:type="dxa"/>
              <w:left w:w="75" w:type="dxa"/>
              <w:bottom w:w="75" w:type="dxa"/>
              <w:right w:w="75" w:type="dxa"/>
            </w:tcMar>
            <w:vAlign w:val="bottom"/>
            <w:hideMark/>
          </w:tcPr>
          <w:p w:rsidR="00AD77BB" w:rsidRDefault="00B45BA0">
            <w:pPr>
              <w:shd w:val="clear" w:color="auto" w:fill="DAEEF3" w:themeFill="accent5" w:themeFillTint="33"/>
              <w:jc w:val="center"/>
              <w:rPr>
                <w:b/>
                <w:bCs/>
                <w:color w:val="F48800"/>
                <w:sz w:val="21"/>
                <w:szCs w:val="21"/>
              </w:rPr>
            </w:pPr>
            <w:r>
              <w:rPr>
                <w:b/>
                <w:bCs/>
                <w:color w:val="F48800"/>
                <w:sz w:val="21"/>
                <w:szCs w:val="21"/>
              </w:rPr>
              <w:t>Others</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FFFFFF" w:themeFill="background1"/>
            <w:tcMar>
              <w:top w:w="75" w:type="dxa"/>
              <w:left w:w="75" w:type="dxa"/>
              <w:bottom w:w="75" w:type="dxa"/>
              <w:right w:w="75" w:type="dxa"/>
            </w:tcMar>
            <w:vAlign w:val="bottom"/>
            <w:hideMark/>
          </w:tcPr>
          <w:p w:rsidR="00AD77BB" w:rsidRDefault="00B45BA0">
            <w:pPr>
              <w:shd w:val="clear" w:color="auto" w:fill="DAEEF3" w:themeFill="accent5" w:themeFillTint="33"/>
              <w:rPr>
                <w:sz w:val="21"/>
                <w:szCs w:val="21"/>
              </w:rPr>
            </w:pPr>
            <w:r>
              <w:rPr>
                <w:sz w:val="21"/>
                <w:szCs w:val="21"/>
              </w:rPr>
              <w:t>Male</w:t>
            </w:r>
          </w:p>
        </w:tc>
        <w:tc>
          <w:tcPr>
            <w:tcW w:w="0" w:type="auto"/>
            <w:tcBorders>
              <w:top w:val="single" w:sz="6" w:space="0" w:color="auto"/>
              <w:left w:val="single" w:sz="6" w:space="0" w:color="auto"/>
              <w:bottom w:val="single" w:sz="6" w:space="0" w:color="auto"/>
              <w:right w:val="single" w:sz="6" w:space="0" w:color="auto"/>
            </w:tcBorders>
            <w:shd w:val="clear" w:color="auto" w:fill="FFFFFF" w:themeFill="background1"/>
            <w:tcMar>
              <w:top w:w="75" w:type="dxa"/>
              <w:left w:w="75" w:type="dxa"/>
              <w:bottom w:w="75" w:type="dxa"/>
              <w:right w:w="75" w:type="dxa"/>
            </w:tcMar>
            <w:vAlign w:val="bottom"/>
            <w:hideMark/>
          </w:tcPr>
          <w:p w:rsidR="00AD77BB" w:rsidRDefault="00B45BA0">
            <w:pPr>
              <w:shd w:val="clear" w:color="auto" w:fill="DAEEF3" w:themeFill="accent5" w:themeFillTint="33"/>
              <w:jc w:val="center"/>
              <w:rPr>
                <w:sz w:val="21"/>
                <w:szCs w:val="21"/>
              </w:rPr>
            </w:pPr>
            <w:r>
              <w:rPr>
                <w:sz w:val="21"/>
                <w:szCs w:val="21"/>
              </w:rPr>
              <w:t>0.25</w:t>
            </w:r>
          </w:p>
        </w:tc>
        <w:tc>
          <w:tcPr>
            <w:tcW w:w="0" w:type="auto"/>
            <w:tcBorders>
              <w:top w:val="single" w:sz="6" w:space="0" w:color="auto"/>
              <w:left w:val="single" w:sz="6" w:space="0" w:color="auto"/>
              <w:bottom w:val="single" w:sz="6" w:space="0" w:color="auto"/>
              <w:right w:val="single" w:sz="6" w:space="0" w:color="auto"/>
            </w:tcBorders>
            <w:shd w:val="clear" w:color="auto" w:fill="FFFFFF" w:themeFill="background1"/>
            <w:tcMar>
              <w:top w:w="75" w:type="dxa"/>
              <w:left w:w="75" w:type="dxa"/>
              <w:bottom w:w="75" w:type="dxa"/>
              <w:right w:w="75" w:type="dxa"/>
            </w:tcMar>
            <w:vAlign w:val="bottom"/>
            <w:hideMark/>
          </w:tcPr>
          <w:p w:rsidR="00AD77BB" w:rsidRDefault="00B45BA0">
            <w:pPr>
              <w:shd w:val="clear" w:color="auto" w:fill="DAEEF3" w:themeFill="accent5" w:themeFillTint="33"/>
              <w:jc w:val="center"/>
              <w:rPr>
                <w:sz w:val="21"/>
                <w:szCs w:val="21"/>
              </w:rPr>
            </w:pPr>
            <w:r>
              <w:rPr>
                <w:sz w:val="21"/>
                <w:szCs w:val="21"/>
              </w:rPr>
              <w:t>0.12</w:t>
            </w:r>
          </w:p>
        </w:tc>
        <w:tc>
          <w:tcPr>
            <w:tcW w:w="0" w:type="auto"/>
            <w:tcBorders>
              <w:top w:val="single" w:sz="6" w:space="0" w:color="auto"/>
              <w:left w:val="single" w:sz="6" w:space="0" w:color="auto"/>
              <w:bottom w:val="single" w:sz="6" w:space="0" w:color="auto"/>
              <w:right w:val="single" w:sz="6" w:space="0" w:color="auto"/>
            </w:tcBorders>
            <w:shd w:val="clear" w:color="auto" w:fill="FFFFFF" w:themeFill="background1"/>
            <w:tcMar>
              <w:top w:w="75" w:type="dxa"/>
              <w:left w:w="75" w:type="dxa"/>
              <w:bottom w:w="75" w:type="dxa"/>
              <w:right w:w="75" w:type="dxa"/>
            </w:tcMar>
            <w:vAlign w:val="bottom"/>
            <w:hideMark/>
          </w:tcPr>
          <w:p w:rsidR="00AD77BB" w:rsidRDefault="00B45BA0">
            <w:pPr>
              <w:shd w:val="clear" w:color="auto" w:fill="DAEEF3" w:themeFill="accent5" w:themeFillTint="33"/>
              <w:jc w:val="center"/>
              <w:rPr>
                <w:sz w:val="21"/>
                <w:szCs w:val="21"/>
              </w:rPr>
            </w:pPr>
            <w:r>
              <w:rPr>
                <w:sz w:val="21"/>
                <w:szCs w:val="21"/>
              </w:rPr>
              <w:t>0.06</w:t>
            </w:r>
          </w:p>
        </w:tc>
        <w:tc>
          <w:tcPr>
            <w:tcW w:w="0" w:type="auto"/>
            <w:tcBorders>
              <w:top w:val="single" w:sz="6" w:space="0" w:color="auto"/>
              <w:left w:val="single" w:sz="6" w:space="0" w:color="auto"/>
              <w:bottom w:val="single" w:sz="6" w:space="0" w:color="auto"/>
              <w:right w:val="single" w:sz="6" w:space="0" w:color="auto"/>
            </w:tcBorders>
            <w:shd w:val="clear" w:color="auto" w:fill="FFFFFF" w:themeFill="background1"/>
            <w:tcMar>
              <w:top w:w="75" w:type="dxa"/>
              <w:left w:w="75" w:type="dxa"/>
              <w:bottom w:w="75" w:type="dxa"/>
              <w:right w:w="75" w:type="dxa"/>
            </w:tcMar>
            <w:vAlign w:val="bottom"/>
            <w:hideMark/>
          </w:tcPr>
          <w:p w:rsidR="00AD77BB" w:rsidRDefault="00B45BA0">
            <w:pPr>
              <w:shd w:val="clear" w:color="auto" w:fill="DAEEF3" w:themeFill="accent5" w:themeFillTint="33"/>
              <w:jc w:val="center"/>
              <w:rPr>
                <w:sz w:val="21"/>
                <w:szCs w:val="21"/>
              </w:rPr>
            </w:pPr>
            <w:r>
              <w:rPr>
                <w:sz w:val="21"/>
                <w:szCs w:val="21"/>
              </w:rPr>
              <w:t>0.03</w:t>
            </w:r>
          </w:p>
        </w:tc>
        <w:tc>
          <w:tcPr>
            <w:tcW w:w="0" w:type="auto"/>
            <w:tcBorders>
              <w:top w:val="single" w:sz="6" w:space="0" w:color="auto"/>
              <w:left w:val="single" w:sz="6" w:space="0" w:color="auto"/>
              <w:bottom w:val="single" w:sz="6" w:space="0" w:color="auto"/>
              <w:right w:val="single" w:sz="6" w:space="0" w:color="auto"/>
            </w:tcBorders>
            <w:shd w:val="clear" w:color="auto" w:fill="FFFFFF" w:themeFill="background1"/>
            <w:tcMar>
              <w:top w:w="75" w:type="dxa"/>
              <w:left w:w="75" w:type="dxa"/>
              <w:bottom w:w="75" w:type="dxa"/>
              <w:right w:w="75" w:type="dxa"/>
            </w:tcMar>
            <w:vAlign w:val="bottom"/>
            <w:hideMark/>
          </w:tcPr>
          <w:p w:rsidR="00AD77BB" w:rsidRDefault="00B45BA0">
            <w:pPr>
              <w:shd w:val="clear" w:color="auto" w:fill="DAEEF3" w:themeFill="accent5" w:themeFillTint="33"/>
              <w:jc w:val="center"/>
              <w:rPr>
                <w:sz w:val="21"/>
                <w:szCs w:val="21"/>
              </w:rPr>
            </w:pPr>
            <w:r>
              <w:rPr>
                <w:sz w:val="21"/>
                <w:szCs w:val="21"/>
              </w:rPr>
              <w:t>0.01</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FFFFFF" w:themeFill="background1"/>
            <w:tcMar>
              <w:top w:w="75" w:type="dxa"/>
              <w:left w:w="75" w:type="dxa"/>
              <w:bottom w:w="75" w:type="dxa"/>
              <w:right w:w="75" w:type="dxa"/>
            </w:tcMar>
            <w:vAlign w:val="bottom"/>
            <w:hideMark/>
          </w:tcPr>
          <w:p w:rsidR="00AD77BB" w:rsidRDefault="00B45BA0">
            <w:pPr>
              <w:shd w:val="clear" w:color="auto" w:fill="DAEEF3" w:themeFill="accent5" w:themeFillTint="33"/>
              <w:rPr>
                <w:sz w:val="21"/>
                <w:szCs w:val="21"/>
              </w:rPr>
            </w:pPr>
            <w:r>
              <w:rPr>
                <w:sz w:val="21"/>
                <w:szCs w:val="21"/>
              </w:rPr>
              <w:t>Female</w:t>
            </w:r>
          </w:p>
        </w:tc>
        <w:tc>
          <w:tcPr>
            <w:tcW w:w="0" w:type="auto"/>
            <w:tcBorders>
              <w:top w:val="single" w:sz="6" w:space="0" w:color="auto"/>
              <w:left w:val="single" w:sz="6" w:space="0" w:color="auto"/>
              <w:bottom w:val="single" w:sz="6" w:space="0" w:color="auto"/>
              <w:right w:val="single" w:sz="6" w:space="0" w:color="auto"/>
            </w:tcBorders>
            <w:shd w:val="clear" w:color="auto" w:fill="FFFFFF" w:themeFill="background1"/>
            <w:tcMar>
              <w:top w:w="75" w:type="dxa"/>
              <w:left w:w="75" w:type="dxa"/>
              <w:bottom w:w="75" w:type="dxa"/>
              <w:right w:w="75" w:type="dxa"/>
            </w:tcMar>
            <w:vAlign w:val="bottom"/>
            <w:hideMark/>
          </w:tcPr>
          <w:p w:rsidR="00AD77BB" w:rsidRDefault="00B45BA0">
            <w:pPr>
              <w:shd w:val="clear" w:color="auto" w:fill="DAEEF3" w:themeFill="accent5" w:themeFillTint="33"/>
              <w:jc w:val="center"/>
              <w:rPr>
                <w:sz w:val="21"/>
                <w:szCs w:val="21"/>
              </w:rPr>
            </w:pPr>
            <w:r>
              <w:rPr>
                <w:sz w:val="21"/>
                <w:szCs w:val="21"/>
              </w:rPr>
              <w:t>0.26</w:t>
            </w:r>
          </w:p>
        </w:tc>
        <w:tc>
          <w:tcPr>
            <w:tcW w:w="0" w:type="auto"/>
            <w:tcBorders>
              <w:top w:val="single" w:sz="6" w:space="0" w:color="auto"/>
              <w:left w:val="single" w:sz="6" w:space="0" w:color="auto"/>
              <w:bottom w:val="single" w:sz="6" w:space="0" w:color="auto"/>
              <w:right w:val="single" w:sz="6" w:space="0" w:color="auto"/>
            </w:tcBorders>
            <w:shd w:val="clear" w:color="auto" w:fill="FFFFFF" w:themeFill="background1"/>
            <w:tcMar>
              <w:top w:w="75" w:type="dxa"/>
              <w:left w:w="75" w:type="dxa"/>
              <w:bottom w:w="75" w:type="dxa"/>
              <w:right w:w="75" w:type="dxa"/>
            </w:tcMar>
            <w:vAlign w:val="bottom"/>
            <w:hideMark/>
          </w:tcPr>
          <w:p w:rsidR="00AD77BB" w:rsidRDefault="00B45BA0">
            <w:pPr>
              <w:shd w:val="clear" w:color="auto" w:fill="DAEEF3" w:themeFill="accent5" w:themeFillTint="33"/>
              <w:jc w:val="center"/>
              <w:rPr>
                <w:sz w:val="21"/>
                <w:szCs w:val="21"/>
              </w:rPr>
            </w:pPr>
            <w:r>
              <w:rPr>
                <w:sz w:val="21"/>
                <w:szCs w:val="21"/>
              </w:rPr>
              <w:t>0.15</w:t>
            </w:r>
          </w:p>
        </w:tc>
        <w:tc>
          <w:tcPr>
            <w:tcW w:w="0" w:type="auto"/>
            <w:tcBorders>
              <w:top w:val="single" w:sz="6" w:space="0" w:color="auto"/>
              <w:left w:val="single" w:sz="6" w:space="0" w:color="auto"/>
              <w:bottom w:val="single" w:sz="6" w:space="0" w:color="auto"/>
              <w:right w:val="single" w:sz="6" w:space="0" w:color="auto"/>
            </w:tcBorders>
            <w:shd w:val="clear" w:color="auto" w:fill="FFFFFF" w:themeFill="background1"/>
            <w:tcMar>
              <w:top w:w="75" w:type="dxa"/>
              <w:left w:w="75" w:type="dxa"/>
              <w:bottom w:w="75" w:type="dxa"/>
              <w:right w:w="75" w:type="dxa"/>
            </w:tcMar>
            <w:vAlign w:val="bottom"/>
            <w:hideMark/>
          </w:tcPr>
          <w:p w:rsidR="00AD77BB" w:rsidRDefault="00B45BA0">
            <w:pPr>
              <w:shd w:val="clear" w:color="auto" w:fill="DAEEF3" w:themeFill="accent5" w:themeFillTint="33"/>
              <w:jc w:val="center"/>
              <w:rPr>
                <w:sz w:val="21"/>
                <w:szCs w:val="21"/>
              </w:rPr>
            </w:pPr>
            <w:r>
              <w:rPr>
                <w:sz w:val="21"/>
                <w:szCs w:val="21"/>
              </w:rPr>
              <w:t>0.05</w:t>
            </w:r>
          </w:p>
        </w:tc>
        <w:tc>
          <w:tcPr>
            <w:tcW w:w="0" w:type="auto"/>
            <w:tcBorders>
              <w:top w:val="single" w:sz="6" w:space="0" w:color="auto"/>
              <w:left w:val="single" w:sz="6" w:space="0" w:color="auto"/>
              <w:bottom w:val="single" w:sz="6" w:space="0" w:color="auto"/>
              <w:right w:val="single" w:sz="6" w:space="0" w:color="auto"/>
            </w:tcBorders>
            <w:shd w:val="clear" w:color="auto" w:fill="FFFFFF" w:themeFill="background1"/>
            <w:tcMar>
              <w:top w:w="75" w:type="dxa"/>
              <w:left w:w="75" w:type="dxa"/>
              <w:bottom w:w="75" w:type="dxa"/>
              <w:right w:w="75" w:type="dxa"/>
            </w:tcMar>
            <w:vAlign w:val="bottom"/>
            <w:hideMark/>
          </w:tcPr>
          <w:p w:rsidR="00AD77BB" w:rsidRDefault="00B45BA0">
            <w:pPr>
              <w:shd w:val="clear" w:color="auto" w:fill="DAEEF3" w:themeFill="accent5" w:themeFillTint="33"/>
              <w:jc w:val="center"/>
              <w:rPr>
                <w:sz w:val="21"/>
                <w:szCs w:val="21"/>
              </w:rPr>
            </w:pPr>
            <w:r>
              <w:rPr>
                <w:sz w:val="21"/>
                <w:szCs w:val="21"/>
              </w:rPr>
              <w:t>0.03</w:t>
            </w:r>
          </w:p>
        </w:tc>
        <w:tc>
          <w:tcPr>
            <w:tcW w:w="0" w:type="auto"/>
            <w:tcBorders>
              <w:top w:val="single" w:sz="6" w:space="0" w:color="auto"/>
              <w:left w:val="single" w:sz="6" w:space="0" w:color="auto"/>
              <w:bottom w:val="single" w:sz="6" w:space="0" w:color="auto"/>
              <w:right w:val="single" w:sz="6" w:space="0" w:color="auto"/>
            </w:tcBorders>
            <w:shd w:val="clear" w:color="auto" w:fill="FFFFFF" w:themeFill="background1"/>
            <w:tcMar>
              <w:top w:w="75" w:type="dxa"/>
              <w:left w:w="75" w:type="dxa"/>
              <w:bottom w:w="75" w:type="dxa"/>
              <w:right w:w="75" w:type="dxa"/>
            </w:tcMar>
            <w:vAlign w:val="bottom"/>
            <w:hideMark/>
          </w:tcPr>
          <w:p w:rsidR="00AD77BB" w:rsidRDefault="00B45BA0">
            <w:pPr>
              <w:shd w:val="clear" w:color="auto" w:fill="DAEEF3" w:themeFill="accent5" w:themeFillTint="33"/>
              <w:jc w:val="center"/>
              <w:rPr>
                <w:sz w:val="21"/>
                <w:szCs w:val="21"/>
              </w:rPr>
            </w:pPr>
            <w:r>
              <w:rPr>
                <w:sz w:val="21"/>
                <w:szCs w:val="21"/>
              </w:rPr>
              <w:t>0.04</w:t>
            </w:r>
          </w:p>
        </w:tc>
      </w:tr>
    </w:tbl>
    <w:p w:rsidR="00AD77BB" w:rsidRDefault="00B45BA0">
      <w:pPr>
        <w:numPr>
          <w:ilvl w:val="0"/>
          <w:numId w:val="49"/>
        </w:numPr>
        <w:shd w:val="clear" w:color="auto" w:fill="DAEEF3" w:themeFill="accent5" w:themeFillTint="33"/>
        <w:spacing w:after="0" w:line="439" w:lineRule="atLeast"/>
        <w:ind w:right="375"/>
        <w:textAlignment w:val="baseline"/>
        <w:rPr>
          <w:rFonts w:ascii="Calibri" w:hAnsi="Calibri"/>
          <w:b/>
          <w:color w:val="333333"/>
          <w:sz w:val="20"/>
          <w:szCs w:val="20"/>
        </w:rPr>
      </w:pPr>
      <w:r>
        <w:rPr>
          <w:rFonts w:ascii="Calibri" w:hAnsi="Calibri"/>
          <w:color w:val="333333"/>
          <w:sz w:val="20"/>
          <w:szCs w:val="20"/>
        </w:rPr>
        <w:t>Since</w:t>
      </w:r>
      <w:r>
        <w:rPr>
          <w:rStyle w:val="apple-converted-space"/>
          <w:rFonts w:ascii="Calibri" w:hAnsi="Calibri"/>
          <w:b/>
          <w:color w:val="333333"/>
          <w:sz w:val="20"/>
          <w:szCs w:val="20"/>
        </w:rPr>
        <w:t> </w:t>
      </w:r>
      <w:r>
        <w:rPr>
          <w:rStyle w:val="mi"/>
          <w:rFonts w:ascii="MathJax_Math" w:hAnsi="MathJax_Math"/>
          <w:b/>
          <w:i/>
          <w:iCs/>
          <w:color w:val="333333"/>
          <w:sz w:val="15"/>
          <w:szCs w:val="15"/>
        </w:rPr>
        <w:t>B</w:t>
      </w:r>
      <w:r>
        <w:rPr>
          <w:rStyle w:val="mo"/>
          <w:rFonts w:ascii="MathJax_Main" w:hAnsi="MathJax_Main"/>
          <w:b/>
          <w:color w:val="333333"/>
          <w:sz w:val="15"/>
          <w:szCs w:val="15"/>
        </w:rPr>
        <w:t>={</w:t>
      </w:r>
      <w:r>
        <w:rPr>
          <w:rStyle w:val="mi"/>
          <w:rFonts w:ascii="MathJax_Math" w:hAnsi="MathJax_Math"/>
          <w:b/>
          <w:i/>
          <w:iCs/>
          <w:color w:val="333333"/>
          <w:sz w:val="15"/>
          <w:szCs w:val="15"/>
        </w:rPr>
        <w:t>bm</w:t>
      </w:r>
      <w:r>
        <w:rPr>
          <w:rStyle w:val="mo"/>
          <w:rFonts w:ascii="MathJax_Main" w:hAnsi="MathJax_Main"/>
          <w:b/>
          <w:color w:val="333333"/>
          <w:sz w:val="15"/>
          <w:szCs w:val="15"/>
        </w:rPr>
        <w:t>,</w:t>
      </w:r>
      <w:r>
        <w:rPr>
          <w:rStyle w:val="mi"/>
          <w:rFonts w:ascii="MathJax_Math" w:hAnsi="MathJax_Math"/>
          <w:b/>
          <w:i/>
          <w:iCs/>
          <w:color w:val="333333"/>
          <w:sz w:val="15"/>
          <w:szCs w:val="15"/>
        </w:rPr>
        <w:t>bf</w:t>
      </w:r>
      <w:r>
        <w:rPr>
          <w:rStyle w:val="mo"/>
          <w:rFonts w:ascii="MathJax_Main" w:hAnsi="MathJax_Main"/>
          <w:b/>
          <w:color w:val="333333"/>
          <w:sz w:val="15"/>
          <w:szCs w:val="15"/>
        </w:rPr>
        <w:t>}</w:t>
      </w:r>
      <w:r>
        <w:rPr>
          <w:rFonts w:ascii="Calibri" w:hAnsi="Calibri"/>
          <w:b/>
          <w:color w:val="333333"/>
          <w:sz w:val="20"/>
          <w:szCs w:val="20"/>
        </w:rPr>
        <w:t>,</w:t>
      </w:r>
      <w:r>
        <w:rPr>
          <w:rStyle w:val="apple-converted-space"/>
          <w:rFonts w:ascii="Calibri" w:hAnsi="Calibri"/>
          <w:b/>
          <w:color w:val="333333"/>
          <w:sz w:val="20"/>
          <w:szCs w:val="20"/>
        </w:rPr>
        <w:t> </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B</w:t>
      </w:r>
      <w:r>
        <w:rPr>
          <w:rStyle w:val="mo"/>
          <w:rFonts w:ascii="MathJax_Main" w:hAnsi="MathJax_Main"/>
          <w:b/>
          <w:color w:val="333333"/>
          <w:sz w:val="15"/>
          <w:szCs w:val="15"/>
        </w:rPr>
        <w:t>)=</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bm</w:t>
      </w:r>
      <w:r>
        <w:rPr>
          <w:rStyle w:val="mo"/>
          <w:rFonts w:ascii="MathJax_Main" w:hAnsi="MathJax_Main"/>
          <w:b/>
          <w:color w:val="333333"/>
          <w:sz w:val="15"/>
          <w:szCs w:val="15"/>
        </w:rPr>
        <w:t>)+</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bf</w:t>
      </w:r>
      <w:r>
        <w:rPr>
          <w:rStyle w:val="mo"/>
          <w:rFonts w:ascii="MathJax_Main" w:hAnsi="MathJax_Main"/>
          <w:b/>
          <w:color w:val="333333"/>
          <w:sz w:val="15"/>
          <w:szCs w:val="15"/>
        </w:rPr>
        <w:t>)=</w:t>
      </w:r>
      <w:r>
        <w:rPr>
          <w:rStyle w:val="mn"/>
          <w:rFonts w:ascii="MathJax_Main" w:hAnsi="MathJax_Main"/>
          <w:b/>
          <w:color w:val="333333"/>
          <w:sz w:val="15"/>
          <w:szCs w:val="15"/>
        </w:rPr>
        <w:t>0.12</w:t>
      </w:r>
      <w:r>
        <w:rPr>
          <w:rStyle w:val="mo"/>
          <w:rFonts w:ascii="MathJax_Main" w:hAnsi="MathJax_Main"/>
          <w:b/>
          <w:color w:val="333333"/>
          <w:sz w:val="15"/>
          <w:szCs w:val="15"/>
        </w:rPr>
        <w:t>+</w:t>
      </w:r>
      <w:r>
        <w:rPr>
          <w:rStyle w:val="mn"/>
          <w:rFonts w:ascii="MathJax_Main" w:hAnsi="MathJax_Main"/>
          <w:b/>
          <w:color w:val="333333"/>
          <w:sz w:val="15"/>
          <w:szCs w:val="15"/>
        </w:rPr>
        <w:t>0.15</w:t>
      </w:r>
      <w:r>
        <w:rPr>
          <w:rStyle w:val="mo"/>
          <w:rFonts w:ascii="MathJax_Main" w:hAnsi="MathJax_Main"/>
          <w:b/>
          <w:color w:val="333333"/>
          <w:sz w:val="15"/>
          <w:szCs w:val="15"/>
        </w:rPr>
        <w:t>=</w:t>
      </w:r>
      <w:r>
        <w:rPr>
          <w:rStyle w:val="mn"/>
          <w:rFonts w:ascii="MathJax_Main" w:hAnsi="MathJax_Main"/>
          <w:b/>
          <w:color w:val="333333"/>
          <w:sz w:val="15"/>
          <w:szCs w:val="15"/>
        </w:rPr>
        <w:t>0.27</w:t>
      </w:r>
      <w:r>
        <w:rPr>
          <w:rStyle w:val="mo"/>
          <w:rFonts w:ascii="MathJax_Main" w:hAnsi="MathJax_Main"/>
          <w:b/>
          <w:color w:val="333333"/>
          <w:sz w:val="15"/>
          <w:szCs w:val="15"/>
        </w:rPr>
        <w:t>.</w:t>
      </w:r>
    </w:p>
    <w:p w:rsidR="00AD77BB" w:rsidRDefault="00B45BA0">
      <w:pPr>
        <w:numPr>
          <w:ilvl w:val="0"/>
          <w:numId w:val="49"/>
        </w:numPr>
        <w:shd w:val="clear" w:color="auto" w:fill="DAEEF3" w:themeFill="accent5" w:themeFillTint="33"/>
        <w:spacing w:after="0" w:line="439" w:lineRule="atLeast"/>
        <w:ind w:left="504" w:right="375" w:hanging="504"/>
        <w:textAlignment w:val="baseline"/>
        <w:rPr>
          <w:rStyle w:val="apple-converted-space"/>
        </w:rPr>
      </w:pPr>
      <w:r>
        <w:rPr>
          <w:rFonts w:ascii="Calibri" w:hAnsi="Calibri"/>
          <w:color w:val="333333"/>
          <w:sz w:val="20"/>
          <w:szCs w:val="20"/>
        </w:rPr>
        <w:t>Since</w:t>
      </w:r>
      <w:r>
        <w:rPr>
          <w:rStyle w:val="apple-converted-space"/>
          <w:rFonts w:ascii="Calibri" w:hAnsi="Calibri"/>
          <w:color w:val="333333"/>
          <w:sz w:val="20"/>
          <w:szCs w:val="20"/>
        </w:rPr>
        <w:t> </w:t>
      </w:r>
      <w:r>
        <w:rPr>
          <w:rStyle w:val="mi"/>
          <w:rFonts w:ascii="MathJax_Math" w:hAnsi="MathJax_Math"/>
          <w:b/>
          <w:i/>
          <w:iCs/>
          <w:color w:val="333333"/>
          <w:sz w:val="15"/>
          <w:szCs w:val="15"/>
        </w:rPr>
        <w:t>MF</w:t>
      </w:r>
      <w:r>
        <w:rPr>
          <w:rStyle w:val="mo"/>
          <w:rFonts w:ascii="MathJax_Main" w:hAnsi="MathJax_Main"/>
          <w:b/>
          <w:color w:val="333333"/>
          <w:sz w:val="15"/>
          <w:szCs w:val="15"/>
        </w:rPr>
        <w:t>={</w:t>
      </w:r>
      <w:r>
        <w:rPr>
          <w:rStyle w:val="mi"/>
          <w:rFonts w:ascii="MathJax_Math" w:hAnsi="MathJax_Math"/>
          <w:b/>
          <w:i/>
          <w:iCs/>
          <w:color w:val="333333"/>
          <w:sz w:val="15"/>
          <w:szCs w:val="15"/>
        </w:rPr>
        <w:t>bf</w:t>
      </w:r>
      <w:r>
        <w:rPr>
          <w:rStyle w:val="mo"/>
          <w:rFonts w:ascii="MathJax_Main" w:hAnsi="MathJax_Main"/>
          <w:b/>
          <w:color w:val="333333"/>
          <w:sz w:val="15"/>
          <w:szCs w:val="15"/>
        </w:rPr>
        <w:t>,</w:t>
      </w:r>
      <w:r>
        <w:rPr>
          <w:rStyle w:val="mi"/>
          <w:rFonts w:ascii="MathJax_Math" w:hAnsi="MathJax_Math"/>
          <w:b/>
          <w:i/>
          <w:iCs/>
          <w:color w:val="333333"/>
          <w:sz w:val="15"/>
          <w:szCs w:val="15"/>
        </w:rPr>
        <w:t>hf</w:t>
      </w:r>
      <w:r>
        <w:rPr>
          <w:rStyle w:val="mo"/>
          <w:rFonts w:ascii="MathJax_Main" w:hAnsi="MathJax_Main"/>
          <w:b/>
          <w:color w:val="333333"/>
          <w:sz w:val="15"/>
          <w:szCs w:val="15"/>
        </w:rPr>
        <w:t>,</w:t>
      </w:r>
      <w:r>
        <w:rPr>
          <w:rStyle w:val="mi"/>
          <w:rFonts w:ascii="MathJax_Math" w:hAnsi="MathJax_Math"/>
          <w:b/>
          <w:i/>
          <w:iCs/>
          <w:color w:val="333333"/>
          <w:sz w:val="15"/>
          <w:szCs w:val="15"/>
        </w:rPr>
        <w:t>af</w:t>
      </w:r>
      <w:r>
        <w:rPr>
          <w:rStyle w:val="mo"/>
          <w:rFonts w:ascii="MathJax_Main" w:hAnsi="MathJax_Main"/>
          <w:b/>
          <w:color w:val="333333"/>
          <w:sz w:val="15"/>
          <w:szCs w:val="15"/>
        </w:rPr>
        <w:t>,</w:t>
      </w:r>
      <w:r>
        <w:rPr>
          <w:rStyle w:val="mi"/>
          <w:rFonts w:ascii="MathJax_Math" w:hAnsi="MathJax_Math"/>
          <w:b/>
          <w:i/>
          <w:iCs/>
          <w:color w:val="333333"/>
          <w:sz w:val="15"/>
          <w:szCs w:val="15"/>
        </w:rPr>
        <w:t>of</w:t>
      </w:r>
      <w:r>
        <w:rPr>
          <w:rStyle w:val="mo"/>
          <w:rFonts w:ascii="MathJax_Main" w:hAnsi="MathJax_Main"/>
          <w:b/>
          <w:color w:val="333333"/>
          <w:sz w:val="15"/>
          <w:szCs w:val="15"/>
        </w:rPr>
        <w:t>}</w:t>
      </w:r>
      <w:r>
        <w:rPr>
          <w:rFonts w:ascii="Calibri" w:hAnsi="Calibri"/>
          <w:b/>
          <w:color w:val="333333"/>
          <w:sz w:val="20"/>
          <w:szCs w:val="20"/>
        </w:rPr>
        <w:t>,</w:t>
      </w:r>
      <w:r>
        <w:rPr>
          <w:rStyle w:val="apple-converted-space"/>
          <w:rFonts w:ascii="Calibri" w:hAnsi="Calibri"/>
          <w:b/>
          <w:color w:val="333333"/>
          <w:sz w:val="20"/>
          <w:szCs w:val="20"/>
        </w:rPr>
        <w:t> </w:t>
      </w:r>
    </w:p>
    <w:p w:rsidR="00AD77BB" w:rsidRDefault="00B45BA0">
      <w:pPr>
        <w:shd w:val="clear" w:color="auto" w:fill="DAEEF3" w:themeFill="accent5" w:themeFillTint="33"/>
        <w:spacing w:after="0" w:line="439" w:lineRule="atLeast"/>
        <w:ind w:left="300" w:right="375"/>
        <w:textAlignment w:val="baseline"/>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M</w:t>
      </w:r>
      <w:r>
        <w:rPr>
          <w:rStyle w:val="mo"/>
          <w:rFonts w:ascii="MathJax_Main" w:hAnsi="MathJax_Main"/>
          <w:b/>
          <w:color w:val="333333"/>
          <w:sz w:val="15"/>
          <w:szCs w:val="15"/>
        </w:rPr>
        <w:t>)=</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bf</w:t>
      </w:r>
      <w:r>
        <w:rPr>
          <w:rStyle w:val="mo"/>
          <w:rFonts w:ascii="MathJax_Main" w:hAnsi="MathJax_Main"/>
          <w:b/>
          <w:color w:val="333333"/>
          <w:sz w:val="15"/>
          <w:szCs w:val="15"/>
        </w:rPr>
        <w:t>)+</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hf</w:t>
      </w:r>
      <w:r>
        <w:rPr>
          <w:rStyle w:val="mo"/>
          <w:rFonts w:ascii="MathJax_Main" w:hAnsi="MathJax_Main"/>
          <w:b/>
          <w:color w:val="333333"/>
          <w:sz w:val="15"/>
          <w:szCs w:val="15"/>
        </w:rPr>
        <w:t>)+</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af</w:t>
      </w:r>
      <w:r>
        <w:rPr>
          <w:rStyle w:val="mo"/>
          <w:rFonts w:ascii="MathJax_Main" w:hAnsi="MathJax_Main"/>
          <w:b/>
          <w:color w:val="333333"/>
          <w:sz w:val="15"/>
          <w:szCs w:val="15"/>
        </w:rPr>
        <w:t>)+</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of</w:t>
      </w:r>
      <w:r>
        <w:rPr>
          <w:rStyle w:val="mo"/>
          <w:rFonts w:ascii="MathJax_Main" w:hAnsi="MathJax_Main"/>
          <w:b/>
          <w:color w:val="333333"/>
          <w:sz w:val="15"/>
          <w:szCs w:val="15"/>
        </w:rPr>
        <w:t>)=</w:t>
      </w:r>
      <w:r>
        <w:rPr>
          <w:rStyle w:val="mn"/>
          <w:rFonts w:ascii="MathJax_Main" w:hAnsi="MathJax_Main"/>
          <w:b/>
          <w:color w:val="333333"/>
          <w:sz w:val="15"/>
          <w:szCs w:val="15"/>
        </w:rPr>
        <w:t>0.15</w:t>
      </w:r>
      <w:r>
        <w:rPr>
          <w:rStyle w:val="mo"/>
          <w:rFonts w:ascii="MathJax_Main" w:hAnsi="MathJax_Main"/>
          <w:b/>
          <w:color w:val="333333"/>
          <w:sz w:val="15"/>
          <w:szCs w:val="15"/>
        </w:rPr>
        <w:t>+</w:t>
      </w:r>
      <w:r>
        <w:rPr>
          <w:rStyle w:val="mn"/>
          <w:rFonts w:ascii="MathJax_Main" w:hAnsi="MathJax_Main"/>
          <w:b/>
          <w:color w:val="333333"/>
          <w:sz w:val="15"/>
          <w:szCs w:val="15"/>
        </w:rPr>
        <w:t>0.05</w:t>
      </w:r>
      <w:r>
        <w:rPr>
          <w:rStyle w:val="mo"/>
          <w:rFonts w:ascii="MathJax_Main" w:hAnsi="MathJax_Main"/>
          <w:b/>
          <w:color w:val="333333"/>
          <w:sz w:val="15"/>
          <w:szCs w:val="15"/>
        </w:rPr>
        <w:t>+</w:t>
      </w:r>
      <w:r>
        <w:rPr>
          <w:rStyle w:val="mn"/>
          <w:rFonts w:ascii="MathJax_Main" w:hAnsi="MathJax_Main"/>
          <w:b/>
          <w:color w:val="333333"/>
          <w:sz w:val="15"/>
          <w:szCs w:val="15"/>
        </w:rPr>
        <w:t>0.03</w:t>
      </w:r>
      <w:r>
        <w:rPr>
          <w:rStyle w:val="mo"/>
          <w:rFonts w:ascii="MathJax_Main" w:hAnsi="MathJax_Main"/>
          <w:b/>
          <w:color w:val="333333"/>
          <w:sz w:val="15"/>
          <w:szCs w:val="15"/>
        </w:rPr>
        <w:t>+</w:t>
      </w:r>
      <w:r>
        <w:rPr>
          <w:rStyle w:val="mn"/>
          <w:rFonts w:ascii="MathJax_Main" w:hAnsi="MathJax_Main"/>
          <w:b/>
          <w:color w:val="333333"/>
          <w:sz w:val="15"/>
          <w:szCs w:val="15"/>
        </w:rPr>
        <w:t>0.04</w:t>
      </w:r>
      <w:r>
        <w:rPr>
          <w:rStyle w:val="mo"/>
          <w:rFonts w:ascii="MathJax_Main" w:hAnsi="MathJax_Main"/>
          <w:b/>
          <w:color w:val="333333"/>
          <w:sz w:val="15"/>
          <w:szCs w:val="15"/>
        </w:rPr>
        <w:t>=</w:t>
      </w:r>
      <w:r>
        <w:rPr>
          <w:rStyle w:val="mn"/>
          <w:rFonts w:ascii="MathJax_Main" w:hAnsi="MathJax_Main"/>
          <w:b/>
          <w:color w:val="333333"/>
          <w:sz w:val="15"/>
          <w:szCs w:val="15"/>
        </w:rPr>
        <w:t>0.27</w:t>
      </w:r>
    </w:p>
    <w:p w:rsidR="00AD77BB" w:rsidRDefault="00B45BA0">
      <w:pPr>
        <w:numPr>
          <w:ilvl w:val="0"/>
          <w:numId w:val="49"/>
        </w:numPr>
        <w:shd w:val="clear" w:color="auto" w:fill="DAEEF3" w:themeFill="accent5" w:themeFillTint="33"/>
        <w:spacing w:after="0" w:line="439" w:lineRule="atLeast"/>
        <w:ind w:left="504" w:right="375" w:hanging="504"/>
        <w:textAlignment w:val="baseline"/>
        <w:rPr>
          <w:rStyle w:val="apple-converted-space"/>
          <w:b/>
        </w:rPr>
      </w:pPr>
      <w:r>
        <w:rPr>
          <w:rFonts w:ascii="Calibri" w:hAnsi="Calibri"/>
          <w:color w:val="333333"/>
          <w:sz w:val="20"/>
          <w:szCs w:val="20"/>
        </w:rPr>
        <w:lastRenderedPageBreak/>
        <w:t>Since</w:t>
      </w:r>
      <w:r>
        <w:rPr>
          <w:rStyle w:val="apple-converted-space"/>
          <w:rFonts w:ascii="Calibri" w:hAnsi="Calibri"/>
          <w:color w:val="333333"/>
          <w:sz w:val="20"/>
          <w:szCs w:val="20"/>
        </w:rPr>
        <w:t> </w:t>
      </w:r>
      <w:r>
        <w:rPr>
          <w:rStyle w:val="mi"/>
          <w:rFonts w:ascii="MathJax_Math" w:hAnsi="MathJax_Math"/>
          <w:b/>
          <w:i/>
          <w:iCs/>
          <w:color w:val="333333"/>
          <w:sz w:val="15"/>
          <w:szCs w:val="15"/>
        </w:rPr>
        <w:t>FN</w:t>
      </w:r>
      <w:r>
        <w:rPr>
          <w:rStyle w:val="mo"/>
          <w:rFonts w:ascii="MathJax_Main" w:hAnsi="MathJax_Main"/>
          <w:b/>
          <w:color w:val="333333"/>
          <w:sz w:val="15"/>
          <w:szCs w:val="15"/>
        </w:rPr>
        <w:t>={</w:t>
      </w:r>
      <w:r>
        <w:rPr>
          <w:rStyle w:val="mi"/>
          <w:rFonts w:ascii="MathJax_Math" w:hAnsi="MathJax_Math"/>
          <w:b/>
          <w:i/>
          <w:iCs/>
          <w:color w:val="333333"/>
          <w:sz w:val="15"/>
          <w:szCs w:val="15"/>
        </w:rPr>
        <w:t>wf</w:t>
      </w:r>
      <w:r>
        <w:rPr>
          <w:rStyle w:val="mo"/>
          <w:rFonts w:ascii="MathJax_Main" w:hAnsi="MathJax_Main"/>
          <w:b/>
          <w:color w:val="333333"/>
          <w:sz w:val="15"/>
          <w:szCs w:val="15"/>
        </w:rPr>
        <w:t>,</w:t>
      </w:r>
      <w:r>
        <w:rPr>
          <w:rStyle w:val="mi"/>
          <w:rFonts w:ascii="MathJax_Math" w:hAnsi="MathJax_Math"/>
          <w:b/>
          <w:i/>
          <w:iCs/>
          <w:color w:val="333333"/>
          <w:sz w:val="15"/>
          <w:szCs w:val="15"/>
        </w:rPr>
        <w:t>hf</w:t>
      </w:r>
      <w:r>
        <w:rPr>
          <w:rStyle w:val="mo"/>
          <w:rFonts w:ascii="MathJax_Main" w:hAnsi="MathJax_Main"/>
          <w:b/>
          <w:color w:val="333333"/>
          <w:sz w:val="15"/>
          <w:szCs w:val="15"/>
        </w:rPr>
        <w:t>,</w:t>
      </w:r>
      <w:r>
        <w:rPr>
          <w:rStyle w:val="mi"/>
          <w:rFonts w:ascii="MathJax_Math" w:hAnsi="MathJax_Math"/>
          <w:b/>
          <w:i/>
          <w:iCs/>
          <w:color w:val="333333"/>
          <w:sz w:val="15"/>
          <w:szCs w:val="15"/>
        </w:rPr>
        <w:t>af</w:t>
      </w:r>
      <w:r>
        <w:rPr>
          <w:rStyle w:val="mo"/>
          <w:rFonts w:ascii="MathJax_Main" w:hAnsi="MathJax_Main"/>
          <w:b/>
          <w:color w:val="333333"/>
          <w:sz w:val="15"/>
          <w:szCs w:val="15"/>
        </w:rPr>
        <w:t>,</w:t>
      </w:r>
      <w:r>
        <w:rPr>
          <w:rStyle w:val="mi"/>
          <w:rFonts w:ascii="MathJax_Math" w:hAnsi="MathJax_Math"/>
          <w:b/>
          <w:i/>
          <w:iCs/>
          <w:color w:val="333333"/>
          <w:sz w:val="15"/>
          <w:szCs w:val="15"/>
        </w:rPr>
        <w:t>of</w:t>
      </w:r>
      <w:r>
        <w:rPr>
          <w:rStyle w:val="mo"/>
          <w:rFonts w:ascii="MathJax_Main" w:hAnsi="MathJax_Main"/>
          <w:b/>
          <w:color w:val="333333"/>
          <w:sz w:val="15"/>
          <w:szCs w:val="15"/>
        </w:rPr>
        <w:t>}</w:t>
      </w:r>
      <w:r>
        <w:rPr>
          <w:rFonts w:ascii="Calibri" w:hAnsi="Calibri"/>
          <w:b/>
          <w:color w:val="333333"/>
          <w:sz w:val="20"/>
          <w:szCs w:val="20"/>
        </w:rPr>
        <w:t>,</w:t>
      </w:r>
      <w:r>
        <w:rPr>
          <w:rStyle w:val="apple-converted-space"/>
          <w:rFonts w:ascii="Calibri" w:hAnsi="Calibri"/>
          <w:b/>
          <w:color w:val="333333"/>
          <w:sz w:val="20"/>
          <w:szCs w:val="20"/>
        </w:rPr>
        <w:t> </w:t>
      </w:r>
    </w:p>
    <w:p w:rsidR="00AD77BB" w:rsidRDefault="00B45BA0">
      <w:pPr>
        <w:shd w:val="clear" w:color="auto" w:fill="DAEEF3" w:themeFill="accent5" w:themeFillTint="33"/>
        <w:spacing w:after="0" w:line="439" w:lineRule="atLeast"/>
        <w:ind w:left="300" w:right="375"/>
        <w:textAlignment w:val="baseline"/>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FN</w:t>
      </w:r>
      <w:r>
        <w:rPr>
          <w:rStyle w:val="mo"/>
          <w:rFonts w:ascii="MathJax_Main" w:hAnsi="MathJax_Main"/>
          <w:b/>
          <w:color w:val="333333"/>
          <w:sz w:val="15"/>
          <w:szCs w:val="15"/>
        </w:rPr>
        <w:t>)=</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wf</w:t>
      </w:r>
      <w:r>
        <w:rPr>
          <w:rStyle w:val="mo"/>
          <w:rFonts w:ascii="MathJax_Main" w:hAnsi="MathJax_Main"/>
          <w:b/>
          <w:color w:val="333333"/>
          <w:sz w:val="15"/>
          <w:szCs w:val="15"/>
        </w:rPr>
        <w:t>)+</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hf</w:t>
      </w:r>
      <w:r>
        <w:rPr>
          <w:rStyle w:val="mo"/>
          <w:rFonts w:ascii="MathJax_Main" w:hAnsi="MathJax_Main"/>
          <w:b/>
          <w:color w:val="333333"/>
          <w:sz w:val="15"/>
          <w:szCs w:val="15"/>
        </w:rPr>
        <w:t>)+</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af</w:t>
      </w:r>
      <w:r>
        <w:rPr>
          <w:rStyle w:val="mo"/>
          <w:rFonts w:ascii="MathJax_Main" w:hAnsi="MathJax_Main"/>
          <w:b/>
          <w:color w:val="333333"/>
          <w:sz w:val="15"/>
          <w:szCs w:val="15"/>
        </w:rPr>
        <w:t>)+</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of</w:t>
      </w:r>
      <w:r>
        <w:rPr>
          <w:rStyle w:val="mo"/>
          <w:rFonts w:ascii="MathJax_Main" w:hAnsi="MathJax_Main"/>
          <w:b/>
          <w:color w:val="333333"/>
          <w:sz w:val="15"/>
          <w:szCs w:val="15"/>
        </w:rPr>
        <w:t>)=</w:t>
      </w:r>
      <w:r>
        <w:rPr>
          <w:rStyle w:val="mn"/>
          <w:rFonts w:ascii="MathJax_Main" w:hAnsi="MathJax_Main"/>
          <w:b/>
          <w:color w:val="333333"/>
          <w:sz w:val="15"/>
          <w:szCs w:val="15"/>
        </w:rPr>
        <w:t>0.26</w:t>
      </w:r>
      <w:r>
        <w:rPr>
          <w:rStyle w:val="mo"/>
          <w:rFonts w:ascii="MathJax_Main" w:hAnsi="MathJax_Main"/>
          <w:b/>
          <w:color w:val="333333"/>
          <w:sz w:val="15"/>
          <w:szCs w:val="15"/>
        </w:rPr>
        <w:t>+</w:t>
      </w:r>
      <w:r>
        <w:rPr>
          <w:rStyle w:val="mn"/>
          <w:rFonts w:ascii="MathJax_Main" w:hAnsi="MathJax_Main"/>
          <w:b/>
          <w:color w:val="333333"/>
          <w:sz w:val="15"/>
          <w:szCs w:val="15"/>
        </w:rPr>
        <w:t>0.05</w:t>
      </w:r>
      <w:r>
        <w:rPr>
          <w:rStyle w:val="mo"/>
          <w:rFonts w:ascii="MathJax_Main" w:hAnsi="MathJax_Main"/>
          <w:b/>
          <w:color w:val="333333"/>
          <w:sz w:val="15"/>
          <w:szCs w:val="15"/>
        </w:rPr>
        <w:t>+</w:t>
      </w:r>
      <w:r>
        <w:rPr>
          <w:rStyle w:val="mn"/>
          <w:rFonts w:ascii="MathJax_Main" w:hAnsi="MathJax_Main"/>
          <w:b/>
          <w:color w:val="333333"/>
          <w:sz w:val="15"/>
          <w:szCs w:val="15"/>
        </w:rPr>
        <w:t>0.03</w:t>
      </w:r>
      <w:r>
        <w:rPr>
          <w:rStyle w:val="mo"/>
          <w:rFonts w:ascii="MathJax_Main" w:hAnsi="MathJax_Main"/>
          <w:b/>
          <w:color w:val="333333"/>
          <w:sz w:val="15"/>
          <w:szCs w:val="15"/>
        </w:rPr>
        <w:t>+</w:t>
      </w:r>
      <w:r>
        <w:rPr>
          <w:rStyle w:val="mn"/>
          <w:rFonts w:ascii="MathJax_Main" w:hAnsi="MathJax_Main"/>
          <w:b/>
          <w:color w:val="333333"/>
          <w:sz w:val="15"/>
          <w:szCs w:val="15"/>
        </w:rPr>
        <w:t>0.04</w:t>
      </w:r>
      <w:r>
        <w:rPr>
          <w:rStyle w:val="mo"/>
          <w:rFonts w:ascii="MathJax_Main" w:hAnsi="MathJax_Main"/>
          <w:b/>
          <w:color w:val="333333"/>
          <w:sz w:val="15"/>
          <w:szCs w:val="15"/>
        </w:rPr>
        <w:t>=</w:t>
      </w:r>
      <w:r>
        <w:rPr>
          <w:rStyle w:val="mn"/>
          <w:rFonts w:ascii="MathJax_Main" w:hAnsi="MathJax_Main"/>
          <w:b/>
          <w:color w:val="333333"/>
          <w:sz w:val="15"/>
          <w:szCs w:val="15"/>
        </w:rPr>
        <w:t>0.38</w:t>
      </w: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KEY TAKEAWAYS</w:t>
      </w:r>
    </w:p>
    <w:p w:rsidR="00AD77BB" w:rsidRDefault="00B45BA0">
      <w:pPr>
        <w:numPr>
          <w:ilvl w:val="0"/>
          <w:numId w:val="50"/>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sample space of a random experiment is the collection of all possible outcomes.</w:t>
      </w:r>
    </w:p>
    <w:p w:rsidR="00AD77BB" w:rsidRDefault="00B45BA0">
      <w:pPr>
        <w:numPr>
          <w:ilvl w:val="0"/>
          <w:numId w:val="50"/>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event associated with a random experiment is a subset of the sample space.</w:t>
      </w:r>
    </w:p>
    <w:p w:rsidR="00AD77BB" w:rsidRDefault="00B45BA0">
      <w:pPr>
        <w:numPr>
          <w:ilvl w:val="0"/>
          <w:numId w:val="50"/>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probability of any outcome is a number between 0 and 1. The probabilities of all the outcomes add up to 1.</w:t>
      </w:r>
    </w:p>
    <w:p w:rsidR="00AD77BB" w:rsidRDefault="00B45BA0">
      <w:pPr>
        <w:numPr>
          <w:ilvl w:val="0"/>
          <w:numId w:val="50"/>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probability of any event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is the sum of the probabilities of the outcomes in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EXERCISES</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BASIC</w:t>
      </w:r>
    </w:p>
    <w:p w:rsidR="00AD77BB" w:rsidRDefault="00B45BA0">
      <w:pPr>
        <w:pStyle w:val="para"/>
        <w:numPr>
          <w:ilvl w:val="0"/>
          <w:numId w:val="51"/>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 box contains 10 white and 10 black marbles. Construct a sample space for the experiment of randomly drawing out, with replacement, two marbles in succession and noting the color each time. (To draw “with replacement” means that the first marble is put back before the second marble is drawn.)</w:t>
      </w:r>
    </w:p>
    <w:p w:rsidR="00AD77BB" w:rsidRDefault="00AD77BB">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rsidR="00AD77BB" w:rsidRDefault="00B45BA0">
      <w:pPr>
        <w:pStyle w:val="para"/>
        <w:numPr>
          <w:ilvl w:val="0"/>
          <w:numId w:val="51"/>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 box contains 16 white and 16 black marbles. Construct a sample space for the experiment of randomly drawing out, with replacement, three marbles in succession and noting the color each time. (To draw “with replacement” means that each marble is put back before the next marble is drawn.)</w:t>
      </w:r>
    </w:p>
    <w:p w:rsidR="00AD77BB" w:rsidRDefault="00AD77BB">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rsidR="00AD77BB" w:rsidRDefault="00B45BA0">
      <w:pPr>
        <w:pStyle w:val="para"/>
        <w:numPr>
          <w:ilvl w:val="0"/>
          <w:numId w:val="51"/>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 box contains 8 red, 8 yellow, and 8 green marbles. Construct a sample space for the experiment of randomly drawing out, with replacement, two marbles in succession and noting the color each time.</w:t>
      </w:r>
    </w:p>
    <w:p w:rsidR="00AD77BB" w:rsidRDefault="00AD77BB">
      <w:pPr>
        <w:pStyle w:val="ListParagraph"/>
        <w:rPr>
          <w:rFonts w:ascii="Calibri" w:hAnsi="Calibri"/>
          <w:color w:val="333333"/>
          <w:sz w:val="20"/>
          <w:szCs w:val="20"/>
        </w:rPr>
      </w:pPr>
    </w:p>
    <w:p w:rsidR="00AD77BB" w:rsidRDefault="00AD77BB">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rsidR="00AD77BB" w:rsidRDefault="00B45BA0">
      <w:pPr>
        <w:pStyle w:val="para"/>
        <w:numPr>
          <w:ilvl w:val="0"/>
          <w:numId w:val="51"/>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 box contains 6 red, 6 yellow, and 6 green marbles. Construct a sample space for the experiment of randomly drawing out, with replacement, three marbles in succession and noting the color each time.</w:t>
      </w:r>
    </w:p>
    <w:p w:rsidR="00AD77BB" w:rsidRDefault="00AD77BB">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rsidR="00AD77BB" w:rsidRDefault="00B45BA0">
      <w:pPr>
        <w:pStyle w:val="para"/>
        <w:numPr>
          <w:ilvl w:val="0"/>
          <w:numId w:val="51"/>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In the situation of Exercise 1, list the outcomes that comprise each of the following events.</w:t>
      </w:r>
    </w:p>
    <w:p w:rsidR="00AD77BB" w:rsidRDefault="00B45BA0">
      <w:pPr>
        <w:pStyle w:val="ListParagraph"/>
        <w:numPr>
          <w:ilvl w:val="2"/>
          <w:numId w:val="5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At least one marble of each color is drawn.</w:t>
      </w:r>
    </w:p>
    <w:p w:rsidR="00AD77BB" w:rsidRDefault="00B45BA0">
      <w:pPr>
        <w:numPr>
          <w:ilvl w:val="2"/>
          <w:numId w:val="52"/>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No white marble is drawn.</w:t>
      </w:r>
    </w:p>
    <w:p w:rsidR="00AD77BB" w:rsidRDefault="00B45BA0">
      <w:pPr>
        <w:numPr>
          <w:ilvl w:val="0"/>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the situation of Exercise 2, list the outcomes that comprise each of the following events.</w:t>
      </w:r>
    </w:p>
    <w:p w:rsidR="00AD77BB" w:rsidRDefault="00B45BA0">
      <w:pPr>
        <w:numPr>
          <w:ilvl w:val="2"/>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At least one marble of each color is drawn.</w:t>
      </w:r>
    </w:p>
    <w:p w:rsidR="00AD77BB" w:rsidRDefault="00B45BA0">
      <w:pPr>
        <w:numPr>
          <w:ilvl w:val="2"/>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No white marble is drawn.</w:t>
      </w:r>
    </w:p>
    <w:p w:rsidR="00AD77BB" w:rsidRDefault="00B45BA0">
      <w:pPr>
        <w:numPr>
          <w:ilvl w:val="2"/>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More black than white marbles are drawn.</w:t>
      </w:r>
    </w:p>
    <w:p w:rsidR="00AD77BB" w:rsidRDefault="00B45BA0">
      <w:pPr>
        <w:numPr>
          <w:ilvl w:val="0"/>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In the situation of Exercise 3, list the outcomes that comprise each of the following events.</w:t>
      </w:r>
    </w:p>
    <w:p w:rsidR="00AD77BB" w:rsidRDefault="00B45BA0">
      <w:pPr>
        <w:numPr>
          <w:ilvl w:val="2"/>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No yellow marble is drawn.</w:t>
      </w:r>
    </w:p>
    <w:p w:rsidR="00AD77BB" w:rsidRDefault="00B45BA0">
      <w:pPr>
        <w:numPr>
          <w:ilvl w:val="2"/>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two marbles drawn have the same color.</w:t>
      </w:r>
    </w:p>
    <w:p w:rsidR="00AD77BB" w:rsidRDefault="00B45BA0">
      <w:pPr>
        <w:numPr>
          <w:ilvl w:val="2"/>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At least one marble of each color is drawn.</w:t>
      </w:r>
    </w:p>
    <w:p w:rsidR="00AD77BB" w:rsidRDefault="00B45BA0">
      <w:pPr>
        <w:numPr>
          <w:ilvl w:val="0"/>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the situation of Exercise 4, list the outcomes that comprise each of the following events.</w:t>
      </w:r>
    </w:p>
    <w:p w:rsidR="00AD77BB" w:rsidRDefault="00B45BA0">
      <w:pPr>
        <w:numPr>
          <w:ilvl w:val="1"/>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No yellow marble is drawn.</w:t>
      </w:r>
    </w:p>
    <w:p w:rsidR="00AD77BB" w:rsidRDefault="00B45BA0">
      <w:pPr>
        <w:numPr>
          <w:ilvl w:val="1"/>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three marbles drawn have the same color.</w:t>
      </w:r>
    </w:p>
    <w:p w:rsidR="00AD77BB" w:rsidRDefault="00B45BA0">
      <w:pPr>
        <w:numPr>
          <w:ilvl w:val="1"/>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At least one marble of each color is drawn.</w:t>
      </w:r>
    </w:p>
    <w:p w:rsidR="00AD77BB" w:rsidRDefault="00B45BA0">
      <w:pPr>
        <w:numPr>
          <w:ilvl w:val="0"/>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Assuming that each outcome is equally likely, find the probability of each event in Exercise 5.</w:t>
      </w:r>
    </w:p>
    <w:p w:rsidR="00AD77BB" w:rsidRDefault="00B45BA0">
      <w:pPr>
        <w:numPr>
          <w:ilvl w:val="0"/>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Assuming that each outcome is equally likely, find the probability of each event in Exercise 6.</w:t>
      </w:r>
    </w:p>
    <w:p w:rsidR="00AD77BB" w:rsidRDefault="00B45BA0">
      <w:pPr>
        <w:numPr>
          <w:ilvl w:val="0"/>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Assuming that each outcome is equally likely, find the probability of each event in Exercise 7.</w:t>
      </w:r>
    </w:p>
    <w:p w:rsidR="00AD77BB" w:rsidRDefault="00B45BA0">
      <w:pPr>
        <w:numPr>
          <w:ilvl w:val="0"/>
          <w:numId w:val="5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Assuming that each outcome is equally likely, find the probability of each event in Exercise 8.</w:t>
      </w:r>
    </w:p>
    <w:p w:rsidR="00AD77BB" w:rsidRDefault="00AD77BB">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rsidR="00AD77BB" w:rsidRDefault="00B45BA0">
      <w:pPr>
        <w:numPr>
          <w:ilvl w:val="0"/>
          <w:numId w:val="5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sample space is </w:t>
      </w:r>
      <w:r>
        <w:rPr>
          <w:rFonts w:ascii="MathJax_Math" w:eastAsia="Times New Roman" w:hAnsi="MathJax_Math" w:cs="Times New Roman"/>
          <w:b/>
          <w:i/>
          <w:iCs/>
          <w:color w:val="333333"/>
          <w:sz w:val="15"/>
          <w:szCs w:val="15"/>
        </w:rPr>
        <w:t>S</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c</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d</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e</w:t>
      </w:r>
      <w:r>
        <w:rPr>
          <w:rFonts w:ascii="MathJax_Main" w:eastAsia="Times New Roman" w:hAnsi="MathJax_Main" w:cs="Times New Roman"/>
          <w:b/>
          <w:color w:val="333333"/>
          <w:sz w:val="15"/>
          <w:szCs w:val="15"/>
        </w:rPr>
        <w:t>}.</w:t>
      </w:r>
      <w:r>
        <w:rPr>
          <w:rFonts w:ascii="Calibri" w:eastAsia="Times New Roman" w:hAnsi="Calibri" w:cs="Times New Roman"/>
          <w:b/>
          <w:color w:val="333333"/>
          <w:sz w:val="20"/>
          <w:szCs w:val="20"/>
        </w:rPr>
        <w:t> </w:t>
      </w:r>
      <w:r>
        <w:rPr>
          <w:rFonts w:ascii="Calibri" w:eastAsia="Times New Roman" w:hAnsi="Calibri" w:cs="Times New Roman"/>
          <w:color w:val="333333"/>
          <w:sz w:val="20"/>
          <w:szCs w:val="20"/>
        </w:rPr>
        <w:t>Identify two events as </w:t>
      </w:r>
      <w:r>
        <w:rPr>
          <w:rFonts w:ascii="MathJax_Math" w:eastAsia="Times New Roman" w:hAnsi="MathJax_Math" w:cs="Times New Roman"/>
          <w:b/>
          <w:i/>
          <w:iCs/>
          <w:color w:val="333333"/>
          <w:sz w:val="15"/>
          <w:szCs w:val="15"/>
        </w:rPr>
        <w:t>U</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d</w:t>
      </w:r>
      <w:r>
        <w:rPr>
          <w:rFonts w:ascii="MathJax_Main" w:eastAsia="Times New Roman" w:hAnsi="MathJax_Main" w:cs="Times New Roman"/>
          <w:b/>
          <w:color w:val="333333"/>
          <w:sz w:val="15"/>
          <w:szCs w:val="15"/>
        </w:rPr>
        <w:t>}</w:t>
      </w:r>
      <w:r>
        <w:rPr>
          <w:rFonts w:ascii="Calibri" w:eastAsia="Times New Roman" w:hAnsi="Calibri" w:cs="Times New Roman"/>
          <w:color w:val="333333"/>
          <w:sz w:val="20"/>
          <w:szCs w:val="20"/>
        </w:rPr>
        <w:t> and </w:t>
      </w:r>
      <w:r>
        <w:rPr>
          <w:rFonts w:ascii="MathJax_Math" w:eastAsia="Times New Roman" w:hAnsi="MathJax_Math" w:cs="Times New Roman"/>
          <w:b/>
          <w:i/>
          <w:iCs/>
          <w:color w:val="333333"/>
          <w:sz w:val="15"/>
          <w:szCs w:val="15"/>
        </w:rPr>
        <w:t>V</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c</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d</w:t>
      </w:r>
      <w:r>
        <w:rPr>
          <w:rFonts w:ascii="MathJax_Main" w:eastAsia="Times New Roman" w:hAnsi="MathJax_Main" w:cs="Times New Roman"/>
          <w:b/>
          <w:color w:val="333333"/>
          <w:sz w:val="15"/>
          <w:szCs w:val="15"/>
        </w:rPr>
        <w:t>}</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Suppose</w:t>
      </w:r>
      <w:r>
        <w:rPr>
          <w:rFonts w:ascii="Calibri" w:eastAsia="Times New Roman" w:hAnsi="Calibri" w:cs="Times New Roman"/>
          <w:b/>
          <w:color w:val="333333"/>
          <w:sz w:val="20"/>
          <w:szCs w:val="20"/>
        </w:rPr>
        <w: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5"/>
          <w:szCs w:val="15"/>
        </w:rPr>
        <w:t>)</w:t>
      </w:r>
      <w:r>
        <w:rPr>
          <w:rFonts w:ascii="Calibri" w:eastAsia="Times New Roman" w:hAnsi="Calibri" w:cs="Times New Roman"/>
          <w:b/>
          <w:color w:val="333333"/>
          <w:sz w:val="20"/>
          <w:szCs w:val="20"/>
        </w:rPr>
        <w:t> </w:t>
      </w:r>
      <w:r>
        <w:rPr>
          <w:rFonts w:ascii="Calibri" w:eastAsia="Times New Roman" w:hAnsi="Calibri" w:cs="Times New Roman"/>
          <w:color w:val="333333"/>
          <w:sz w:val="20"/>
          <w:szCs w:val="20"/>
        </w:rPr>
        <w:t>and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w:t>
      </w:r>
      <w:r>
        <w:rPr>
          <w:rFonts w:ascii="Calibri" w:eastAsia="Times New Roman" w:hAnsi="Calibri" w:cs="Times New Roman"/>
          <w:color w:val="333333"/>
          <w:sz w:val="20"/>
          <w:szCs w:val="20"/>
        </w:rPr>
        <w:t> are each 0.2 and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c</w:t>
      </w:r>
      <w:r>
        <w:rPr>
          <w:rFonts w:ascii="MathJax_Main" w:eastAsia="Times New Roman" w:hAnsi="MathJax_Main" w:cs="Times New Roman"/>
          <w:b/>
          <w:color w:val="333333"/>
          <w:sz w:val="15"/>
          <w:szCs w:val="15"/>
        </w:rPr>
        <w:t>)</w:t>
      </w:r>
      <w:r>
        <w:rPr>
          <w:rFonts w:ascii="Calibri" w:eastAsia="Times New Roman" w:hAnsi="Calibri" w:cs="Times New Roman"/>
          <w:b/>
          <w:color w:val="333333"/>
          <w:sz w:val="20"/>
          <w:szCs w:val="20"/>
        </w:rPr>
        <w:t> </w:t>
      </w:r>
      <w:r>
        <w:rPr>
          <w:rFonts w:ascii="Calibri" w:eastAsia="Times New Roman" w:hAnsi="Calibri" w:cs="Times New Roman"/>
          <w:color w:val="333333"/>
          <w:sz w:val="20"/>
          <w:szCs w:val="20"/>
        </w:rPr>
        <w:t>and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d</w:t>
      </w:r>
      <w:r>
        <w:rPr>
          <w:rFonts w:ascii="MathJax_Main" w:eastAsia="Times New Roman" w:hAnsi="MathJax_Main" w:cs="Times New Roman"/>
          <w:b/>
          <w:color w:val="333333"/>
          <w:sz w:val="15"/>
          <w:szCs w:val="15"/>
        </w:rPr>
        <w:t>)</w:t>
      </w:r>
      <w:r>
        <w:rPr>
          <w:rFonts w:ascii="Calibri" w:eastAsia="Times New Roman" w:hAnsi="Calibri" w:cs="Times New Roman"/>
          <w:color w:val="333333"/>
          <w:sz w:val="20"/>
          <w:szCs w:val="20"/>
        </w:rPr>
        <w:t> are each 0.1.</w:t>
      </w:r>
    </w:p>
    <w:p w:rsidR="00AD77BB" w:rsidRDefault="00B45BA0">
      <w:pPr>
        <w:numPr>
          <w:ilvl w:val="1"/>
          <w:numId w:val="5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Determine what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e</w:t>
      </w:r>
      <w:r>
        <w:rPr>
          <w:rFonts w:ascii="MathJax_Main" w:eastAsia="Times New Roman" w:hAnsi="MathJax_Main" w:cs="Times New Roman"/>
          <w:b/>
          <w:color w:val="333333"/>
          <w:sz w:val="15"/>
          <w:szCs w:val="15"/>
        </w:rPr>
        <w:t>)</w:t>
      </w:r>
      <w:r>
        <w:rPr>
          <w:rFonts w:ascii="Calibri" w:eastAsia="Times New Roman" w:hAnsi="Calibri" w:cs="Times New Roman"/>
          <w:b/>
          <w:color w:val="333333"/>
          <w:sz w:val="20"/>
          <w:szCs w:val="20"/>
        </w:rPr>
        <w:t> </w:t>
      </w:r>
      <w:r>
        <w:rPr>
          <w:rFonts w:ascii="Calibri" w:eastAsia="Times New Roman" w:hAnsi="Calibri" w:cs="Times New Roman"/>
          <w:color w:val="333333"/>
          <w:sz w:val="20"/>
          <w:szCs w:val="20"/>
        </w:rPr>
        <w:t>must be.</w:t>
      </w:r>
    </w:p>
    <w:p w:rsidR="00AD77BB" w:rsidRDefault="00B45BA0">
      <w:pPr>
        <w:numPr>
          <w:ilvl w:val="1"/>
          <w:numId w:val="5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U</w:t>
      </w:r>
      <w:r>
        <w:rPr>
          <w:rFonts w:ascii="MathJax_Main" w:eastAsia="Times New Roman" w:hAnsi="MathJax_Main" w:cs="Times New Roman"/>
          <w:b/>
          <w:color w:val="333333"/>
          <w:sz w:val="15"/>
          <w:szCs w:val="15"/>
        </w:rPr>
        <w:t>).</w:t>
      </w:r>
    </w:p>
    <w:p w:rsidR="00AD77BB" w:rsidRDefault="00B45BA0">
      <w:pPr>
        <w:pStyle w:val="ListParagraph"/>
        <w:numPr>
          <w:ilvl w:val="1"/>
          <w:numId w:val="5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V</w:t>
      </w:r>
      <w:r>
        <w:rPr>
          <w:rFonts w:ascii="MathJax_Main" w:eastAsia="Times New Roman" w:hAnsi="MathJax_Main" w:cs="Times New Roman"/>
          <w:b/>
          <w:color w:val="333333"/>
          <w:sz w:val="15"/>
          <w:szCs w:val="15"/>
        </w:rPr>
        <w:t>).</w:t>
      </w:r>
    </w:p>
    <w:p w:rsidR="00AD77BB" w:rsidRDefault="00B45BA0">
      <w:pPr>
        <w:numPr>
          <w:ilvl w:val="0"/>
          <w:numId w:val="5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sample space is </w:t>
      </w:r>
      <w:r>
        <w:rPr>
          <w:rFonts w:ascii="MathJax_Math" w:eastAsia="Times New Roman" w:hAnsi="MathJax_Math" w:cs="Times New Roman"/>
          <w:b/>
          <w:i/>
          <w:iCs/>
          <w:color w:val="333333"/>
          <w:sz w:val="15"/>
          <w:szCs w:val="15"/>
        </w:rPr>
        <w:t>S</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u</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v</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w</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w:t>
      </w:r>
      <w:r>
        <w:rPr>
          <w:rFonts w:ascii="Calibri" w:eastAsia="Times New Roman" w:hAnsi="Calibri" w:cs="Times New Roman"/>
          <w:b/>
          <w:color w:val="333333"/>
          <w:sz w:val="20"/>
          <w:szCs w:val="20"/>
        </w:rPr>
        <w:t> </w:t>
      </w:r>
      <w:r>
        <w:rPr>
          <w:rFonts w:ascii="Calibri" w:eastAsia="Times New Roman" w:hAnsi="Calibri" w:cs="Times New Roman"/>
          <w:color w:val="333333"/>
          <w:sz w:val="20"/>
          <w:szCs w:val="20"/>
        </w:rPr>
        <w:t>Identify two events as </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v</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w</w:t>
      </w:r>
      <w:r>
        <w:rPr>
          <w:rFonts w:ascii="MathJax_Main" w:eastAsia="Times New Roman" w:hAnsi="MathJax_Main" w:cs="Times New Roman"/>
          <w:b/>
          <w:color w:val="333333"/>
          <w:sz w:val="15"/>
          <w:szCs w:val="15"/>
        </w:rPr>
        <w:t>}</w:t>
      </w:r>
      <w:r>
        <w:rPr>
          <w:rFonts w:ascii="Calibri" w:eastAsia="Times New Roman" w:hAnsi="Calibri" w:cs="Times New Roman"/>
          <w:color w:val="333333"/>
          <w:sz w:val="20"/>
          <w:szCs w:val="20"/>
        </w:rPr>
        <w:t> and</w:t>
      </w:r>
      <w:r>
        <w:rPr>
          <w:rFonts w:ascii="Calibri" w:eastAsia="Times New Roman" w:hAnsi="Calibri" w:cs="Times New Roman"/>
          <w:b/>
          <w:color w:val="333333"/>
          <w:sz w:val="20"/>
          <w:szCs w:val="20"/>
        </w:rPr>
        <w:t> </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u</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w</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w:t>
      </w:r>
      <w:r>
        <w:rPr>
          <w:rFonts w:ascii="Calibri" w:eastAsia="Times New Roman" w:hAnsi="Calibri" w:cs="Times New Roman"/>
          <w:color w:val="333333"/>
          <w:sz w:val="20"/>
          <w:szCs w:val="20"/>
        </w:rPr>
        <w:t>Suppose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u</w:t>
      </w:r>
      <w:r>
        <w:rPr>
          <w:rFonts w:ascii="MathJax_Main" w:eastAsia="Times New Roman" w:hAnsi="MathJax_Main" w:cs="Times New Roman"/>
          <w:b/>
          <w:color w:val="333333"/>
          <w:sz w:val="15"/>
          <w:szCs w:val="15"/>
        </w:rPr>
        <w:t>)=0.22</w:t>
      </w:r>
      <w:r>
        <w:rPr>
          <w:rFonts w:ascii="Calibri" w:eastAsia="Times New Roman" w:hAnsi="Calibri" w:cs="Times New Roman"/>
          <w:b/>
          <w:color w:val="333333"/>
          <w:sz w:val="20"/>
          <w:szCs w:val="20"/>
        </w:rPr>
        <w: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w</w:t>
      </w:r>
      <w:r>
        <w:rPr>
          <w:rFonts w:ascii="MathJax_Main" w:eastAsia="Times New Roman" w:hAnsi="MathJax_Main" w:cs="Times New Roman"/>
          <w:b/>
          <w:color w:val="333333"/>
          <w:sz w:val="15"/>
          <w:szCs w:val="15"/>
        </w:rPr>
        <w:t>)=0.36</w:t>
      </w:r>
      <w:r>
        <w:rPr>
          <w:rFonts w:ascii="Calibri" w:eastAsia="Times New Roman" w:hAnsi="Calibri" w:cs="Times New Roman"/>
          <w:color w:val="333333"/>
          <w:sz w:val="20"/>
          <w:szCs w:val="20"/>
        </w:rPr>
        <w:t>, and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)=0.27.</w:t>
      </w:r>
    </w:p>
    <w:p w:rsidR="00AD77BB" w:rsidRDefault="00B45BA0">
      <w:pPr>
        <w:numPr>
          <w:ilvl w:val="1"/>
          <w:numId w:val="5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Determine what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v</w:t>
      </w:r>
      <w:r>
        <w:rPr>
          <w:rFonts w:ascii="MathJax_Main" w:eastAsia="Times New Roman" w:hAnsi="MathJax_Main" w:cs="Times New Roman"/>
          <w:b/>
          <w:color w:val="333333"/>
          <w:sz w:val="15"/>
          <w:szCs w:val="15"/>
        </w:rPr>
        <w:t>)</w:t>
      </w:r>
      <w:r>
        <w:rPr>
          <w:rFonts w:ascii="Calibri" w:eastAsia="Times New Roman" w:hAnsi="Calibri" w:cs="Times New Roman"/>
          <w:color w:val="333333"/>
          <w:sz w:val="20"/>
          <w:szCs w:val="20"/>
        </w:rPr>
        <w:t> must be.</w:t>
      </w:r>
    </w:p>
    <w:p w:rsidR="00AD77BB" w:rsidRDefault="00B45BA0">
      <w:pPr>
        <w:pStyle w:val="ListParagraph"/>
        <w:numPr>
          <w:ilvl w:val="1"/>
          <w:numId w:val="54"/>
        </w:numPr>
        <w:shd w:val="clear" w:color="auto" w:fill="DAEEF3" w:themeFill="accent5" w:themeFillTint="33"/>
        <w:spacing w:after="0" w:line="439" w:lineRule="atLeast"/>
        <w:textAlignment w:val="baseline"/>
        <w:rPr>
          <w:rFonts w:ascii="Calibri" w:eastAsia="Times New Roman" w:hAnsi="Calibri" w:cs="Times New Roman"/>
          <w:b/>
          <w:color w:val="333333"/>
          <w:sz w:val="20"/>
          <w:szCs w:val="20"/>
        </w:rPr>
      </w:pPr>
      <w:r>
        <w:rPr>
          <w:rFonts w:ascii="Calibri" w:eastAsia="Times New Roman" w:hAnsi="Calibri" w:cs="Times New Roman"/>
          <w:color w:val="333333"/>
          <w:sz w:val="20"/>
          <w:szCs w:val="20"/>
        </w:rPr>
        <w:t xml:space="preserve"> Find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5"/>
          <w:szCs w:val="15"/>
        </w:rPr>
        <w:t>).</w:t>
      </w:r>
    </w:p>
    <w:p w:rsidR="00AD77BB" w:rsidRDefault="00B45BA0">
      <w:pPr>
        <w:numPr>
          <w:ilvl w:val="1"/>
          <w:numId w:val="54"/>
        </w:numPr>
        <w:shd w:val="clear" w:color="auto" w:fill="DAEEF3" w:themeFill="accent5" w:themeFillTint="33"/>
        <w:spacing w:after="0" w:line="439" w:lineRule="atLeast"/>
        <w:textAlignment w:val="baseline"/>
        <w:rPr>
          <w:rFonts w:ascii="Calibri" w:eastAsia="Times New Roman" w:hAnsi="Calibri" w:cs="Times New Roman"/>
          <w:b/>
          <w:color w:val="333333"/>
          <w:sz w:val="20"/>
          <w:szCs w:val="20"/>
        </w:rPr>
      </w:pPr>
      <w:r>
        <w:rPr>
          <w:rFonts w:ascii="Calibri" w:eastAsia="Times New Roman" w:hAnsi="Calibri" w:cs="Times New Roman"/>
          <w:color w:val="333333"/>
          <w:sz w:val="20"/>
          <w:szCs w:val="20"/>
        </w:rPr>
        <w:t>Find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w:t>
      </w:r>
    </w:p>
    <w:p w:rsidR="00AD77BB" w:rsidRDefault="00AD77BB">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rsidR="00AD77BB" w:rsidRDefault="00B45BA0">
      <w:pPr>
        <w:shd w:val="clear" w:color="auto" w:fill="FFFFFF" w:themeFill="background1"/>
        <w:spacing w:line="360" w:lineRule="auto"/>
        <w:ind w:left="8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26D77B9B" wp14:editId="33ADA33B">
            <wp:extent cx="5924550" cy="3990975"/>
            <wp:effectExtent l="0" t="0" r="0" b="9525"/>
            <wp:docPr id="7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24550" cy="3990975"/>
                    </a:xfrm>
                    <a:prstGeom prst="rect">
                      <a:avLst/>
                    </a:prstGeom>
                    <a:noFill/>
                    <a:ln>
                      <a:noFill/>
                    </a:ln>
                  </pic:spPr>
                </pic:pic>
              </a:graphicData>
            </a:graphic>
          </wp:inline>
        </w:drawing>
      </w:r>
    </w:p>
    <w:p w:rsidR="00AD77BB" w:rsidRDefault="00B45BA0">
      <w:pPr>
        <w:pStyle w:val="Heading3"/>
        <w:shd w:val="clear" w:color="auto" w:fill="DAEEF3" w:themeFill="accent5" w:themeFillTint="33"/>
        <w:spacing w:before="0" w:beforeAutospacing="0" w:after="150" w:afterAutospacing="0" w:line="360" w:lineRule="auto"/>
        <w:jc w:val="center"/>
        <w:textAlignment w:val="baseline"/>
        <w:rPr>
          <w:rFonts w:ascii="Calibri" w:hAnsi="Calibri"/>
          <w:caps/>
          <w:color w:val="FFFFFF"/>
          <w:spacing w:val="30"/>
          <w:sz w:val="23"/>
          <w:szCs w:val="23"/>
        </w:rPr>
      </w:pPr>
      <w:r>
        <w:rPr>
          <w:rFonts w:ascii="Calibri" w:hAnsi="Calibri"/>
          <w:caps/>
          <w:color w:val="FFFFFF"/>
          <w:spacing w:val="30"/>
          <w:sz w:val="23"/>
          <w:szCs w:val="23"/>
        </w:rPr>
        <w:t>APPLICATIONS</w:t>
      </w:r>
    </w:p>
    <w:p w:rsidR="00AD77BB" w:rsidRDefault="00B45BA0">
      <w:pPr>
        <w:pStyle w:val="para"/>
        <w:numPr>
          <w:ilvl w:val="0"/>
          <w:numId w:val="55"/>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The sample space that describes all three-child families according to the genders of the children with respect to birth order was constructed in</w:t>
      </w:r>
      <w:r>
        <w:rPr>
          <w:rStyle w:val="apple-converted-space"/>
          <w:rFonts w:ascii="Calibri" w:hAnsi="Calibri"/>
          <w:color w:val="333333"/>
          <w:sz w:val="20"/>
          <w:szCs w:val="20"/>
        </w:rPr>
        <w:t> </w:t>
      </w:r>
      <w:r>
        <w:rPr>
          <w:rFonts w:ascii="Calibri" w:hAnsi="Calibri"/>
          <w:color w:val="2689C6"/>
          <w:sz w:val="20"/>
          <w:szCs w:val="20"/>
        </w:rPr>
        <w:t>Note 3.9 "Example 4"</w:t>
      </w:r>
      <w:r>
        <w:rPr>
          <w:rFonts w:ascii="Calibri" w:hAnsi="Calibri"/>
          <w:color w:val="333333"/>
          <w:sz w:val="20"/>
          <w:szCs w:val="20"/>
        </w:rPr>
        <w:t>. Identify the outcomes that comprise each of the following events in the experiment of selecting a three-child family at random.</w:t>
      </w:r>
    </w:p>
    <w:p w:rsidR="00AD77BB" w:rsidRDefault="00B45BA0">
      <w:pPr>
        <w:numPr>
          <w:ilvl w:val="1"/>
          <w:numId w:val="55"/>
        </w:numPr>
        <w:shd w:val="clear" w:color="auto" w:fill="DAEEF3" w:themeFill="accent5" w:themeFillTint="33"/>
        <w:spacing w:after="0" w:line="360" w:lineRule="auto"/>
        <w:ind w:left="450"/>
        <w:textAlignment w:val="baseline"/>
        <w:rPr>
          <w:rFonts w:ascii="Calibri" w:hAnsi="Calibri"/>
          <w:color w:val="333333"/>
          <w:sz w:val="20"/>
          <w:szCs w:val="20"/>
        </w:rPr>
      </w:pPr>
      <w:r>
        <w:rPr>
          <w:rFonts w:ascii="Calibri" w:hAnsi="Calibri"/>
          <w:color w:val="333333"/>
          <w:sz w:val="20"/>
          <w:szCs w:val="20"/>
        </w:rPr>
        <w:t>At least one child is a girl.</w:t>
      </w:r>
    </w:p>
    <w:p w:rsidR="00AD77BB" w:rsidRDefault="00B45BA0">
      <w:pPr>
        <w:numPr>
          <w:ilvl w:val="1"/>
          <w:numId w:val="55"/>
        </w:numPr>
        <w:shd w:val="clear" w:color="auto" w:fill="DAEEF3" w:themeFill="accent5" w:themeFillTint="33"/>
        <w:spacing w:after="0" w:line="360" w:lineRule="auto"/>
        <w:ind w:left="450"/>
        <w:textAlignment w:val="baseline"/>
        <w:rPr>
          <w:rFonts w:ascii="Calibri" w:hAnsi="Calibri"/>
          <w:color w:val="333333"/>
          <w:sz w:val="20"/>
          <w:szCs w:val="20"/>
        </w:rPr>
      </w:pPr>
      <w:r>
        <w:rPr>
          <w:rFonts w:ascii="Calibri" w:hAnsi="Calibri"/>
          <w:color w:val="333333"/>
          <w:sz w:val="20"/>
          <w:szCs w:val="20"/>
        </w:rPr>
        <w:t>At most one child is a girl.</w:t>
      </w:r>
    </w:p>
    <w:p w:rsidR="00AD77BB" w:rsidRDefault="00B45BA0">
      <w:pPr>
        <w:numPr>
          <w:ilvl w:val="1"/>
          <w:numId w:val="55"/>
        </w:numPr>
        <w:shd w:val="clear" w:color="auto" w:fill="DAEEF3" w:themeFill="accent5" w:themeFillTint="33"/>
        <w:spacing w:after="0" w:line="360" w:lineRule="auto"/>
        <w:ind w:left="450"/>
        <w:textAlignment w:val="baseline"/>
        <w:rPr>
          <w:rFonts w:ascii="Calibri" w:hAnsi="Calibri"/>
          <w:color w:val="333333"/>
          <w:sz w:val="20"/>
          <w:szCs w:val="20"/>
        </w:rPr>
      </w:pPr>
      <w:r>
        <w:rPr>
          <w:rFonts w:ascii="Calibri" w:hAnsi="Calibri"/>
          <w:color w:val="333333"/>
          <w:sz w:val="20"/>
          <w:szCs w:val="20"/>
        </w:rPr>
        <w:t>All of the children are girls.</w:t>
      </w:r>
    </w:p>
    <w:p w:rsidR="00AD77BB" w:rsidRDefault="00B45BA0">
      <w:pPr>
        <w:numPr>
          <w:ilvl w:val="1"/>
          <w:numId w:val="55"/>
        </w:numPr>
        <w:shd w:val="clear" w:color="auto" w:fill="DAEEF3" w:themeFill="accent5" w:themeFillTint="33"/>
        <w:spacing w:after="0" w:line="360" w:lineRule="auto"/>
        <w:ind w:left="450"/>
        <w:textAlignment w:val="baseline"/>
        <w:rPr>
          <w:rFonts w:ascii="Calibri" w:hAnsi="Calibri"/>
          <w:color w:val="333333"/>
          <w:sz w:val="20"/>
          <w:szCs w:val="20"/>
        </w:rPr>
      </w:pPr>
      <w:r>
        <w:rPr>
          <w:rFonts w:ascii="Calibri" w:hAnsi="Calibri"/>
          <w:color w:val="333333"/>
          <w:sz w:val="20"/>
          <w:szCs w:val="20"/>
        </w:rPr>
        <w:t>Exactly two of the children are girls.</w:t>
      </w:r>
    </w:p>
    <w:p w:rsidR="00AD77BB" w:rsidRDefault="00B45BA0">
      <w:pPr>
        <w:numPr>
          <w:ilvl w:val="1"/>
          <w:numId w:val="55"/>
        </w:numPr>
        <w:shd w:val="clear" w:color="auto" w:fill="DAEEF3" w:themeFill="accent5" w:themeFillTint="33"/>
        <w:spacing w:after="0" w:line="360" w:lineRule="auto"/>
        <w:ind w:left="450"/>
        <w:textAlignment w:val="baseline"/>
        <w:rPr>
          <w:rFonts w:ascii="Calibri" w:hAnsi="Calibri"/>
          <w:color w:val="333333"/>
          <w:sz w:val="20"/>
          <w:szCs w:val="20"/>
        </w:rPr>
      </w:pPr>
      <w:r>
        <w:rPr>
          <w:rFonts w:ascii="Calibri" w:hAnsi="Calibri"/>
          <w:color w:val="333333"/>
          <w:sz w:val="20"/>
          <w:szCs w:val="20"/>
        </w:rPr>
        <w:t>The first born is a girl.</w:t>
      </w:r>
    </w:p>
    <w:p w:rsidR="00AD77BB" w:rsidRDefault="00B45BA0">
      <w:pPr>
        <w:pStyle w:val="para"/>
        <w:numPr>
          <w:ilvl w:val="0"/>
          <w:numId w:val="55"/>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The sample space that describes three tosses of a coin is the same as the one constructed in</w:t>
      </w:r>
      <w:r>
        <w:rPr>
          <w:rStyle w:val="apple-converted-space"/>
          <w:rFonts w:ascii="Calibri" w:hAnsi="Calibri"/>
          <w:color w:val="333333"/>
          <w:sz w:val="20"/>
          <w:szCs w:val="20"/>
        </w:rPr>
        <w:t> </w:t>
      </w:r>
      <w:r>
        <w:rPr>
          <w:rFonts w:ascii="Calibri" w:hAnsi="Calibri"/>
          <w:color w:val="2689C6"/>
          <w:sz w:val="20"/>
          <w:szCs w:val="20"/>
        </w:rPr>
        <w:t>Note 3.9 "Example 4"</w:t>
      </w:r>
      <w:r>
        <w:rPr>
          <w:rStyle w:val="apple-converted-space"/>
          <w:rFonts w:ascii="Calibri" w:hAnsi="Calibri"/>
          <w:color w:val="333333"/>
          <w:sz w:val="20"/>
          <w:szCs w:val="20"/>
        </w:rPr>
        <w:t> </w:t>
      </w:r>
      <w:r>
        <w:rPr>
          <w:rFonts w:ascii="Calibri" w:hAnsi="Calibri"/>
          <w:color w:val="333333"/>
          <w:sz w:val="20"/>
          <w:szCs w:val="20"/>
        </w:rPr>
        <w:t>with “boy” replaced by “heads” and “girl” replaced by “tails.” Identify the outcomes that comprise each of the following events in the experiment of tossing a coin three times.</w:t>
      </w:r>
    </w:p>
    <w:p w:rsidR="00AD77BB" w:rsidRDefault="00B45BA0">
      <w:pPr>
        <w:numPr>
          <w:ilvl w:val="1"/>
          <w:numId w:val="55"/>
        </w:numPr>
        <w:shd w:val="clear" w:color="auto" w:fill="DAEEF3" w:themeFill="accent5" w:themeFillTint="33"/>
        <w:spacing w:after="0" w:line="360" w:lineRule="auto"/>
        <w:ind w:left="450"/>
        <w:textAlignment w:val="baseline"/>
        <w:rPr>
          <w:rFonts w:ascii="Calibri" w:hAnsi="Calibri"/>
          <w:color w:val="333333"/>
          <w:sz w:val="20"/>
          <w:szCs w:val="20"/>
        </w:rPr>
      </w:pPr>
      <w:r>
        <w:rPr>
          <w:rFonts w:ascii="Calibri" w:hAnsi="Calibri"/>
          <w:color w:val="333333"/>
          <w:sz w:val="20"/>
          <w:szCs w:val="20"/>
        </w:rPr>
        <w:t>The coin lands heads more often than tails.</w:t>
      </w:r>
    </w:p>
    <w:p w:rsidR="00AD77BB" w:rsidRDefault="00B45BA0">
      <w:pPr>
        <w:numPr>
          <w:ilvl w:val="1"/>
          <w:numId w:val="55"/>
        </w:numPr>
        <w:shd w:val="clear" w:color="auto" w:fill="DAEEF3" w:themeFill="accent5" w:themeFillTint="33"/>
        <w:spacing w:after="0" w:line="360" w:lineRule="auto"/>
        <w:ind w:left="450"/>
        <w:textAlignment w:val="baseline"/>
        <w:rPr>
          <w:rFonts w:ascii="Calibri" w:hAnsi="Calibri"/>
          <w:color w:val="333333"/>
          <w:sz w:val="20"/>
          <w:szCs w:val="20"/>
        </w:rPr>
      </w:pPr>
      <w:r>
        <w:rPr>
          <w:rFonts w:ascii="Calibri" w:hAnsi="Calibri"/>
          <w:color w:val="333333"/>
          <w:sz w:val="20"/>
          <w:szCs w:val="20"/>
        </w:rPr>
        <w:t>The coin lands heads the same number of times as it lands tails.</w:t>
      </w:r>
    </w:p>
    <w:p w:rsidR="00AD77BB" w:rsidRDefault="00B45BA0">
      <w:pPr>
        <w:numPr>
          <w:ilvl w:val="1"/>
          <w:numId w:val="55"/>
        </w:numPr>
        <w:shd w:val="clear" w:color="auto" w:fill="DAEEF3" w:themeFill="accent5" w:themeFillTint="33"/>
        <w:spacing w:after="0" w:line="360" w:lineRule="auto"/>
        <w:ind w:left="450"/>
        <w:textAlignment w:val="baseline"/>
        <w:rPr>
          <w:rFonts w:ascii="Calibri" w:hAnsi="Calibri"/>
          <w:color w:val="333333"/>
          <w:sz w:val="20"/>
          <w:szCs w:val="20"/>
        </w:rPr>
      </w:pPr>
      <w:r>
        <w:rPr>
          <w:rFonts w:ascii="Calibri" w:hAnsi="Calibri"/>
          <w:color w:val="333333"/>
          <w:sz w:val="20"/>
          <w:szCs w:val="20"/>
        </w:rPr>
        <w:t>The coin lands heads at least twice.</w:t>
      </w:r>
    </w:p>
    <w:p w:rsidR="00AD77BB" w:rsidRDefault="00B45BA0">
      <w:pPr>
        <w:numPr>
          <w:ilvl w:val="1"/>
          <w:numId w:val="55"/>
        </w:numPr>
        <w:shd w:val="clear" w:color="auto" w:fill="DAEEF3" w:themeFill="accent5" w:themeFillTint="33"/>
        <w:spacing w:after="0" w:line="360" w:lineRule="auto"/>
        <w:ind w:left="450"/>
        <w:textAlignment w:val="baseline"/>
        <w:rPr>
          <w:rFonts w:ascii="Calibri" w:hAnsi="Calibri"/>
          <w:color w:val="333333"/>
          <w:sz w:val="20"/>
          <w:szCs w:val="20"/>
        </w:rPr>
      </w:pPr>
      <w:r>
        <w:rPr>
          <w:rFonts w:ascii="Calibri" w:hAnsi="Calibri"/>
          <w:color w:val="333333"/>
          <w:sz w:val="20"/>
          <w:szCs w:val="20"/>
        </w:rPr>
        <w:t>The coin lands heads on the last toss.</w:t>
      </w:r>
    </w:p>
    <w:p w:rsidR="00AD77BB" w:rsidRDefault="00B45BA0">
      <w:pPr>
        <w:pStyle w:val="para"/>
        <w:numPr>
          <w:ilvl w:val="0"/>
          <w:numId w:val="55"/>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Assuming that the outcomes are equally likely, find the probability of each event in Exercise 17.</w:t>
      </w:r>
    </w:p>
    <w:p w:rsidR="00AD77BB" w:rsidRDefault="00B45BA0">
      <w:pPr>
        <w:pStyle w:val="para"/>
        <w:numPr>
          <w:ilvl w:val="0"/>
          <w:numId w:val="55"/>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lastRenderedPageBreak/>
        <w:t>Assuming that the outcomes are equally likely, find the probability of each event in Exercise 18.</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ADDITIONAL EXERCISES</w:t>
      </w:r>
    </w:p>
    <w:p w:rsidR="00AD77BB" w:rsidRDefault="00B45BA0">
      <w:pPr>
        <w:numPr>
          <w:ilvl w:val="0"/>
          <w:numId w:val="5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following two-way contingency table gives the breakdown of the population in a particular locale according to age and tobacco usage:</w:t>
      </w:r>
    </w:p>
    <w:tbl>
      <w:tblPr>
        <w:tblW w:w="0" w:type="auto"/>
        <w:tblInd w:w="450" w:type="dxa"/>
        <w:tblCellMar>
          <w:left w:w="0" w:type="dxa"/>
          <w:right w:w="0" w:type="dxa"/>
        </w:tblCellMar>
        <w:tblLook w:val="04A0" w:firstRow="1" w:lastRow="0" w:firstColumn="1" w:lastColumn="0" w:noHBand="0" w:noVBand="1"/>
      </w:tblPr>
      <w:tblGrid>
        <w:gridCol w:w="1050"/>
        <w:gridCol w:w="950"/>
        <w:gridCol w:w="1417"/>
      </w:tblGrid>
      <w:tr w:rsidR="00AD77BB">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Age</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Tobacco Use</w:t>
            </w:r>
          </w:p>
        </w:tc>
      </w:tr>
      <w:tr w:rsidR="00AD77BB">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Smoker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Non-smoker</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Under 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Over 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0.55</w:t>
            </w:r>
          </w:p>
        </w:tc>
      </w:tr>
    </w:tbl>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person is selected at random. Find the probability of each of the following events.</w:t>
      </w:r>
    </w:p>
    <w:p w:rsidR="00AD77BB" w:rsidRDefault="00B45BA0">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is a smoker.</w:t>
      </w:r>
    </w:p>
    <w:p w:rsidR="00AD77BB" w:rsidRDefault="00B45BA0">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is under 30.</w:t>
      </w:r>
    </w:p>
    <w:p w:rsidR="00AD77BB" w:rsidRDefault="00B45BA0">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is a smoker who is under 30.</w:t>
      </w:r>
    </w:p>
    <w:p w:rsidR="00AD77BB" w:rsidRDefault="00AD77BB">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p>
    <w:p w:rsidR="00AD77BB" w:rsidRDefault="00B45BA0">
      <w:pPr>
        <w:numPr>
          <w:ilvl w:val="0"/>
          <w:numId w:val="5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following two-way contingency table gives the breakdown of the population in a particular locale according to party affiliation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C</w:t>
      </w:r>
      <w:r>
        <w:rPr>
          <w:rFonts w:ascii="Calibri" w:eastAsia="Times New Roman" w:hAnsi="Calibri" w:cs="Times New Roman"/>
          <w:color w:val="333333"/>
          <w:sz w:val="20"/>
          <w:szCs w:val="20"/>
        </w:rPr>
        <w:t>, or </w:t>
      </w:r>
      <w:r>
        <w:rPr>
          <w:rFonts w:ascii="Calibri" w:eastAsia="Times New Roman" w:hAnsi="Calibri" w:cs="Times New Roman"/>
          <w:i/>
          <w:iCs/>
          <w:color w:val="333333"/>
          <w:sz w:val="20"/>
          <w:szCs w:val="20"/>
        </w:rPr>
        <w:t>None</w:t>
      </w:r>
      <w:r>
        <w:rPr>
          <w:rFonts w:ascii="Calibri" w:eastAsia="Times New Roman" w:hAnsi="Calibri" w:cs="Times New Roman"/>
          <w:color w:val="333333"/>
          <w:sz w:val="20"/>
          <w:szCs w:val="20"/>
        </w:rPr>
        <w:t>) and opinion on a bond issue:</w:t>
      </w:r>
    </w:p>
    <w:tbl>
      <w:tblPr>
        <w:tblW w:w="0" w:type="auto"/>
        <w:tblInd w:w="450" w:type="dxa"/>
        <w:tblCellMar>
          <w:left w:w="0" w:type="dxa"/>
          <w:right w:w="0" w:type="dxa"/>
        </w:tblCellMar>
        <w:tblLook w:val="04A0" w:firstRow="1" w:lastRow="0" w:firstColumn="1" w:lastColumn="0" w:noHBand="0" w:noVBand="1"/>
      </w:tblPr>
      <w:tblGrid>
        <w:gridCol w:w="1204"/>
        <w:gridCol w:w="857"/>
        <w:gridCol w:w="1017"/>
        <w:gridCol w:w="1244"/>
      </w:tblGrid>
      <w:tr w:rsidR="00AD77BB">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Affiliation</w:t>
            </w: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Opinion</w:t>
            </w:r>
          </w:p>
        </w:tc>
      </w:tr>
      <w:tr w:rsidR="00AD77BB">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Favors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Opposes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Undecided</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i/>
                <w:iCs/>
                <w:sz w:val="24"/>
                <w:szCs w:val="24"/>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0.07</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i/>
                <w:iCs/>
                <w:sz w:val="24"/>
                <w:szCs w:val="24"/>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0.14</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i/>
                <w:iCs/>
                <w:sz w:val="24"/>
                <w:szCs w:val="24"/>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0.06</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i/>
                <w:iCs/>
                <w:sz w:val="24"/>
                <w:szCs w:val="24"/>
              </w:rPr>
              <w:t>None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0.03</w:t>
            </w:r>
          </w:p>
        </w:tc>
      </w:tr>
    </w:tbl>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person is selected at random. Find the probability of each of the following events.</w:t>
      </w:r>
    </w:p>
    <w:p w:rsidR="00AD77BB" w:rsidRDefault="00B45BA0">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is affiliated with party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w:t>
      </w:r>
    </w:p>
    <w:p w:rsidR="00AD77BB" w:rsidRDefault="00B45BA0">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is affiliated with some party.</w:t>
      </w:r>
    </w:p>
    <w:p w:rsidR="00AD77BB" w:rsidRDefault="00B45BA0">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is in favor of the bond issue.</w:t>
      </w:r>
    </w:p>
    <w:p w:rsidR="00AD77BB" w:rsidRDefault="00B45BA0">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has no party affiliation and is undecided about the bond issue.</w:t>
      </w:r>
    </w:p>
    <w:p w:rsidR="00AD77BB" w:rsidRDefault="00AD77BB">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p>
    <w:p w:rsidR="00AD77BB" w:rsidRDefault="00B45BA0">
      <w:pPr>
        <w:numPr>
          <w:ilvl w:val="0"/>
          <w:numId w:val="5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The following two-way contingency table gives the breakdown of the population of married or previously married women beyond child-bearing age in a particular locale according to age at first marriage and number of children:</w:t>
      </w:r>
    </w:p>
    <w:tbl>
      <w:tblPr>
        <w:tblW w:w="0" w:type="auto"/>
        <w:tblInd w:w="450" w:type="dxa"/>
        <w:tblCellMar>
          <w:left w:w="0" w:type="dxa"/>
          <w:right w:w="0" w:type="dxa"/>
        </w:tblCellMar>
        <w:tblLook w:val="04A0" w:firstRow="1" w:lastRow="0" w:firstColumn="1" w:lastColumn="0" w:noHBand="0" w:noVBand="1"/>
      </w:tblPr>
      <w:tblGrid>
        <w:gridCol w:w="1430"/>
        <w:gridCol w:w="570"/>
        <w:gridCol w:w="737"/>
        <w:gridCol w:w="1177"/>
      </w:tblGrid>
      <w:tr w:rsidR="00AD77BB">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Age</w:t>
            </w: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Number of Children</w:t>
            </w:r>
          </w:p>
        </w:tc>
      </w:tr>
      <w:tr w:rsidR="00AD77BB">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1 or 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3 or More</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Under 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0.08</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 and above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0.01</w:t>
            </w:r>
          </w:p>
        </w:tc>
      </w:tr>
    </w:tbl>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woman is selected at random. Find the probability of each of the following events.</w:t>
      </w:r>
    </w:p>
    <w:p w:rsidR="00AD77BB" w:rsidRDefault="00AD77BB">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p>
    <w:p w:rsidR="00AD77BB" w:rsidRDefault="00B45BA0">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woman was in her twenties at her first marriage.</w:t>
      </w:r>
    </w:p>
    <w:p w:rsidR="00AD77BB" w:rsidRDefault="00B45BA0">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woman was 20 or older at her first marriage.</w:t>
      </w:r>
    </w:p>
    <w:p w:rsidR="00AD77BB" w:rsidRDefault="00B45BA0">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woman had no children.</w:t>
      </w:r>
    </w:p>
    <w:p w:rsidR="00AD77BB" w:rsidRDefault="00B45BA0">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woman was in her twenties at her first marriage and had at least three children.</w:t>
      </w:r>
    </w:p>
    <w:p w:rsidR="00AD77BB" w:rsidRDefault="00AD77BB">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p>
    <w:p w:rsidR="00AD77BB" w:rsidRDefault="00B45BA0">
      <w:pPr>
        <w:numPr>
          <w:ilvl w:val="0"/>
          <w:numId w:val="5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following two-way contingency table gives the breakdown of the population of adults in a particular locale according to highest level of education and whether or not the individual regularly takes dietary supplements:</w:t>
      </w:r>
    </w:p>
    <w:tbl>
      <w:tblPr>
        <w:tblW w:w="0" w:type="auto"/>
        <w:tblInd w:w="450" w:type="dxa"/>
        <w:tblCellMar>
          <w:left w:w="0" w:type="dxa"/>
          <w:right w:w="0" w:type="dxa"/>
        </w:tblCellMar>
        <w:tblLook w:val="04A0" w:firstRow="1" w:lastRow="0" w:firstColumn="1" w:lastColumn="0" w:noHBand="0" w:noVBand="1"/>
      </w:tblPr>
      <w:tblGrid>
        <w:gridCol w:w="2610"/>
        <w:gridCol w:w="764"/>
        <w:gridCol w:w="1657"/>
      </w:tblGrid>
      <w:tr w:rsidR="00AD77BB">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Education</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Use of Supplements</w:t>
            </w:r>
          </w:p>
        </w:tc>
      </w:tr>
      <w:tr w:rsidR="00AD77BB">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Takes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Does Not Take</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 High School Diploma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0.06</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 School Diploma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0.44</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Undergraduate Degree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0.28</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Graduate Degree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0.02</w:t>
            </w:r>
          </w:p>
        </w:tc>
      </w:tr>
    </w:tbl>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adult is selected at random. Find the probability of each of the following events.</w:t>
      </w:r>
    </w:p>
    <w:p w:rsidR="00AD77BB" w:rsidRDefault="00AD77BB">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p>
    <w:p w:rsidR="00AD77BB" w:rsidRDefault="00B45BA0">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has a high school diploma and takes dietary supplements regularly.</w:t>
      </w:r>
    </w:p>
    <w:p w:rsidR="00AD77BB" w:rsidRDefault="00B45BA0">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has an undergraduate degree and takes dietary supplements regularly.</w:t>
      </w:r>
    </w:p>
    <w:p w:rsidR="00AD77BB" w:rsidRDefault="00B45BA0">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takes dietary supplements regularly.</w:t>
      </w:r>
    </w:p>
    <w:p w:rsidR="00AD77BB" w:rsidRDefault="00B45BA0">
      <w:pPr>
        <w:numPr>
          <w:ilvl w:val="1"/>
          <w:numId w:val="5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The person does not take dietary supplements regularly.</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2"/>
          <w:szCs w:val="22"/>
        </w:rPr>
      </w:pPr>
      <w:r>
        <w:rPr>
          <w:rFonts w:ascii="Calibri" w:hAnsi="Calibri"/>
          <w:caps/>
          <w:color w:val="FFFFFF"/>
          <w:spacing w:val="30"/>
          <w:sz w:val="22"/>
          <w:szCs w:val="22"/>
        </w:rPr>
        <w:t>LARGE DATA SET EXERCISES</w:t>
      </w:r>
    </w:p>
    <w:p w:rsidR="00AD77BB" w:rsidRDefault="00B45BA0">
      <w:pPr>
        <w:pStyle w:val="para"/>
        <w:numPr>
          <w:ilvl w:val="0"/>
          <w:numId w:val="57"/>
        </w:numPr>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Large Data Sets 4 and 4A record the results of 500 tosses of a coin. Find the relative frequency of each outcome 1, 2, 3, 4, 5, and 6. Does the coin appear to be “balanced” or “fair”?</w:t>
      </w:r>
    </w:p>
    <w:p w:rsidR="00AD77BB" w:rsidRDefault="00B45BA0">
      <w:pPr>
        <w:pStyle w:val="para"/>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2689C6"/>
          <w:sz w:val="20"/>
          <w:szCs w:val="20"/>
        </w:rPr>
        <w:t>http://www.4.xls</w:t>
      </w:r>
    </w:p>
    <w:p w:rsidR="00AD77BB" w:rsidRDefault="00B45BA0">
      <w:pPr>
        <w:pStyle w:val="para"/>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2689C6"/>
          <w:sz w:val="20"/>
          <w:szCs w:val="20"/>
        </w:rPr>
        <w:t>http://www.4A.xls</w:t>
      </w:r>
    </w:p>
    <w:p w:rsidR="00AD77BB" w:rsidRDefault="00B45BA0">
      <w:pPr>
        <w:pStyle w:val="para"/>
        <w:numPr>
          <w:ilvl w:val="0"/>
          <w:numId w:val="57"/>
        </w:numPr>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Large Data Sets 6, 6A, and 6B record results of a random survey of 200 voters in each of two regions, in which they were asked to express whether they prefer Candidate</w:t>
      </w:r>
      <w:r>
        <w:rPr>
          <w:rStyle w:val="apple-converted-space"/>
          <w:rFonts w:ascii="Calibri" w:eastAsiaTheme="majorEastAsia" w:hAnsi="Calibri"/>
          <w:color w:val="333333"/>
          <w:sz w:val="20"/>
          <w:szCs w:val="20"/>
        </w:rPr>
        <w:t> </w:t>
      </w:r>
      <w:r>
        <w:rPr>
          <w:rStyle w:val="Emphasis"/>
          <w:rFonts w:ascii="Calibri" w:hAnsi="Calibri"/>
          <w:color w:val="333333"/>
          <w:sz w:val="20"/>
          <w:szCs w:val="20"/>
        </w:rPr>
        <w:t>A</w:t>
      </w:r>
      <w:r>
        <w:rPr>
          <w:rFonts w:ascii="Calibri" w:hAnsi="Calibri"/>
          <w:color w:val="333333"/>
          <w:sz w:val="20"/>
          <w:szCs w:val="20"/>
        </w:rPr>
        <w:t>for a U.S. Senate seat or prefer some other candidate.</w:t>
      </w:r>
    </w:p>
    <w:p w:rsidR="00AD77BB" w:rsidRDefault="00B45BA0">
      <w:pPr>
        <w:numPr>
          <w:ilvl w:val="1"/>
          <w:numId w:val="57"/>
        </w:numPr>
        <w:shd w:val="clear" w:color="auto" w:fill="E3EFF7"/>
        <w:spacing w:after="0" w:line="439" w:lineRule="atLeast"/>
        <w:textAlignment w:val="baseline"/>
        <w:rPr>
          <w:rFonts w:ascii="Calibri" w:hAnsi="Calibri"/>
          <w:color w:val="333333"/>
          <w:sz w:val="20"/>
          <w:szCs w:val="20"/>
        </w:rPr>
      </w:pPr>
      <w:r>
        <w:rPr>
          <w:rFonts w:ascii="Calibri" w:hAnsi="Calibri"/>
          <w:color w:val="333333"/>
          <w:sz w:val="20"/>
          <w:szCs w:val="20"/>
        </w:rPr>
        <w:t>Find the probability that a randomly selected voter among these 400 prefers Candidate</w:t>
      </w:r>
      <w:r>
        <w:rPr>
          <w:rStyle w:val="apple-converted-space"/>
          <w:rFonts w:ascii="Calibri" w:hAnsi="Calibri"/>
          <w:color w:val="333333"/>
          <w:sz w:val="20"/>
          <w:szCs w:val="20"/>
        </w:rPr>
        <w:t> </w:t>
      </w:r>
      <w:r>
        <w:rPr>
          <w:rStyle w:val="Emphasis"/>
          <w:rFonts w:ascii="Calibri" w:hAnsi="Calibri"/>
          <w:color w:val="333333"/>
          <w:sz w:val="20"/>
          <w:szCs w:val="20"/>
        </w:rPr>
        <w:t>A</w:t>
      </w:r>
      <w:r>
        <w:rPr>
          <w:rFonts w:ascii="Calibri" w:hAnsi="Calibri"/>
          <w:color w:val="333333"/>
          <w:sz w:val="20"/>
          <w:szCs w:val="20"/>
        </w:rPr>
        <w:t>.</w:t>
      </w:r>
    </w:p>
    <w:p w:rsidR="00AD77BB" w:rsidRDefault="00B45BA0">
      <w:pPr>
        <w:numPr>
          <w:ilvl w:val="1"/>
          <w:numId w:val="57"/>
        </w:numPr>
        <w:shd w:val="clear" w:color="auto" w:fill="E3EFF7"/>
        <w:spacing w:after="0" w:line="439" w:lineRule="atLeast"/>
        <w:textAlignment w:val="baseline"/>
        <w:rPr>
          <w:rFonts w:ascii="Calibri" w:hAnsi="Calibri"/>
          <w:color w:val="333333"/>
          <w:sz w:val="20"/>
          <w:szCs w:val="20"/>
        </w:rPr>
      </w:pPr>
      <w:r>
        <w:rPr>
          <w:rFonts w:ascii="Calibri" w:hAnsi="Calibri"/>
          <w:color w:val="333333"/>
          <w:sz w:val="20"/>
          <w:szCs w:val="20"/>
        </w:rPr>
        <w:t>Find the probability that a randomly selected voter among the 200 who live in Region 1 prefers Candidate</w:t>
      </w:r>
      <w:r>
        <w:rPr>
          <w:rStyle w:val="apple-converted-space"/>
          <w:rFonts w:ascii="Calibri" w:hAnsi="Calibri"/>
          <w:color w:val="333333"/>
          <w:sz w:val="20"/>
          <w:szCs w:val="20"/>
        </w:rPr>
        <w:t> </w:t>
      </w:r>
      <w:r>
        <w:rPr>
          <w:rStyle w:val="Emphasis"/>
          <w:rFonts w:ascii="Calibri" w:hAnsi="Calibri"/>
          <w:color w:val="333333"/>
          <w:sz w:val="20"/>
          <w:szCs w:val="20"/>
        </w:rPr>
        <w:t>A</w:t>
      </w:r>
      <w:r>
        <w:rPr>
          <w:rStyle w:val="apple-converted-space"/>
          <w:rFonts w:ascii="Calibri" w:hAnsi="Calibri"/>
          <w:color w:val="333333"/>
          <w:sz w:val="20"/>
          <w:szCs w:val="20"/>
        </w:rPr>
        <w:t> </w:t>
      </w:r>
      <w:r>
        <w:rPr>
          <w:rFonts w:ascii="Calibri" w:hAnsi="Calibri"/>
          <w:color w:val="333333"/>
          <w:sz w:val="20"/>
          <w:szCs w:val="20"/>
        </w:rPr>
        <w:t>(separately recorded in Large Data Set 6A).</w:t>
      </w:r>
    </w:p>
    <w:p w:rsidR="00AD77BB" w:rsidRDefault="00B45BA0">
      <w:pPr>
        <w:numPr>
          <w:ilvl w:val="1"/>
          <w:numId w:val="57"/>
        </w:numPr>
        <w:shd w:val="clear" w:color="auto" w:fill="E3EFF7"/>
        <w:spacing w:after="0" w:line="439" w:lineRule="atLeast"/>
        <w:textAlignment w:val="baseline"/>
        <w:rPr>
          <w:rFonts w:ascii="Calibri" w:hAnsi="Calibri"/>
          <w:color w:val="333333"/>
          <w:sz w:val="20"/>
          <w:szCs w:val="20"/>
        </w:rPr>
      </w:pPr>
      <w:r>
        <w:rPr>
          <w:rFonts w:ascii="Calibri" w:hAnsi="Calibri"/>
          <w:color w:val="333333"/>
          <w:sz w:val="20"/>
          <w:szCs w:val="20"/>
        </w:rPr>
        <w:t>Find the probability that a randomly selected voter among the 200 who live in Region 2 prefers Candidate</w:t>
      </w:r>
      <w:r>
        <w:rPr>
          <w:rStyle w:val="apple-converted-space"/>
          <w:rFonts w:ascii="Calibri" w:hAnsi="Calibri"/>
          <w:color w:val="333333"/>
          <w:sz w:val="20"/>
          <w:szCs w:val="20"/>
        </w:rPr>
        <w:t> </w:t>
      </w:r>
      <w:r>
        <w:rPr>
          <w:rStyle w:val="Emphasis"/>
          <w:rFonts w:ascii="Calibri" w:hAnsi="Calibri"/>
          <w:color w:val="333333"/>
          <w:sz w:val="20"/>
          <w:szCs w:val="20"/>
        </w:rPr>
        <w:t>A</w:t>
      </w:r>
      <w:r>
        <w:rPr>
          <w:rStyle w:val="apple-converted-space"/>
          <w:rFonts w:ascii="Calibri" w:hAnsi="Calibri"/>
          <w:color w:val="333333"/>
          <w:sz w:val="20"/>
          <w:szCs w:val="20"/>
        </w:rPr>
        <w:t> </w:t>
      </w:r>
      <w:r>
        <w:rPr>
          <w:rFonts w:ascii="Calibri" w:hAnsi="Calibri"/>
          <w:color w:val="333333"/>
          <w:sz w:val="20"/>
          <w:szCs w:val="20"/>
        </w:rPr>
        <w:t>(separately recorded in Large Data Set 6B).</w:t>
      </w:r>
    </w:p>
    <w:p w:rsidR="00AD77BB" w:rsidRDefault="00B45BA0">
      <w:pPr>
        <w:pStyle w:val="para"/>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2689C6"/>
          <w:sz w:val="20"/>
          <w:szCs w:val="20"/>
        </w:rPr>
        <w:t>http://www.6.xls</w:t>
      </w:r>
    </w:p>
    <w:p w:rsidR="00AD77BB" w:rsidRDefault="00B45BA0">
      <w:pPr>
        <w:pStyle w:val="para"/>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2689C6"/>
          <w:sz w:val="20"/>
          <w:szCs w:val="20"/>
        </w:rPr>
        <w:t>http://www.6A.xls</w:t>
      </w:r>
    </w:p>
    <w:p w:rsidR="00AD77BB" w:rsidRDefault="00B45BA0">
      <w:pPr>
        <w:pStyle w:val="para"/>
        <w:shd w:val="clear" w:color="auto" w:fill="E3EFF7"/>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2689C6"/>
          <w:sz w:val="20"/>
          <w:szCs w:val="20"/>
        </w:rPr>
        <w:t>http://www.6B.xls</w:t>
      </w:r>
    </w:p>
    <w:p w:rsidR="00AD77BB" w:rsidRDefault="00B45BA0">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1CF47B30" wp14:editId="6A2692A3">
            <wp:extent cx="5686425" cy="6410325"/>
            <wp:effectExtent l="0" t="0" r="9525" b="9525"/>
            <wp:docPr id="78"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86425" cy="6410325"/>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64D46BE0" wp14:editId="443B6976">
            <wp:extent cx="5705475" cy="5972175"/>
            <wp:effectExtent l="0" t="0" r="9525" b="9525"/>
            <wp:docPr id="7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05475" cy="5972175"/>
                    </a:xfrm>
                    <a:prstGeom prst="rect">
                      <a:avLst/>
                    </a:prstGeom>
                    <a:noFill/>
                    <a:ln>
                      <a:noFill/>
                    </a:ln>
                  </pic:spPr>
                </pic:pic>
              </a:graphicData>
            </a:graphic>
          </wp:inline>
        </w:drawing>
      </w:r>
    </w:p>
    <w:p w:rsidR="00AD77BB" w:rsidRDefault="00B45B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3.2</w:t>
      </w:r>
      <w:r>
        <w:rPr>
          <w:rStyle w:val="apple-converted-space"/>
          <w:rFonts w:ascii="Calibri" w:hAnsi="Calibri"/>
          <w:color w:val="333333"/>
        </w:rPr>
        <w:t> </w:t>
      </w:r>
      <w:r>
        <w:rPr>
          <w:rFonts w:ascii="Calibri" w:hAnsi="Calibri"/>
          <w:color w:val="333333"/>
        </w:rPr>
        <w:t>Complements, Intersections, and Unions</w:t>
      </w:r>
    </w:p>
    <w:p w:rsidR="00AD77BB" w:rsidRDefault="00AD77BB"/>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AD77BB" w:rsidRDefault="00B45BA0">
      <w:pPr>
        <w:numPr>
          <w:ilvl w:val="0"/>
          <w:numId w:val="58"/>
        </w:numPr>
        <w:shd w:val="clear" w:color="auto" w:fill="EAE9DC"/>
        <w:spacing w:after="0" w:line="360" w:lineRule="auto"/>
        <w:ind w:left="360" w:right="374"/>
        <w:textAlignment w:val="baseline"/>
        <w:rPr>
          <w:rFonts w:ascii="Calibri" w:hAnsi="Calibri"/>
          <w:color w:val="333333"/>
          <w:sz w:val="20"/>
          <w:szCs w:val="20"/>
        </w:rPr>
      </w:pPr>
      <w:r>
        <w:rPr>
          <w:rFonts w:ascii="Calibri" w:hAnsi="Calibri"/>
          <w:color w:val="333333"/>
          <w:sz w:val="20"/>
          <w:szCs w:val="20"/>
        </w:rPr>
        <w:t>To learn how some events are naturally expressible in terms of other events.</w:t>
      </w:r>
    </w:p>
    <w:p w:rsidR="00AD77BB" w:rsidRDefault="00B45BA0">
      <w:pPr>
        <w:numPr>
          <w:ilvl w:val="0"/>
          <w:numId w:val="58"/>
        </w:numPr>
        <w:shd w:val="clear" w:color="auto" w:fill="EAE9DC"/>
        <w:spacing w:after="0" w:line="360" w:lineRule="auto"/>
        <w:ind w:left="360" w:right="374"/>
        <w:textAlignment w:val="baseline"/>
        <w:rPr>
          <w:rFonts w:ascii="Calibri" w:hAnsi="Calibri"/>
          <w:color w:val="333333"/>
          <w:sz w:val="20"/>
          <w:szCs w:val="20"/>
        </w:rPr>
      </w:pPr>
      <w:r>
        <w:rPr>
          <w:rFonts w:ascii="Calibri" w:hAnsi="Calibri"/>
          <w:color w:val="333333"/>
          <w:sz w:val="20"/>
          <w:szCs w:val="20"/>
        </w:rPr>
        <w:t>To learn how to use special formulas for the probability of an event that is expressed in terms of one or more other events.</w:t>
      </w:r>
    </w:p>
    <w:p w:rsidR="00AD77BB" w:rsidRDefault="00B45BA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Some events can be naturally expressed in terms of other, sometimes simpler, events.</w:t>
      </w:r>
    </w:p>
    <w:p w:rsidR="00AD77BB" w:rsidRDefault="00B45BA0">
      <w:pPr>
        <w:pStyle w:val="Heading2"/>
        <w:shd w:val="clear" w:color="auto" w:fill="FFFFFF"/>
        <w:spacing w:before="0" w:line="360" w:lineRule="auto"/>
        <w:textAlignment w:val="baseline"/>
        <w:rPr>
          <w:rFonts w:ascii="Calibri" w:hAnsi="Calibri"/>
          <w:color w:val="333333"/>
          <w:sz w:val="28"/>
          <w:szCs w:val="28"/>
        </w:rPr>
      </w:pPr>
      <w:r>
        <w:rPr>
          <w:rFonts w:ascii="Calibri" w:hAnsi="Calibri"/>
          <w:color w:val="333333"/>
          <w:sz w:val="28"/>
          <w:szCs w:val="28"/>
        </w:rPr>
        <w:lastRenderedPageBreak/>
        <w:t>Complements</w:t>
      </w:r>
    </w:p>
    <w:p w:rsidR="00AD77BB" w:rsidRDefault="00B45BA0">
      <w:pPr>
        <w:pStyle w:val="Heading3"/>
        <w:shd w:val="clear" w:color="auto" w:fill="F4F4F4"/>
        <w:spacing w:before="0" w:beforeAutospacing="0" w:after="0" w:afterAutospacing="0" w:line="360" w:lineRule="auto"/>
        <w:textAlignment w:val="baseline"/>
        <w:rPr>
          <w:rFonts w:ascii="Calibri" w:hAnsi="Calibri"/>
          <w:color w:val="333333"/>
          <w:sz w:val="30"/>
          <w:szCs w:val="30"/>
        </w:rPr>
      </w:pPr>
      <w:r>
        <w:rPr>
          <w:rFonts w:ascii="Calibri" w:hAnsi="Calibri"/>
          <w:color w:val="333333"/>
          <w:sz w:val="30"/>
          <w:szCs w:val="30"/>
        </w:rPr>
        <w:t>Definition</w:t>
      </w: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eastAsiaTheme="majorEastAsia" w:hAnsi="Georgia"/>
          <w:b/>
          <w:color w:val="333333"/>
          <w:sz w:val="20"/>
          <w:szCs w:val="20"/>
        </w:rPr>
        <w:t>complement of an event</w:t>
      </w:r>
      <w:r>
        <w:rPr>
          <w:rStyle w:val="apple-converted-space"/>
          <w:rFonts w:ascii="Georgia" w:hAnsi="Georgia"/>
          <w:color w:val="333333"/>
          <w:sz w:val="20"/>
          <w:szCs w:val="20"/>
        </w:rPr>
        <w:t> </w:t>
      </w:r>
      <w:r>
        <w:rPr>
          <w:rStyle w:val="Emphasis"/>
          <w:rFonts w:ascii="Georgia" w:hAnsi="Georgia"/>
          <w:color w:val="333333"/>
          <w:sz w:val="20"/>
          <w:szCs w:val="20"/>
        </w:rPr>
        <w:t>A</w:t>
      </w:r>
      <w:r>
        <w:rPr>
          <w:rStyle w:val="apple-converted-space"/>
          <w:rFonts w:ascii="Georgia" w:hAnsi="Georgia"/>
          <w:color w:val="333333"/>
          <w:sz w:val="20"/>
          <w:szCs w:val="20"/>
        </w:rPr>
        <w:t> </w:t>
      </w:r>
      <w:r>
        <w:rPr>
          <w:rStyle w:val="Emphasis"/>
          <w:rFonts w:ascii="Georgia" w:hAnsi="Georgia"/>
          <w:color w:val="333333"/>
          <w:sz w:val="20"/>
          <w:szCs w:val="20"/>
        </w:rPr>
        <w:t>in a sample space</w:t>
      </w:r>
      <w:r>
        <w:rPr>
          <w:rStyle w:val="apple-converted-space"/>
          <w:rFonts w:ascii="Georgia" w:hAnsi="Georgia"/>
          <w:color w:val="333333"/>
          <w:sz w:val="20"/>
          <w:szCs w:val="20"/>
        </w:rPr>
        <w:t> </w:t>
      </w:r>
      <w:r>
        <w:rPr>
          <w:rStyle w:val="Emphasis"/>
          <w:rFonts w:ascii="Georgia" w:hAnsi="Georgia"/>
          <w:color w:val="333333"/>
          <w:sz w:val="20"/>
          <w:szCs w:val="20"/>
        </w:rPr>
        <w:t>S</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rPr>
        <w:t>denoted</w:t>
      </w:r>
      <w:r>
        <w:rPr>
          <w:rStyle w:val="apple-converted-space"/>
          <w:rFonts w:ascii="Georgia" w:hAnsi="Georgia"/>
          <w:color w:val="333333"/>
          <w:sz w:val="20"/>
          <w:szCs w:val="20"/>
        </w:rPr>
        <w:t> </w:t>
      </w:r>
      <w:r>
        <w:rPr>
          <w:rStyle w:val="Emphasis"/>
          <w:rFonts w:ascii="Georgia" w:hAnsi="Georgia"/>
          <w:color w:val="333333"/>
          <w:sz w:val="20"/>
          <w:szCs w:val="20"/>
        </w:rPr>
        <w:t>A</w:t>
      </w:r>
      <w:r>
        <w:rPr>
          <w:rFonts w:ascii="Georgia" w:hAnsi="Georgia"/>
          <w:color w:val="333333"/>
          <w:sz w:val="15"/>
          <w:szCs w:val="15"/>
          <w:vertAlign w:val="superscript"/>
        </w:rPr>
        <w:t>c</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rPr>
        <w:t>is the collection of all outcomes in</w:t>
      </w:r>
      <w:r>
        <w:rPr>
          <w:rStyle w:val="apple-converted-space"/>
          <w:rFonts w:ascii="Georgia" w:hAnsi="Georgia"/>
          <w:color w:val="333333"/>
          <w:sz w:val="20"/>
          <w:szCs w:val="20"/>
        </w:rPr>
        <w:t> </w:t>
      </w:r>
      <w:r>
        <w:rPr>
          <w:rStyle w:val="Emphasis"/>
          <w:rFonts w:ascii="Georgia" w:hAnsi="Georgia"/>
          <w:color w:val="333333"/>
          <w:sz w:val="20"/>
          <w:szCs w:val="20"/>
        </w:rPr>
        <w:t>S</w:t>
      </w:r>
      <w:r>
        <w:rPr>
          <w:rStyle w:val="apple-converted-space"/>
          <w:rFonts w:ascii="Georgia" w:hAnsi="Georgia"/>
          <w:color w:val="333333"/>
          <w:sz w:val="20"/>
          <w:szCs w:val="20"/>
        </w:rPr>
        <w:t> </w:t>
      </w:r>
      <w:r>
        <w:rPr>
          <w:rStyle w:val="Emphasis"/>
          <w:rFonts w:ascii="Georgia" w:hAnsi="Georgia"/>
          <w:color w:val="333333"/>
          <w:sz w:val="20"/>
          <w:szCs w:val="20"/>
        </w:rPr>
        <w:t>that are not elements of the set</w:t>
      </w:r>
      <w:r>
        <w:rPr>
          <w:rStyle w:val="apple-converted-space"/>
          <w:rFonts w:ascii="Georgia" w:hAnsi="Georgia"/>
          <w:color w:val="333333"/>
          <w:sz w:val="20"/>
          <w:szCs w:val="20"/>
        </w:rPr>
        <w:t> </w:t>
      </w:r>
      <w:r>
        <w:rPr>
          <w:rStyle w:val="Emphasis"/>
          <w:rFonts w:ascii="Georgia" w:hAnsi="Georgia"/>
          <w:color w:val="333333"/>
          <w:sz w:val="20"/>
          <w:szCs w:val="20"/>
        </w:rPr>
        <w:t>A</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rPr>
        <w:t>It corresponds to negating any description in words of the event</w:t>
      </w:r>
      <w:r>
        <w:rPr>
          <w:rStyle w:val="apple-converted-space"/>
          <w:rFonts w:ascii="Georgia" w:hAnsi="Georgia"/>
          <w:color w:val="333333"/>
          <w:sz w:val="20"/>
          <w:szCs w:val="20"/>
        </w:rPr>
        <w:t> </w:t>
      </w:r>
      <w:r>
        <w:rPr>
          <w:rStyle w:val="Emphasis"/>
          <w:rFonts w:ascii="Georgia" w:hAnsi="Georgia"/>
          <w:color w:val="333333"/>
          <w:sz w:val="20"/>
          <w:szCs w:val="20"/>
        </w:rPr>
        <w:t>A</w:t>
      </w:r>
      <w:r>
        <w:rPr>
          <w:rFonts w:ascii="Georgia" w:hAnsi="Georgia"/>
          <w:color w:val="333333"/>
          <w:sz w:val="20"/>
          <w:szCs w:val="20"/>
        </w:rPr>
        <w:t>.</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10</w:t>
      </w:r>
    </w:p>
    <w:p w:rsidR="00AD77BB" w:rsidRDefault="00B45BA0">
      <w:pPr>
        <w:shd w:val="clear" w:color="auto" w:fill="E3EFF7"/>
        <w:spacing w:after="0" w:line="360" w:lineRule="auto"/>
        <w:ind w:left="302"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Two events connected with the experiment of rolling a single die are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“the number rolled is even” and </w:t>
      </w:r>
      <w:r>
        <w:rPr>
          <w:rFonts w:ascii="Calibri" w:eastAsia="Times New Roman" w:hAnsi="Calibri" w:cs="Times New Roman"/>
          <w:i/>
          <w:iCs/>
          <w:color w:val="333333"/>
          <w:sz w:val="20"/>
          <w:szCs w:val="20"/>
        </w:rPr>
        <w:t>T</w:t>
      </w:r>
      <w:r>
        <w:rPr>
          <w:rFonts w:ascii="Calibri" w:eastAsia="Times New Roman" w:hAnsi="Calibri" w:cs="Times New Roman"/>
          <w:color w:val="333333"/>
          <w:sz w:val="20"/>
          <w:szCs w:val="20"/>
        </w:rPr>
        <w:t>: “the number rolled is greater than two.” Find the complement of each.</w:t>
      </w:r>
    </w:p>
    <w:p w:rsidR="00AD77BB" w:rsidRDefault="00B45BA0">
      <w:pPr>
        <w:shd w:val="clear" w:color="auto" w:fill="E3EFF7"/>
        <w:spacing w:before="150" w:after="0" w:line="360" w:lineRule="auto"/>
        <w:ind w:left="302"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Solution:</w:t>
      </w:r>
    </w:p>
    <w:p w:rsidR="00AD77BB" w:rsidRDefault="00B45BA0">
      <w:pPr>
        <w:shd w:val="clear" w:color="auto" w:fill="E3EFF7"/>
        <w:spacing w:after="0" w:line="360" w:lineRule="auto"/>
        <w:ind w:left="302"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the sample space </w:t>
      </w:r>
      <w:r>
        <w:rPr>
          <w:rFonts w:ascii="MathJax_Math" w:eastAsia="Times New Roman" w:hAnsi="MathJax_Math" w:cs="Times New Roman"/>
          <w:b/>
          <w:i/>
          <w:iCs/>
          <w:color w:val="333333"/>
          <w:sz w:val="15"/>
          <w:szCs w:val="15"/>
        </w:rPr>
        <w:t>S</w:t>
      </w:r>
      <w:r>
        <w:rPr>
          <w:rFonts w:ascii="MathJax_Main" w:eastAsia="Times New Roman" w:hAnsi="MathJax_Main" w:cs="Times New Roman"/>
          <w:b/>
          <w:color w:val="333333"/>
          <w:sz w:val="15"/>
          <w:szCs w:val="15"/>
        </w:rPr>
        <w:t>={1,2,3,4,5,6}</w:t>
      </w:r>
      <w:r>
        <w:rPr>
          <w:rFonts w:ascii="Calibri" w:eastAsia="Times New Roman" w:hAnsi="Calibri" w:cs="Times New Roman"/>
          <w:color w:val="333333"/>
          <w:sz w:val="20"/>
          <w:szCs w:val="20"/>
        </w:rPr>
        <w:t> the corresponding sets of outcomes are</w:t>
      </w:r>
      <w:r>
        <w:rPr>
          <w:rFonts w:ascii="Calibri" w:eastAsia="Times New Roman" w:hAnsi="Calibri" w:cs="Times New Roman"/>
          <w:b/>
          <w:color w:val="333333"/>
          <w:sz w:val="20"/>
          <w:szCs w:val="20"/>
        </w:rPr>
        <w:t> </w:t>
      </w:r>
      <w:r>
        <w:rPr>
          <w:rFonts w:ascii="MathJax_Math" w:eastAsia="Times New Roman" w:hAnsi="MathJax_Math" w:cs="Times New Roman"/>
          <w:b/>
          <w:i/>
          <w:iCs/>
          <w:color w:val="333333"/>
          <w:sz w:val="15"/>
          <w:szCs w:val="15"/>
        </w:rPr>
        <w:t>E</w:t>
      </w:r>
      <w:r>
        <w:rPr>
          <w:rFonts w:ascii="MathJax_Main" w:eastAsia="Times New Roman" w:hAnsi="MathJax_Main" w:cs="Times New Roman"/>
          <w:b/>
          <w:color w:val="333333"/>
          <w:sz w:val="15"/>
          <w:szCs w:val="15"/>
        </w:rPr>
        <w:t>={2,4,6}</w:t>
      </w:r>
      <w:r>
        <w:rPr>
          <w:rFonts w:ascii="Calibri" w:eastAsia="Times New Roman" w:hAnsi="Calibri" w:cs="Times New Roman"/>
          <w:b/>
          <w:color w:val="333333"/>
          <w:sz w:val="20"/>
          <w:szCs w:val="20"/>
        </w:rPr>
        <w:t> and </w:t>
      </w:r>
      <w:r>
        <w:rPr>
          <w:rFonts w:ascii="MathJax_Math" w:eastAsia="Times New Roman" w:hAnsi="MathJax_Math" w:cs="Times New Roman"/>
          <w:b/>
          <w:i/>
          <w:iCs/>
          <w:color w:val="333333"/>
          <w:sz w:val="15"/>
          <w:szCs w:val="15"/>
        </w:rPr>
        <w:t>T</w:t>
      </w:r>
      <w:r>
        <w:rPr>
          <w:rFonts w:ascii="MathJax_Main" w:eastAsia="Times New Roman" w:hAnsi="MathJax_Main" w:cs="Times New Roman"/>
          <w:b/>
          <w:color w:val="333333"/>
          <w:sz w:val="15"/>
          <w:szCs w:val="15"/>
        </w:rPr>
        <w:t>={3,4,5,6}</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The complements are </w:t>
      </w:r>
      <w:r>
        <w:rPr>
          <w:rFonts w:ascii="MathJax_Math" w:eastAsia="Times New Roman" w:hAnsi="MathJax_Math" w:cs="Times New Roman"/>
          <w:b/>
          <w:i/>
          <w:iCs/>
          <w:color w:val="333333"/>
          <w:sz w:val="15"/>
          <w:szCs w:val="15"/>
        </w:rPr>
        <w:t>E</w:t>
      </w:r>
      <w:r>
        <w:rPr>
          <w:rFonts w:ascii="MathJax_Math" w:eastAsia="Times New Roman" w:hAnsi="MathJax_Math" w:cs="Times New Roman"/>
          <w:b/>
          <w:i/>
          <w:iCs/>
          <w:color w:val="333333"/>
          <w:sz w:val="12"/>
          <w:szCs w:val="12"/>
          <w:vertAlign w:val="superscript"/>
        </w:rPr>
        <w:t>c</w:t>
      </w:r>
      <w:r>
        <w:rPr>
          <w:rFonts w:ascii="MathJax_Main" w:eastAsia="Times New Roman" w:hAnsi="MathJax_Main" w:cs="Times New Roman"/>
          <w:b/>
          <w:color w:val="333333"/>
          <w:sz w:val="15"/>
          <w:szCs w:val="15"/>
        </w:rPr>
        <w:t>={1,3,5}</w:t>
      </w:r>
      <w:r>
        <w:rPr>
          <w:rFonts w:ascii="Calibri" w:eastAsia="Times New Roman" w:hAnsi="Calibri" w:cs="Times New Roman"/>
          <w:b/>
          <w:color w:val="333333"/>
          <w:sz w:val="20"/>
          <w:szCs w:val="20"/>
        </w:rPr>
        <w:t> </w:t>
      </w:r>
      <w:r>
        <w:rPr>
          <w:rFonts w:ascii="Calibri" w:eastAsia="Times New Roman" w:hAnsi="Calibri" w:cs="Times New Roman"/>
          <w:color w:val="333333"/>
          <w:sz w:val="20"/>
          <w:szCs w:val="20"/>
        </w:rPr>
        <w:t>and </w:t>
      </w:r>
      <w:r>
        <w:rPr>
          <w:rFonts w:ascii="MathJax_Math" w:eastAsia="Times New Roman" w:hAnsi="MathJax_Math" w:cs="Times New Roman"/>
          <w:b/>
          <w:i/>
          <w:iCs/>
          <w:color w:val="333333"/>
          <w:sz w:val="15"/>
          <w:szCs w:val="15"/>
        </w:rPr>
        <w:t>T</w:t>
      </w:r>
      <w:r>
        <w:rPr>
          <w:rFonts w:ascii="MathJax_Math" w:eastAsia="Times New Roman" w:hAnsi="MathJax_Math" w:cs="Times New Roman"/>
          <w:b/>
          <w:i/>
          <w:iCs/>
          <w:color w:val="333333"/>
          <w:sz w:val="12"/>
          <w:szCs w:val="12"/>
          <w:vertAlign w:val="superscript"/>
        </w:rPr>
        <w:t>c</w:t>
      </w:r>
      <w:r>
        <w:rPr>
          <w:rFonts w:ascii="MathJax_Main" w:eastAsia="Times New Roman" w:hAnsi="MathJax_Main" w:cs="Times New Roman"/>
          <w:b/>
          <w:color w:val="333333"/>
          <w:sz w:val="15"/>
          <w:szCs w:val="15"/>
        </w:rPr>
        <w:t>={1,2}.</w:t>
      </w:r>
    </w:p>
    <w:p w:rsidR="00AD77BB" w:rsidRDefault="00B45BA0">
      <w:pPr>
        <w:shd w:val="clear" w:color="auto" w:fill="E3EFF7"/>
        <w:spacing w:before="150" w:line="360" w:lineRule="auto"/>
        <w:ind w:left="302"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words the complements are described by “the number rolled is not even” and “the number rolled is not greater than two.” Of course easier descriptions would be “the number rolled is odd” and “the number rolled is less than three.”</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If there is a 60% chance of rain tomorrow, what is the probability of fair weather? The obvious answer, 40%, is an instance of the following general rule.</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Probability Rule for Complements</w:t>
      </w:r>
    </w:p>
    <w:p w:rsidR="00AD77BB" w:rsidRDefault="00AD77BB">
      <w:pPr>
        <w:shd w:val="clear" w:color="auto" w:fill="F4F4F4"/>
        <w:spacing w:after="0" w:line="264" w:lineRule="atLeast"/>
        <w:textAlignment w:val="baseline"/>
        <w:outlineLvl w:val="2"/>
        <w:rPr>
          <w:rFonts w:ascii="Calibri" w:eastAsia="Times New Roman" w:hAnsi="Calibri" w:cs="Times New Roman"/>
          <w:b/>
          <w:bCs/>
          <w:color w:val="333333"/>
          <w:sz w:val="30"/>
          <w:szCs w:val="30"/>
        </w:rPr>
      </w:pPr>
    </w:p>
    <w:p w:rsidR="00AD77BB" w:rsidRDefault="00B45BA0">
      <w:pPr>
        <w:shd w:val="clear" w:color="auto" w:fill="F4F4F4"/>
        <w:spacing w:line="270" w:lineRule="atLeast"/>
        <w:jc w:val="center"/>
        <w:textAlignment w:val="baseline"/>
        <w:rPr>
          <w:rFonts w:ascii="Calibri" w:eastAsia="Times New Roman" w:hAnsi="Calibri" w:cs="Times New Roman"/>
          <w:b/>
          <w:color w:val="555555"/>
          <w:sz w:val="23"/>
          <w:szCs w:val="23"/>
        </w:rPr>
      </w:pPr>
      <w:r>
        <w:rPr>
          <w:rFonts w:ascii="MathJax_Math" w:eastAsia="Times New Roman" w:hAnsi="MathJax_Math" w:cs="Times New Roman"/>
          <w:b/>
          <w:i/>
          <w:iCs/>
          <w:color w:val="555555"/>
          <w:sz w:val="18"/>
          <w:szCs w:val="18"/>
        </w:rPr>
        <w:t>P</w:t>
      </w:r>
      <w:r>
        <w:rPr>
          <w:rFonts w:ascii="MathJax_Size1" w:eastAsia="Times New Roman" w:hAnsi="MathJax_Size1" w:cs="Times New Roman"/>
          <w:b/>
          <w:color w:val="555555"/>
          <w:sz w:val="18"/>
          <w:szCs w:val="18"/>
        </w:rPr>
        <w:t>(</w:t>
      </w:r>
      <w:r>
        <w:rPr>
          <w:rFonts w:ascii="MathJax_Math" w:eastAsia="Times New Roman" w:hAnsi="MathJax_Math" w:cs="Times New Roman"/>
          <w:b/>
          <w:i/>
          <w:iCs/>
          <w:color w:val="555555"/>
          <w:sz w:val="18"/>
          <w:szCs w:val="18"/>
        </w:rPr>
        <w:t>A</w:t>
      </w:r>
      <w:r>
        <w:rPr>
          <w:rFonts w:ascii="MathJax_Math" w:eastAsia="Times New Roman" w:hAnsi="MathJax_Math" w:cs="Times New Roman"/>
          <w:b/>
          <w:i/>
          <w:iCs/>
          <w:color w:val="555555"/>
          <w:sz w:val="14"/>
          <w:szCs w:val="14"/>
          <w:vertAlign w:val="superscript"/>
        </w:rPr>
        <w:t>c</w:t>
      </w:r>
      <w:r>
        <w:rPr>
          <w:rFonts w:ascii="MathJax_Size1" w:eastAsia="Times New Roman" w:hAnsi="MathJax_Size1" w:cs="Times New Roman"/>
          <w:b/>
          <w:color w:val="555555"/>
          <w:sz w:val="18"/>
          <w:szCs w:val="18"/>
        </w:rPr>
        <w:t>)</w:t>
      </w:r>
      <w:r>
        <w:rPr>
          <w:rFonts w:ascii="MathJax_Main" w:eastAsia="Times New Roman" w:hAnsi="MathJax_Main" w:cs="Times New Roman"/>
          <w:b/>
          <w:color w:val="555555"/>
          <w:sz w:val="18"/>
          <w:szCs w:val="18"/>
        </w:rPr>
        <w:t>=1−</w:t>
      </w:r>
      <w:r>
        <w:rPr>
          <w:rFonts w:ascii="MathJax_Math" w:eastAsia="Times New Roman" w:hAnsi="MathJax_Math" w:cs="Times New Roman"/>
          <w:b/>
          <w:i/>
          <w:iCs/>
          <w:color w:val="555555"/>
          <w:sz w:val="18"/>
          <w:szCs w:val="18"/>
        </w:rPr>
        <w:t>P</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A</w:t>
      </w:r>
      <w:r>
        <w:rPr>
          <w:rFonts w:ascii="MathJax_Main" w:eastAsia="Times New Roman" w:hAnsi="MathJax_Main" w:cs="Times New Roman"/>
          <w:b/>
          <w:color w:val="555555"/>
          <w:sz w:val="18"/>
          <w:szCs w:val="18"/>
        </w:rPr>
        <w:t>)</w:t>
      </w:r>
    </w:p>
    <w:p w:rsidR="00AD77BB" w:rsidRDefault="00B45BA0">
      <w:pPr>
        <w:shd w:val="clear" w:color="auto" w:fill="FFFFFF"/>
        <w:spacing w:after="0"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This formula is particularly useful when finding the probability of an event</w:t>
      </w:r>
    </w:p>
    <w:p w:rsidR="00AD77BB" w:rsidRDefault="00AD77BB">
      <w:pPr>
        <w:shd w:val="clear" w:color="auto" w:fill="FFFFFF"/>
        <w:spacing w:after="0" w:line="439" w:lineRule="atLeast"/>
        <w:textAlignment w:val="baseline"/>
        <w:rPr>
          <w:rFonts w:ascii="Georgia" w:eastAsia="Times New Roman" w:hAnsi="Georgia" w:cs="Times New Roman"/>
          <w:color w:val="333333"/>
          <w:sz w:val="21"/>
          <w:szCs w:val="21"/>
        </w:rPr>
      </w:pP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11</w:t>
      </w:r>
    </w:p>
    <w:p w:rsidR="00AD77BB" w:rsidRDefault="00B45BA0">
      <w:pPr>
        <w:pStyle w:val="para"/>
        <w:shd w:val="clear" w:color="auto" w:fill="DAEEF3" w:themeFill="accent5" w:themeFillTint="33"/>
        <w:spacing w:before="15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Find the probability that at least one heads will appear in five tosses of a fair coin.</w:t>
      </w:r>
    </w:p>
    <w:p w:rsidR="00AD77BB" w:rsidRDefault="00B45BA0">
      <w:pPr>
        <w:pStyle w:val="simpara"/>
        <w:shd w:val="clear" w:color="auto" w:fill="DAEEF3" w:themeFill="accent5" w:themeFillTint="33"/>
        <w:spacing w:before="15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Solution:</w:t>
      </w:r>
    </w:p>
    <w:p w:rsidR="00AD77BB" w:rsidRDefault="00B45BA0">
      <w:pPr>
        <w:pStyle w:val="para"/>
        <w:shd w:val="clear" w:color="auto" w:fill="DAEEF3" w:themeFill="accent5" w:themeFillTint="33"/>
        <w:spacing w:before="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Identify outcomes by lists of five</w:t>
      </w:r>
      <w:r>
        <w:rPr>
          <w:rStyle w:val="apple-converted-space"/>
          <w:rFonts w:ascii="Calibri" w:hAnsi="Calibri"/>
          <w:color w:val="333333"/>
          <w:sz w:val="21"/>
          <w:szCs w:val="21"/>
        </w:rPr>
        <w:t> </w:t>
      </w:r>
      <w:r>
        <w:rPr>
          <w:rStyle w:val="Emphasis"/>
          <w:rFonts w:ascii="Calibri" w:eastAsiaTheme="majorEastAsia" w:hAnsi="Calibri"/>
          <w:color w:val="333333"/>
          <w:sz w:val="20"/>
          <w:szCs w:val="20"/>
        </w:rPr>
        <w:t>h</w:t>
      </w:r>
      <w:r>
        <w:rPr>
          <w:rFonts w:ascii="Calibri" w:hAnsi="Calibri"/>
          <w:color w:val="333333"/>
          <w:sz w:val="21"/>
          <w:szCs w:val="21"/>
        </w:rPr>
        <w:t>s and</w:t>
      </w:r>
      <w:r>
        <w:rPr>
          <w:rStyle w:val="apple-converted-space"/>
          <w:rFonts w:ascii="Calibri" w:hAnsi="Calibri"/>
          <w:color w:val="333333"/>
          <w:sz w:val="21"/>
          <w:szCs w:val="21"/>
        </w:rPr>
        <w:t> </w:t>
      </w:r>
      <w:r>
        <w:rPr>
          <w:rStyle w:val="Emphasis"/>
          <w:rFonts w:ascii="Calibri" w:eastAsiaTheme="majorEastAsia" w:hAnsi="Calibri"/>
          <w:color w:val="333333"/>
          <w:sz w:val="20"/>
          <w:szCs w:val="20"/>
        </w:rPr>
        <w:t>t</w:t>
      </w:r>
      <w:r>
        <w:rPr>
          <w:rFonts w:ascii="Calibri" w:hAnsi="Calibri"/>
          <w:color w:val="333333"/>
          <w:sz w:val="21"/>
          <w:szCs w:val="21"/>
        </w:rPr>
        <w:t>s, such as</w:t>
      </w:r>
      <w:r>
        <w:rPr>
          <w:rStyle w:val="apple-converted-space"/>
          <w:rFonts w:ascii="Calibri" w:hAnsi="Calibri"/>
          <w:color w:val="333333"/>
          <w:sz w:val="21"/>
          <w:szCs w:val="21"/>
        </w:rPr>
        <w:t> </w:t>
      </w:r>
      <w:r>
        <w:rPr>
          <w:rStyle w:val="mi"/>
          <w:rFonts w:ascii="MathJax_Math" w:hAnsi="MathJax_Math"/>
          <w:b/>
          <w:i/>
          <w:iCs/>
          <w:color w:val="333333"/>
          <w:sz w:val="15"/>
          <w:szCs w:val="15"/>
        </w:rPr>
        <w:t>tthtt</w:t>
      </w:r>
      <w:r>
        <w:rPr>
          <w:rStyle w:val="apple-converted-space"/>
          <w:rFonts w:ascii="Calibri" w:hAnsi="Calibri"/>
          <w:color w:val="333333"/>
          <w:sz w:val="21"/>
          <w:szCs w:val="21"/>
        </w:rPr>
        <w:t> </w:t>
      </w:r>
      <w:r>
        <w:rPr>
          <w:rFonts w:ascii="Calibri" w:hAnsi="Calibri"/>
          <w:color w:val="333333"/>
          <w:sz w:val="21"/>
          <w:szCs w:val="21"/>
        </w:rPr>
        <w:t>and</w:t>
      </w:r>
      <w:r>
        <w:rPr>
          <w:rStyle w:val="apple-converted-space"/>
          <w:rFonts w:ascii="Calibri" w:hAnsi="Calibri"/>
          <w:color w:val="333333"/>
          <w:sz w:val="21"/>
          <w:szCs w:val="21"/>
        </w:rPr>
        <w:t> </w:t>
      </w:r>
      <w:r>
        <w:rPr>
          <w:rStyle w:val="mi"/>
          <w:rFonts w:ascii="MathJax_Math" w:hAnsi="MathJax_Math"/>
          <w:b/>
          <w:i/>
          <w:iCs/>
          <w:color w:val="333333"/>
          <w:sz w:val="15"/>
          <w:szCs w:val="15"/>
        </w:rPr>
        <w:t>hhttt</w:t>
      </w:r>
      <w:r>
        <w:rPr>
          <w:rStyle w:val="mo"/>
          <w:rFonts w:ascii="MathJax_Main" w:hAnsi="MathJax_Main"/>
          <w:color w:val="333333"/>
          <w:sz w:val="15"/>
          <w:szCs w:val="15"/>
        </w:rPr>
        <w:t>.</w:t>
      </w:r>
      <w:r>
        <w:rPr>
          <w:rStyle w:val="apple-converted-space"/>
          <w:rFonts w:ascii="Calibri" w:hAnsi="Calibri"/>
          <w:color w:val="333333"/>
          <w:sz w:val="21"/>
          <w:szCs w:val="21"/>
        </w:rPr>
        <w:t> </w:t>
      </w:r>
      <w:r>
        <w:rPr>
          <w:rFonts w:ascii="Calibri" w:hAnsi="Calibri"/>
          <w:color w:val="333333"/>
          <w:sz w:val="21"/>
          <w:szCs w:val="21"/>
        </w:rPr>
        <w:t>Although it is tedious to list them all, it is not difficult to count them. Think of using a tree diagram to do so. There are two choices for the first toss. For each of these there are two choices for the second toss, hence</w:t>
      </w:r>
      <w:r>
        <w:rPr>
          <w:rStyle w:val="apple-converted-space"/>
          <w:rFonts w:ascii="Calibri" w:hAnsi="Calibri"/>
          <w:color w:val="333333"/>
          <w:sz w:val="21"/>
          <w:szCs w:val="21"/>
        </w:rPr>
        <w:t> </w:t>
      </w:r>
      <w:r>
        <w:rPr>
          <w:rStyle w:val="mn"/>
          <w:rFonts w:ascii="MathJax_Main" w:hAnsi="MathJax_Main"/>
          <w:b/>
          <w:color w:val="333333"/>
          <w:sz w:val="15"/>
          <w:szCs w:val="15"/>
        </w:rPr>
        <w:t>2</w:t>
      </w:r>
      <w:r>
        <w:rPr>
          <w:rStyle w:val="mo"/>
          <w:rFonts w:ascii="MathJax_Main" w:hAnsi="MathJax_Main"/>
          <w:b/>
          <w:color w:val="333333"/>
          <w:sz w:val="15"/>
          <w:szCs w:val="15"/>
        </w:rPr>
        <w:t>×</w:t>
      </w:r>
      <w:r>
        <w:rPr>
          <w:rStyle w:val="mn"/>
          <w:rFonts w:ascii="MathJax_Main" w:hAnsi="MathJax_Main"/>
          <w:b/>
          <w:color w:val="333333"/>
          <w:sz w:val="15"/>
          <w:szCs w:val="15"/>
        </w:rPr>
        <w:t>2</w:t>
      </w:r>
      <w:r>
        <w:rPr>
          <w:rStyle w:val="mo"/>
          <w:rFonts w:ascii="MathJax_Main" w:hAnsi="MathJax_Main"/>
          <w:b/>
          <w:color w:val="333333"/>
          <w:sz w:val="15"/>
          <w:szCs w:val="15"/>
        </w:rPr>
        <w:t>=</w:t>
      </w:r>
      <w:r>
        <w:rPr>
          <w:rStyle w:val="mn"/>
          <w:rFonts w:ascii="MathJax_Main" w:hAnsi="MathJax_Main"/>
          <w:b/>
          <w:color w:val="333333"/>
          <w:sz w:val="15"/>
          <w:szCs w:val="15"/>
        </w:rPr>
        <w:t>4</w:t>
      </w:r>
      <w:r>
        <w:rPr>
          <w:rStyle w:val="apple-converted-space"/>
          <w:rFonts w:ascii="Calibri" w:hAnsi="Calibri"/>
          <w:color w:val="333333"/>
          <w:sz w:val="21"/>
          <w:szCs w:val="21"/>
        </w:rPr>
        <w:t> </w:t>
      </w:r>
      <w:r>
        <w:rPr>
          <w:rFonts w:ascii="Calibri" w:hAnsi="Calibri"/>
          <w:color w:val="333333"/>
          <w:sz w:val="21"/>
          <w:szCs w:val="21"/>
        </w:rPr>
        <w:t xml:space="preserve">outcomes for two tosses. For each of these four outcomes, there are two possibilities for the third toss, </w:t>
      </w:r>
      <w:r>
        <w:rPr>
          <w:rFonts w:ascii="Calibri" w:hAnsi="Calibri"/>
          <w:color w:val="333333"/>
          <w:sz w:val="21"/>
          <w:szCs w:val="21"/>
        </w:rPr>
        <w:lastRenderedPageBreak/>
        <w:t>hence</w:t>
      </w:r>
      <w:r>
        <w:rPr>
          <w:rStyle w:val="apple-converted-space"/>
          <w:rFonts w:ascii="Calibri" w:hAnsi="Calibri"/>
          <w:color w:val="333333"/>
          <w:sz w:val="21"/>
          <w:szCs w:val="21"/>
        </w:rPr>
        <w:t> </w:t>
      </w:r>
      <w:r>
        <w:rPr>
          <w:rStyle w:val="mn"/>
          <w:rFonts w:ascii="MathJax_Main" w:hAnsi="MathJax_Main"/>
          <w:b/>
          <w:color w:val="333333"/>
          <w:sz w:val="15"/>
          <w:szCs w:val="15"/>
        </w:rPr>
        <w:t>4</w:t>
      </w:r>
      <w:r>
        <w:rPr>
          <w:rStyle w:val="mo"/>
          <w:rFonts w:ascii="MathJax_Main" w:hAnsi="MathJax_Main"/>
          <w:b/>
          <w:color w:val="333333"/>
          <w:sz w:val="15"/>
          <w:szCs w:val="15"/>
        </w:rPr>
        <w:t>×</w:t>
      </w:r>
      <w:r>
        <w:rPr>
          <w:rStyle w:val="mn"/>
          <w:rFonts w:ascii="MathJax_Main" w:hAnsi="MathJax_Main"/>
          <w:b/>
          <w:color w:val="333333"/>
          <w:sz w:val="15"/>
          <w:szCs w:val="15"/>
        </w:rPr>
        <w:t>2</w:t>
      </w:r>
      <w:r>
        <w:rPr>
          <w:rStyle w:val="mo"/>
          <w:rFonts w:ascii="MathJax_Main" w:hAnsi="MathJax_Main"/>
          <w:b/>
          <w:color w:val="333333"/>
          <w:sz w:val="15"/>
          <w:szCs w:val="15"/>
        </w:rPr>
        <w:t>=</w:t>
      </w:r>
      <w:r>
        <w:rPr>
          <w:rStyle w:val="mn"/>
          <w:rFonts w:ascii="MathJax_Main" w:hAnsi="MathJax_Main"/>
          <w:b/>
          <w:color w:val="333333"/>
          <w:sz w:val="15"/>
          <w:szCs w:val="15"/>
        </w:rPr>
        <w:t>8</w:t>
      </w:r>
      <w:r>
        <w:rPr>
          <w:rStyle w:val="apple-converted-space"/>
          <w:rFonts w:ascii="Calibri" w:hAnsi="Calibri"/>
          <w:color w:val="333333"/>
          <w:sz w:val="21"/>
          <w:szCs w:val="21"/>
        </w:rPr>
        <w:t> </w:t>
      </w:r>
      <w:r>
        <w:rPr>
          <w:rFonts w:ascii="Calibri" w:hAnsi="Calibri"/>
          <w:color w:val="333333"/>
          <w:sz w:val="21"/>
          <w:szCs w:val="21"/>
        </w:rPr>
        <w:t>outcomes for three tosses. Similarly, there are</w:t>
      </w:r>
      <w:r>
        <w:rPr>
          <w:rStyle w:val="apple-converted-space"/>
          <w:rFonts w:ascii="Calibri" w:hAnsi="Calibri"/>
          <w:color w:val="333333"/>
          <w:sz w:val="21"/>
          <w:szCs w:val="21"/>
        </w:rPr>
        <w:t> </w:t>
      </w:r>
      <w:r>
        <w:rPr>
          <w:rStyle w:val="mn"/>
          <w:rFonts w:ascii="MathJax_Main" w:hAnsi="MathJax_Main"/>
          <w:b/>
          <w:color w:val="333333"/>
          <w:sz w:val="15"/>
          <w:szCs w:val="15"/>
        </w:rPr>
        <w:t>8</w:t>
      </w:r>
      <w:r>
        <w:rPr>
          <w:rStyle w:val="mo"/>
          <w:rFonts w:ascii="MathJax_Main" w:hAnsi="MathJax_Main"/>
          <w:b/>
          <w:color w:val="333333"/>
          <w:sz w:val="15"/>
          <w:szCs w:val="15"/>
        </w:rPr>
        <w:t>×</w:t>
      </w:r>
      <w:r>
        <w:rPr>
          <w:rStyle w:val="mn"/>
          <w:rFonts w:ascii="MathJax_Main" w:hAnsi="MathJax_Main"/>
          <w:b/>
          <w:color w:val="333333"/>
          <w:sz w:val="15"/>
          <w:szCs w:val="15"/>
        </w:rPr>
        <w:t>2</w:t>
      </w:r>
      <w:r>
        <w:rPr>
          <w:rStyle w:val="mo"/>
          <w:rFonts w:ascii="MathJax_Main" w:hAnsi="MathJax_Main"/>
          <w:b/>
          <w:color w:val="333333"/>
          <w:sz w:val="15"/>
          <w:szCs w:val="15"/>
        </w:rPr>
        <w:t>=</w:t>
      </w:r>
      <w:r>
        <w:rPr>
          <w:rStyle w:val="mn"/>
          <w:rFonts w:ascii="MathJax_Main" w:hAnsi="MathJax_Main"/>
          <w:b/>
          <w:color w:val="333333"/>
          <w:sz w:val="15"/>
          <w:szCs w:val="15"/>
        </w:rPr>
        <w:t>16</w:t>
      </w:r>
      <w:r>
        <w:rPr>
          <w:rStyle w:val="apple-converted-space"/>
          <w:rFonts w:ascii="Calibri" w:hAnsi="Calibri"/>
          <w:color w:val="333333"/>
          <w:sz w:val="21"/>
          <w:szCs w:val="21"/>
        </w:rPr>
        <w:t> </w:t>
      </w:r>
      <w:r>
        <w:rPr>
          <w:rFonts w:ascii="Calibri" w:hAnsi="Calibri"/>
          <w:color w:val="333333"/>
          <w:sz w:val="21"/>
          <w:szCs w:val="21"/>
        </w:rPr>
        <w:t>outcomes for four tosses and finally</w:t>
      </w:r>
      <w:r>
        <w:rPr>
          <w:rStyle w:val="apple-converted-space"/>
          <w:rFonts w:ascii="Calibri" w:hAnsi="Calibri"/>
          <w:color w:val="333333"/>
          <w:sz w:val="21"/>
          <w:szCs w:val="21"/>
        </w:rPr>
        <w:t> </w:t>
      </w:r>
      <w:r>
        <w:rPr>
          <w:rStyle w:val="mn"/>
          <w:rFonts w:ascii="MathJax_Main" w:hAnsi="MathJax_Main"/>
          <w:b/>
          <w:color w:val="333333"/>
          <w:sz w:val="15"/>
          <w:szCs w:val="15"/>
        </w:rPr>
        <w:t>16</w:t>
      </w:r>
      <w:r>
        <w:rPr>
          <w:rStyle w:val="mo"/>
          <w:rFonts w:ascii="MathJax_Main" w:hAnsi="MathJax_Main"/>
          <w:b/>
          <w:color w:val="333333"/>
          <w:sz w:val="15"/>
          <w:szCs w:val="15"/>
        </w:rPr>
        <w:t>×</w:t>
      </w:r>
      <w:r>
        <w:rPr>
          <w:rStyle w:val="mn"/>
          <w:rFonts w:ascii="MathJax_Main" w:hAnsi="MathJax_Main"/>
          <w:b/>
          <w:color w:val="333333"/>
          <w:sz w:val="15"/>
          <w:szCs w:val="15"/>
        </w:rPr>
        <w:t>2</w:t>
      </w:r>
      <w:r>
        <w:rPr>
          <w:rStyle w:val="mo"/>
          <w:rFonts w:ascii="MathJax_Main" w:hAnsi="MathJax_Main"/>
          <w:b/>
          <w:color w:val="333333"/>
          <w:sz w:val="15"/>
          <w:szCs w:val="15"/>
        </w:rPr>
        <w:t>=</w:t>
      </w:r>
      <w:r>
        <w:rPr>
          <w:rStyle w:val="mn"/>
          <w:rFonts w:ascii="MathJax_Main" w:hAnsi="MathJax_Main"/>
          <w:b/>
          <w:color w:val="333333"/>
          <w:sz w:val="15"/>
          <w:szCs w:val="15"/>
        </w:rPr>
        <w:t>32</w:t>
      </w:r>
      <w:r>
        <w:rPr>
          <w:rStyle w:val="apple-converted-space"/>
          <w:rFonts w:ascii="Calibri" w:hAnsi="Calibri"/>
          <w:color w:val="333333"/>
          <w:sz w:val="21"/>
          <w:szCs w:val="21"/>
        </w:rPr>
        <w:t> </w:t>
      </w:r>
      <w:r>
        <w:rPr>
          <w:rFonts w:ascii="Calibri" w:hAnsi="Calibri"/>
          <w:color w:val="333333"/>
          <w:sz w:val="21"/>
          <w:szCs w:val="21"/>
        </w:rPr>
        <w:t>outcomes for five tosses.</w:t>
      </w:r>
    </w:p>
    <w:p w:rsidR="00AD77BB" w:rsidRDefault="00AD77BB">
      <w:pPr>
        <w:pStyle w:val="Heading2"/>
        <w:shd w:val="clear" w:color="auto" w:fill="DAEEF3" w:themeFill="accent5" w:themeFillTint="33"/>
        <w:spacing w:before="0" w:line="439" w:lineRule="atLeast"/>
        <w:ind w:left="300"/>
        <w:textAlignment w:val="baseline"/>
        <w:rPr>
          <w:rFonts w:ascii="Calibri" w:hAnsi="Calibri"/>
          <w:b w:val="0"/>
          <w:color w:val="333333"/>
          <w:sz w:val="21"/>
          <w:szCs w:val="21"/>
        </w:rPr>
      </w:pPr>
    </w:p>
    <w:p w:rsidR="00AD77BB" w:rsidRDefault="00B45BA0">
      <w:pPr>
        <w:pStyle w:val="Heading2"/>
        <w:shd w:val="clear" w:color="auto" w:fill="DAEEF3" w:themeFill="accent5" w:themeFillTint="33"/>
        <w:spacing w:before="0" w:line="439" w:lineRule="atLeast"/>
        <w:ind w:left="300"/>
        <w:textAlignment w:val="baseline"/>
        <w:rPr>
          <w:rFonts w:ascii="Calibri" w:hAnsi="Calibri"/>
          <w:b w:val="0"/>
          <w:color w:val="333333"/>
          <w:sz w:val="21"/>
          <w:szCs w:val="21"/>
        </w:rPr>
      </w:pPr>
      <w:r>
        <w:rPr>
          <w:rFonts w:ascii="Calibri" w:hAnsi="Calibri"/>
          <w:b w:val="0"/>
          <w:color w:val="333333"/>
          <w:sz w:val="21"/>
          <w:szCs w:val="21"/>
        </w:rPr>
        <w:t>Let</w:t>
      </w:r>
      <w:r>
        <w:rPr>
          <w:rStyle w:val="apple-converted-space"/>
          <w:rFonts w:ascii="Calibri" w:hAnsi="Calibri"/>
          <w:b w:val="0"/>
          <w:color w:val="333333"/>
          <w:sz w:val="21"/>
          <w:szCs w:val="21"/>
        </w:rPr>
        <w:t> </w:t>
      </w:r>
      <w:r>
        <w:rPr>
          <w:rStyle w:val="Emphasis"/>
          <w:rFonts w:ascii="Calibri" w:hAnsi="Calibri"/>
          <w:b w:val="0"/>
          <w:color w:val="333333"/>
          <w:sz w:val="20"/>
          <w:szCs w:val="20"/>
        </w:rPr>
        <w:t>O</w:t>
      </w:r>
      <w:r>
        <w:rPr>
          <w:rStyle w:val="apple-converted-space"/>
          <w:rFonts w:ascii="Calibri" w:hAnsi="Calibri"/>
          <w:b w:val="0"/>
          <w:color w:val="333333"/>
          <w:sz w:val="21"/>
          <w:szCs w:val="21"/>
        </w:rPr>
        <w:t> </w:t>
      </w:r>
      <w:r>
        <w:rPr>
          <w:rFonts w:ascii="Calibri" w:hAnsi="Calibri"/>
          <w:b w:val="0"/>
          <w:color w:val="333333"/>
          <w:sz w:val="21"/>
          <w:szCs w:val="21"/>
        </w:rPr>
        <w:t>denote the event “at least one heads.” There are many ways to obtain at least one heads, but only one way to fail to do so: all tails. Thus although it is difficult to list all the outcomes that form</w:t>
      </w:r>
      <w:r>
        <w:rPr>
          <w:rStyle w:val="apple-converted-space"/>
          <w:rFonts w:ascii="Calibri" w:hAnsi="Calibri"/>
          <w:b w:val="0"/>
          <w:color w:val="333333"/>
          <w:sz w:val="21"/>
          <w:szCs w:val="21"/>
        </w:rPr>
        <w:t> </w:t>
      </w:r>
      <w:r>
        <w:rPr>
          <w:rStyle w:val="Emphasis"/>
          <w:rFonts w:ascii="Calibri" w:hAnsi="Calibri"/>
          <w:b w:val="0"/>
          <w:color w:val="333333"/>
          <w:sz w:val="20"/>
          <w:szCs w:val="20"/>
        </w:rPr>
        <w:t>O</w:t>
      </w:r>
      <w:r>
        <w:rPr>
          <w:rFonts w:ascii="Calibri" w:hAnsi="Calibri"/>
          <w:b w:val="0"/>
          <w:color w:val="333333"/>
          <w:sz w:val="21"/>
          <w:szCs w:val="21"/>
        </w:rPr>
        <w:t>, it is easy to write</w:t>
      </w:r>
      <w:r>
        <w:rPr>
          <w:rStyle w:val="apple-converted-space"/>
          <w:rFonts w:ascii="Calibri" w:hAnsi="Calibri"/>
          <w:b w:val="0"/>
          <w:color w:val="333333"/>
          <w:sz w:val="21"/>
          <w:szCs w:val="21"/>
        </w:rPr>
        <w:t> </w:t>
      </w:r>
      <w:r>
        <w:rPr>
          <w:rStyle w:val="mi"/>
          <w:rFonts w:ascii="MathJax_Math" w:hAnsi="MathJax_Math"/>
          <w:i/>
          <w:iCs/>
          <w:color w:val="333333"/>
          <w:sz w:val="15"/>
          <w:szCs w:val="15"/>
        </w:rPr>
        <w:t>O</w:t>
      </w:r>
      <w:r>
        <w:rPr>
          <w:rStyle w:val="mi"/>
          <w:rFonts w:ascii="MathJax_Math" w:hAnsi="MathJax_Math"/>
          <w:i/>
          <w:iCs/>
          <w:color w:val="333333"/>
          <w:sz w:val="12"/>
          <w:szCs w:val="12"/>
          <w:vertAlign w:val="superscript"/>
        </w:rPr>
        <w:t>c</w:t>
      </w:r>
      <w:r>
        <w:rPr>
          <w:rStyle w:val="mo"/>
          <w:rFonts w:ascii="MathJax_Main" w:hAnsi="MathJax_Main"/>
          <w:color w:val="333333"/>
          <w:sz w:val="15"/>
          <w:szCs w:val="15"/>
        </w:rPr>
        <w:t>={</w:t>
      </w:r>
      <w:r>
        <w:rPr>
          <w:rStyle w:val="mi"/>
          <w:rFonts w:ascii="MathJax_Math" w:hAnsi="MathJax_Math"/>
          <w:i/>
          <w:iCs/>
          <w:color w:val="333333"/>
          <w:sz w:val="15"/>
          <w:szCs w:val="15"/>
        </w:rPr>
        <w:t>ttttt</w:t>
      </w:r>
      <w:r>
        <w:rPr>
          <w:rStyle w:val="mo"/>
          <w:rFonts w:ascii="MathJax_Main" w:hAnsi="MathJax_Main"/>
          <w:color w:val="333333"/>
          <w:sz w:val="15"/>
          <w:szCs w:val="15"/>
        </w:rPr>
        <w:t>}.</w:t>
      </w:r>
      <w:r>
        <w:rPr>
          <w:rStyle w:val="apple-converted-space"/>
          <w:rFonts w:ascii="Calibri" w:hAnsi="Calibri"/>
          <w:b w:val="0"/>
          <w:color w:val="333333"/>
          <w:sz w:val="21"/>
          <w:szCs w:val="21"/>
        </w:rPr>
        <w:t> </w:t>
      </w:r>
      <w:r>
        <w:rPr>
          <w:rFonts w:ascii="Calibri" w:hAnsi="Calibri"/>
          <w:b w:val="0"/>
          <w:color w:val="333333"/>
          <w:sz w:val="21"/>
          <w:szCs w:val="21"/>
        </w:rPr>
        <w:t>Since there are 32 equally likely outcomes, each has probability 1/32, so</w:t>
      </w:r>
      <w:r>
        <w:rPr>
          <w:rStyle w:val="apple-converted-space"/>
          <w:rFonts w:ascii="Calibri" w:hAnsi="Calibri"/>
          <w:color w:val="333333"/>
          <w:sz w:val="21"/>
          <w:szCs w:val="21"/>
        </w:rPr>
        <w:t> </w:t>
      </w:r>
      <w:r>
        <w:rPr>
          <w:rStyle w:val="mi"/>
          <w:rFonts w:ascii="MathJax_Math" w:hAnsi="MathJax_Math"/>
          <w:i/>
          <w:iCs/>
          <w:color w:val="333333"/>
          <w:sz w:val="15"/>
          <w:szCs w:val="15"/>
        </w:rPr>
        <w:t>P</w:t>
      </w:r>
      <w:r>
        <w:rPr>
          <w:rStyle w:val="mo"/>
          <w:rFonts w:ascii="MathJax_Main" w:hAnsi="MathJax_Main"/>
          <w:color w:val="333333"/>
          <w:sz w:val="15"/>
          <w:szCs w:val="15"/>
        </w:rPr>
        <w:t>(</w:t>
      </w:r>
      <w:r>
        <w:rPr>
          <w:rStyle w:val="mi"/>
          <w:rFonts w:ascii="MathJax_Math" w:hAnsi="MathJax_Math"/>
          <w:i/>
          <w:iCs/>
          <w:color w:val="333333"/>
          <w:sz w:val="15"/>
          <w:szCs w:val="15"/>
        </w:rPr>
        <w:t>O</w:t>
      </w:r>
      <w:r>
        <w:rPr>
          <w:rStyle w:val="mi"/>
          <w:rFonts w:ascii="MathJax_Math" w:hAnsi="MathJax_Math"/>
          <w:i/>
          <w:iCs/>
          <w:color w:val="333333"/>
          <w:sz w:val="12"/>
          <w:szCs w:val="12"/>
          <w:vertAlign w:val="superscript"/>
        </w:rPr>
        <w:t>c</w:t>
      </w:r>
      <w:r>
        <w:rPr>
          <w:rStyle w:val="mo"/>
          <w:rFonts w:ascii="MathJax_Main" w:hAnsi="MathJax_Main"/>
          <w:color w:val="333333"/>
          <w:sz w:val="15"/>
          <w:szCs w:val="15"/>
        </w:rPr>
        <w:t>)=</w:t>
      </w:r>
      <w:r>
        <w:rPr>
          <w:rStyle w:val="mn"/>
          <w:rFonts w:ascii="MathJax_Main" w:hAnsi="MathJax_Main"/>
          <w:color w:val="333333"/>
          <w:sz w:val="15"/>
          <w:szCs w:val="15"/>
        </w:rPr>
        <w:t>1</w:t>
      </w:r>
      <w:r>
        <w:rPr>
          <w:rStyle w:val="mo"/>
          <w:rFonts w:ascii="MathJax_Main" w:hAnsi="MathJax_Main"/>
          <w:color w:val="333333"/>
          <w:sz w:val="15"/>
          <w:szCs w:val="15"/>
        </w:rPr>
        <w:t>/</w:t>
      </w:r>
      <w:r>
        <w:rPr>
          <w:rStyle w:val="mn"/>
          <w:rFonts w:ascii="MathJax_Main" w:hAnsi="MathJax_Main"/>
          <w:color w:val="333333"/>
          <w:sz w:val="15"/>
          <w:szCs w:val="15"/>
        </w:rPr>
        <w:t>32</w:t>
      </w:r>
      <w:r>
        <w:rPr>
          <w:rFonts w:ascii="Calibri" w:hAnsi="Calibri"/>
          <w:b w:val="0"/>
          <w:color w:val="333333"/>
          <w:sz w:val="21"/>
          <w:szCs w:val="21"/>
        </w:rPr>
        <w:t>, hence</w:t>
      </w:r>
      <w:r>
        <w:rPr>
          <w:rStyle w:val="apple-converted-space"/>
          <w:rFonts w:ascii="Calibri" w:hAnsi="Calibri"/>
          <w:b w:val="0"/>
          <w:color w:val="333333"/>
          <w:sz w:val="21"/>
          <w:szCs w:val="21"/>
        </w:rPr>
        <w:t> </w:t>
      </w:r>
      <w:r>
        <w:rPr>
          <w:rStyle w:val="mi"/>
          <w:rFonts w:ascii="MathJax_Math" w:hAnsi="MathJax_Math"/>
          <w:i/>
          <w:iCs/>
          <w:color w:val="333333"/>
          <w:sz w:val="15"/>
          <w:szCs w:val="15"/>
        </w:rPr>
        <w:t>P</w:t>
      </w:r>
      <w:r>
        <w:rPr>
          <w:rStyle w:val="mo"/>
          <w:rFonts w:ascii="MathJax_Main" w:hAnsi="MathJax_Main"/>
          <w:color w:val="333333"/>
          <w:sz w:val="15"/>
          <w:szCs w:val="15"/>
        </w:rPr>
        <w:t>(</w:t>
      </w:r>
      <w:r>
        <w:rPr>
          <w:rStyle w:val="mi"/>
          <w:rFonts w:ascii="MathJax_Math" w:hAnsi="MathJax_Math"/>
          <w:i/>
          <w:iCs/>
          <w:color w:val="333333"/>
          <w:sz w:val="15"/>
          <w:szCs w:val="15"/>
        </w:rPr>
        <w:t>O</w:t>
      </w:r>
      <w:r>
        <w:rPr>
          <w:rStyle w:val="mo"/>
          <w:rFonts w:ascii="MathJax_Main" w:hAnsi="MathJax_Main"/>
          <w:color w:val="333333"/>
          <w:sz w:val="15"/>
          <w:szCs w:val="15"/>
        </w:rPr>
        <w:t>)=</w:t>
      </w:r>
      <w:r>
        <w:rPr>
          <w:rStyle w:val="mn"/>
          <w:rFonts w:ascii="MathJax_Main" w:hAnsi="MathJax_Main"/>
          <w:color w:val="333333"/>
          <w:sz w:val="15"/>
          <w:szCs w:val="15"/>
        </w:rPr>
        <w:t>1</w:t>
      </w:r>
      <w:r>
        <w:rPr>
          <w:rStyle w:val="mo"/>
          <w:rFonts w:ascii="MathJax_Main" w:hAnsi="MathJax_Main"/>
          <w:color w:val="333333"/>
          <w:sz w:val="15"/>
          <w:szCs w:val="15"/>
        </w:rPr>
        <w:t>−</w:t>
      </w:r>
      <w:r>
        <w:rPr>
          <w:rStyle w:val="mn"/>
          <w:rFonts w:ascii="MathJax_Main" w:hAnsi="MathJax_Main"/>
          <w:color w:val="333333"/>
          <w:sz w:val="15"/>
          <w:szCs w:val="15"/>
        </w:rPr>
        <w:t>1</w:t>
      </w:r>
      <w:r>
        <w:rPr>
          <w:rStyle w:val="mo"/>
          <w:rFonts w:ascii="MathJax_Main" w:hAnsi="MathJax_Main"/>
          <w:color w:val="333333"/>
          <w:sz w:val="15"/>
          <w:szCs w:val="15"/>
        </w:rPr>
        <w:t>/</w:t>
      </w:r>
      <w:r>
        <w:rPr>
          <w:rStyle w:val="mn"/>
          <w:rFonts w:ascii="MathJax_Main" w:hAnsi="MathJax_Main"/>
          <w:color w:val="333333"/>
          <w:sz w:val="15"/>
          <w:szCs w:val="15"/>
        </w:rPr>
        <w:t>32</w:t>
      </w:r>
      <w:r>
        <w:rPr>
          <w:rStyle w:val="mo"/>
          <w:rFonts w:ascii="MathJax_Main" w:hAnsi="MathJax_Main"/>
          <w:color w:val="333333"/>
          <w:sz w:val="15"/>
          <w:szCs w:val="15"/>
        </w:rPr>
        <w:t>≈</w:t>
      </w:r>
      <w:r>
        <w:rPr>
          <w:rStyle w:val="mn"/>
          <w:rFonts w:ascii="MathJax_Main" w:hAnsi="MathJax_Main"/>
          <w:color w:val="333333"/>
          <w:sz w:val="15"/>
          <w:szCs w:val="15"/>
        </w:rPr>
        <w:t>0.97</w:t>
      </w:r>
      <w:r>
        <w:rPr>
          <w:rStyle w:val="apple-converted-space"/>
          <w:rFonts w:ascii="Calibri" w:hAnsi="Calibri"/>
          <w:b w:val="0"/>
          <w:color w:val="333333"/>
          <w:sz w:val="21"/>
          <w:szCs w:val="21"/>
        </w:rPr>
        <w:t> </w:t>
      </w:r>
      <w:r>
        <w:rPr>
          <w:rFonts w:ascii="Calibri" w:hAnsi="Calibri"/>
          <w:b w:val="0"/>
          <w:color w:val="333333"/>
          <w:sz w:val="21"/>
          <w:szCs w:val="21"/>
        </w:rPr>
        <w:t xml:space="preserve">or about </w:t>
      </w:r>
      <w:r>
        <w:rPr>
          <w:rFonts w:ascii="Calibri" w:hAnsi="Calibri"/>
          <w:b w:val="0"/>
          <w:color w:val="333333"/>
          <w:sz w:val="20"/>
          <w:szCs w:val="20"/>
          <w:shd w:val="clear" w:color="auto" w:fill="E3EFF7"/>
        </w:rPr>
        <w:t>a 97% chance.</w:t>
      </w:r>
    </w:p>
    <w:p w:rsidR="00AD77BB" w:rsidRDefault="00AD77BB">
      <w:pPr>
        <w:pStyle w:val="para"/>
        <w:shd w:val="clear" w:color="auto" w:fill="DAEEF3" w:themeFill="accent5" w:themeFillTint="33"/>
        <w:spacing w:before="0" w:beforeAutospacing="0" w:after="0" w:afterAutospacing="0" w:line="439" w:lineRule="atLeast"/>
        <w:ind w:left="300" w:right="375"/>
        <w:textAlignment w:val="baseline"/>
        <w:rPr>
          <w:rFonts w:ascii="Calibri" w:hAnsi="Calibri"/>
          <w:color w:val="333333"/>
          <w:sz w:val="21"/>
          <w:szCs w:val="21"/>
        </w:rPr>
      </w:pPr>
    </w:p>
    <w:p w:rsidR="00AD77BB" w:rsidRDefault="00AD77BB">
      <w:pPr>
        <w:pStyle w:val="Heading2"/>
        <w:shd w:val="clear" w:color="auto" w:fill="FFFFFF"/>
        <w:spacing w:before="0" w:line="439" w:lineRule="atLeast"/>
        <w:textAlignment w:val="baseline"/>
        <w:rPr>
          <w:rFonts w:ascii="Calibri" w:hAnsi="Calibri"/>
          <w:color w:val="333333"/>
          <w:sz w:val="21"/>
          <w:szCs w:val="21"/>
        </w:rPr>
      </w:pPr>
    </w:p>
    <w:p w:rsidR="00AD77BB" w:rsidRDefault="00B45BA0">
      <w:pPr>
        <w:pStyle w:val="Heading2"/>
        <w:shd w:val="clear" w:color="auto" w:fill="FFFFFF"/>
        <w:spacing w:before="0" w:line="439" w:lineRule="atLeast"/>
        <w:textAlignment w:val="baseline"/>
        <w:rPr>
          <w:rFonts w:ascii="Calibri" w:eastAsia="Times New Roman" w:hAnsi="Calibri" w:cs="Times New Roman"/>
          <w:color w:val="333333"/>
          <w:sz w:val="29"/>
          <w:szCs w:val="29"/>
        </w:rPr>
      </w:pPr>
      <w:r>
        <w:rPr>
          <w:rFonts w:ascii="Calibri" w:eastAsia="Times New Roman" w:hAnsi="Calibri" w:cs="Times New Roman"/>
          <w:color w:val="333333"/>
          <w:sz w:val="29"/>
          <w:szCs w:val="29"/>
        </w:rPr>
        <w:t>Intersection of Events</w:t>
      </w:r>
    </w:p>
    <w:p w:rsidR="00AD77BB" w:rsidRDefault="00AD77BB"/>
    <w:p w:rsidR="00AD77BB" w:rsidRDefault="00B45BA0">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Definition</w:t>
      </w:r>
    </w:p>
    <w:p w:rsidR="00AD77BB" w:rsidRDefault="00B45BA0">
      <w:pPr>
        <w:shd w:val="clear" w:color="auto" w:fill="F4F4F4"/>
        <w:spacing w:line="360" w:lineRule="auto"/>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The</w:t>
      </w:r>
      <w:r>
        <w:rPr>
          <w:rFonts w:ascii="Georgia" w:eastAsia="Times New Roman" w:hAnsi="Georgia" w:cs="Times New Roman"/>
          <w:color w:val="333333"/>
          <w:sz w:val="20"/>
          <w:szCs w:val="20"/>
        </w:rPr>
        <w:t> </w:t>
      </w:r>
      <w:r>
        <w:rPr>
          <w:rFonts w:ascii="Georgia" w:eastAsia="Times New Roman" w:hAnsi="Georgia" w:cs="Times New Roman"/>
          <w:b/>
          <w:color w:val="333333"/>
          <w:sz w:val="20"/>
          <w:szCs w:val="20"/>
        </w:rPr>
        <w:t>intersection of events</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A</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and</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B</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denoted</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A</w:t>
      </w:r>
      <w:r>
        <w:rPr>
          <w:rFonts w:ascii="Georgia" w:eastAsia="Times New Roman" w:hAnsi="Georgia" w:cs="Times New Roman"/>
          <w:color w:val="333333"/>
          <w:sz w:val="20"/>
          <w:szCs w:val="20"/>
        </w:rPr>
        <w:t> </w:t>
      </w:r>
      <w:r>
        <w:rPr>
          <w:rFonts w:ascii="Times New Roman" w:eastAsia="Times New Roman" w:hAnsi="Times New Roman" w:cs="Times New Roman"/>
          <w:color w:val="333333"/>
          <w:sz w:val="20"/>
          <w:szCs w:val="20"/>
        </w:rPr>
        <w:t>∩</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B</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is the collection of all outcomes that are elements of both of the sets</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A</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and</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B</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It corresponds to combining descriptions of the two events using the word “and.”</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To say that the event </w:t>
      </w:r>
      <w:r>
        <w:rPr>
          <w:rFonts w:ascii="Georgia" w:eastAsia="Times New Roman" w:hAnsi="Georgia" w:cs="Times New Roman"/>
          <w:i/>
          <w:iCs/>
          <w:color w:val="333333"/>
          <w:sz w:val="20"/>
          <w:szCs w:val="20"/>
        </w:rPr>
        <w:t>A</w:t>
      </w:r>
      <w:r>
        <w:rPr>
          <w:rFonts w:ascii="Georgia" w:eastAsia="Times New Roman" w:hAnsi="Georgia" w:cs="Times New Roman"/>
          <w:color w:val="333333"/>
          <w:sz w:val="21"/>
          <w:szCs w:val="21"/>
        </w:rPr>
        <w:t> </w:t>
      </w:r>
      <w:r>
        <w:rPr>
          <w:rFonts w:ascii="Times New Roman" w:eastAsia="Times New Roman" w:hAnsi="Times New Roman" w:cs="Times New Roman"/>
          <w:color w:val="333333"/>
          <w:sz w:val="21"/>
          <w:szCs w:val="21"/>
        </w:rPr>
        <w:t>∩</w:t>
      </w:r>
      <w:r>
        <w:rPr>
          <w:rFonts w:ascii="Georgia" w:eastAsia="Times New Roman" w:hAnsi="Georgia" w:cs="Times New Roman"/>
          <w:color w:val="333333"/>
          <w:sz w:val="21"/>
          <w:szCs w:val="21"/>
        </w:rPr>
        <w:t> </w:t>
      </w:r>
      <w:r>
        <w:rPr>
          <w:rFonts w:ascii="Georgia" w:eastAsia="Times New Roman" w:hAnsi="Georgia" w:cs="Times New Roman"/>
          <w:i/>
          <w:iCs/>
          <w:color w:val="333333"/>
          <w:sz w:val="20"/>
          <w:szCs w:val="20"/>
        </w:rPr>
        <w:t>B</w:t>
      </w:r>
      <w:r>
        <w:rPr>
          <w:rFonts w:ascii="Georgia" w:eastAsia="Times New Roman" w:hAnsi="Georgia" w:cs="Times New Roman"/>
          <w:color w:val="333333"/>
          <w:sz w:val="21"/>
          <w:szCs w:val="21"/>
        </w:rPr>
        <w:t> occurred means that on a particular trial of the experiment both </w:t>
      </w:r>
      <w:r>
        <w:rPr>
          <w:rFonts w:ascii="Georgia" w:eastAsia="Times New Roman" w:hAnsi="Georgia" w:cs="Times New Roman"/>
          <w:i/>
          <w:iCs/>
          <w:color w:val="333333"/>
          <w:sz w:val="20"/>
          <w:szCs w:val="20"/>
        </w:rPr>
        <w:t>A</w:t>
      </w:r>
      <w:r>
        <w:rPr>
          <w:rFonts w:ascii="Georgia" w:eastAsia="Times New Roman" w:hAnsi="Georgia" w:cs="Times New Roman"/>
          <w:color w:val="333333"/>
          <w:sz w:val="21"/>
          <w:szCs w:val="21"/>
        </w:rPr>
        <w:t> and </w:t>
      </w:r>
      <w:r>
        <w:rPr>
          <w:rFonts w:ascii="Georgia" w:eastAsia="Times New Roman" w:hAnsi="Georgia" w:cs="Times New Roman"/>
          <w:i/>
          <w:iCs/>
          <w:color w:val="333333"/>
          <w:sz w:val="20"/>
          <w:szCs w:val="20"/>
        </w:rPr>
        <w:t>B</w:t>
      </w:r>
      <w:r>
        <w:rPr>
          <w:rFonts w:ascii="Georgia" w:eastAsia="Times New Roman" w:hAnsi="Georgia" w:cs="Times New Roman"/>
          <w:color w:val="333333"/>
          <w:sz w:val="21"/>
          <w:szCs w:val="21"/>
        </w:rPr>
        <w:t> occurred. A visual representation of the intersection of events </w:t>
      </w:r>
      <w:r>
        <w:rPr>
          <w:rFonts w:ascii="Georgia" w:eastAsia="Times New Roman" w:hAnsi="Georgia" w:cs="Times New Roman"/>
          <w:i/>
          <w:iCs/>
          <w:color w:val="333333"/>
          <w:sz w:val="20"/>
          <w:szCs w:val="20"/>
        </w:rPr>
        <w:t>A</w:t>
      </w:r>
      <w:r>
        <w:rPr>
          <w:rFonts w:ascii="Georgia" w:eastAsia="Times New Roman" w:hAnsi="Georgia" w:cs="Times New Roman"/>
          <w:color w:val="333333"/>
          <w:sz w:val="21"/>
          <w:szCs w:val="21"/>
        </w:rPr>
        <w:t> and </w:t>
      </w:r>
      <w:r>
        <w:rPr>
          <w:rFonts w:ascii="Georgia" w:eastAsia="Times New Roman" w:hAnsi="Georgia" w:cs="Times New Roman"/>
          <w:i/>
          <w:iCs/>
          <w:color w:val="333333"/>
          <w:sz w:val="20"/>
          <w:szCs w:val="20"/>
        </w:rPr>
        <w:t>B</w:t>
      </w:r>
      <w:r>
        <w:rPr>
          <w:rFonts w:ascii="Georgia" w:eastAsia="Times New Roman" w:hAnsi="Georgia" w:cs="Times New Roman"/>
          <w:color w:val="333333"/>
          <w:sz w:val="21"/>
          <w:szCs w:val="21"/>
        </w:rPr>
        <w:t> in a sample space </w:t>
      </w:r>
      <w:r>
        <w:rPr>
          <w:rFonts w:ascii="Georgia" w:eastAsia="Times New Roman" w:hAnsi="Georgia" w:cs="Times New Roman"/>
          <w:i/>
          <w:iCs/>
          <w:color w:val="333333"/>
          <w:sz w:val="20"/>
          <w:szCs w:val="20"/>
        </w:rPr>
        <w:t>S</w:t>
      </w:r>
      <w:r>
        <w:rPr>
          <w:rFonts w:ascii="Georgia" w:eastAsia="Times New Roman" w:hAnsi="Georgia" w:cs="Times New Roman"/>
          <w:color w:val="333333"/>
          <w:sz w:val="21"/>
          <w:szCs w:val="21"/>
        </w:rPr>
        <w:t> is given in </w:t>
      </w:r>
      <w:r>
        <w:rPr>
          <w:rFonts w:ascii="Georgia" w:eastAsia="Times New Roman" w:hAnsi="Georgia" w:cs="Times New Roman"/>
          <w:color w:val="2689C6"/>
          <w:sz w:val="21"/>
          <w:szCs w:val="21"/>
        </w:rPr>
        <w:t>Figure 3.4 "The Intersection of Events "</w:t>
      </w:r>
      <w:r>
        <w:rPr>
          <w:rFonts w:ascii="Georgia" w:eastAsia="Times New Roman" w:hAnsi="Georgia" w:cs="Times New Roman"/>
          <w:color w:val="333333"/>
          <w:sz w:val="21"/>
          <w:szCs w:val="21"/>
        </w:rPr>
        <w:t>. The intersection corresponds to the shaded lens-shaped region that lies within both ovals.</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Style w:val="title-prefix"/>
          <w:rFonts w:ascii="Georgia" w:hAnsi="Georgia"/>
          <w:i/>
          <w:iCs/>
          <w:color w:val="000000"/>
          <w:sz w:val="17"/>
          <w:szCs w:val="17"/>
          <w:shd w:val="clear" w:color="auto" w:fill="FFFFFF"/>
        </w:rPr>
        <w:t>Figure 3.4</w:t>
      </w:r>
      <w:r>
        <w:rPr>
          <w:rStyle w:val="apple-converted-space"/>
          <w:rFonts w:ascii="Georgia" w:hAnsi="Georgia"/>
          <w:i/>
          <w:iCs/>
          <w:color w:val="BB9966"/>
          <w:sz w:val="17"/>
          <w:szCs w:val="17"/>
          <w:shd w:val="clear" w:color="auto" w:fill="FFFFFF"/>
        </w:rPr>
        <w:t> </w:t>
      </w:r>
      <w:r>
        <w:rPr>
          <w:rFonts w:ascii="Georgia" w:hAnsi="Georgia"/>
          <w:i/>
          <w:iCs/>
          <w:color w:val="BB9966"/>
          <w:sz w:val="17"/>
          <w:szCs w:val="17"/>
          <w:shd w:val="clear" w:color="auto" w:fill="FFFFFF"/>
        </w:rPr>
        <w:t>The Intersection of Events</w:t>
      </w:r>
      <w:r>
        <w:rPr>
          <w:rStyle w:val="apple-converted-space"/>
          <w:rFonts w:ascii="Georgia" w:hAnsi="Georgia"/>
          <w:i/>
          <w:iCs/>
          <w:color w:val="BB9966"/>
          <w:sz w:val="17"/>
          <w:szCs w:val="17"/>
          <w:shd w:val="clear" w:color="auto" w:fill="FFFFFF"/>
        </w:rPr>
        <w:t> </w:t>
      </w:r>
      <w:r>
        <w:rPr>
          <w:rStyle w:val="Emphasis"/>
          <w:rFonts w:ascii="Georgia" w:hAnsi="Georgia"/>
          <w:color w:val="BB9966"/>
          <w:sz w:val="17"/>
          <w:szCs w:val="17"/>
          <w:shd w:val="clear" w:color="auto" w:fill="FFFFFF"/>
        </w:rPr>
        <w:t>A</w:t>
      </w:r>
      <w:r>
        <w:rPr>
          <w:rFonts w:ascii="Georgia" w:hAnsi="Georgia"/>
          <w:i/>
          <w:iCs/>
          <w:color w:val="BB9966"/>
          <w:sz w:val="17"/>
          <w:szCs w:val="17"/>
          <w:shd w:val="clear" w:color="auto" w:fill="FFFFFF"/>
        </w:rPr>
        <w:t>and</w:t>
      </w:r>
      <w:r>
        <w:rPr>
          <w:rStyle w:val="apple-converted-space"/>
          <w:rFonts w:ascii="Georgia" w:hAnsi="Georgia"/>
          <w:i/>
          <w:iCs/>
          <w:color w:val="BB9966"/>
          <w:sz w:val="17"/>
          <w:szCs w:val="17"/>
          <w:shd w:val="clear" w:color="auto" w:fill="FFFFFF"/>
        </w:rPr>
        <w:t> </w:t>
      </w:r>
      <w:r>
        <w:rPr>
          <w:rStyle w:val="Emphasis"/>
          <w:rFonts w:ascii="Georgia" w:hAnsi="Georgia"/>
          <w:color w:val="BB9966"/>
          <w:sz w:val="17"/>
          <w:szCs w:val="17"/>
          <w:shd w:val="clear" w:color="auto" w:fill="FFFFFF"/>
        </w:rPr>
        <w:t>B</w:t>
      </w:r>
    </w:p>
    <w:p w:rsidR="00AD77BB" w:rsidRDefault="00B45BA0">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noProof/>
        </w:rPr>
        <w:drawing>
          <wp:inline distT="0" distB="0" distL="0" distR="0" wp14:anchorId="36499BB9" wp14:editId="40E7E977">
            <wp:extent cx="3200400" cy="2143125"/>
            <wp:effectExtent l="0" t="0" r="0" b="9525"/>
            <wp:docPr id="80" name="Picture 92" descr="http://images.flatworldknowledge.com/shafer/shafer-fig0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images.flatworldknowledge.com/shafer/shafer-fig03_004.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00400" cy="2143125"/>
                    </a:xfrm>
                    <a:prstGeom prst="rect">
                      <a:avLst/>
                    </a:prstGeom>
                    <a:noFill/>
                    <a:ln>
                      <a:noFill/>
                    </a:ln>
                  </pic:spPr>
                </pic:pic>
              </a:graphicData>
            </a:graphic>
          </wp:inline>
        </w:drawing>
      </w:r>
    </w:p>
    <w:p w:rsidR="00AD77BB" w:rsidRDefault="00AD77BB">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rsidR="00AD77BB" w:rsidRDefault="00B45BA0">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1BF44B3B" wp14:editId="05F6D77A">
            <wp:extent cx="5610225" cy="6572250"/>
            <wp:effectExtent l="0" t="0" r="9525" b="0"/>
            <wp:docPr id="81"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10225" cy="6572250"/>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69B509E8" wp14:editId="6149F806">
            <wp:extent cx="5638800" cy="1924050"/>
            <wp:effectExtent l="0" t="0" r="0" b="0"/>
            <wp:docPr id="8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38800" cy="1924050"/>
                    </a:xfrm>
                    <a:prstGeom prst="rect">
                      <a:avLst/>
                    </a:prstGeom>
                    <a:noFill/>
                    <a:ln>
                      <a:noFill/>
                    </a:ln>
                  </pic:spPr>
                </pic:pic>
              </a:graphicData>
            </a:graphic>
          </wp:inline>
        </w:drawing>
      </w:r>
    </w:p>
    <w:p w:rsidR="00AD77BB" w:rsidRDefault="00AD77BB">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rsidR="00AD77BB" w:rsidRDefault="00B45BA0">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Definition</w:t>
      </w: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rPr>
        <w:t>Events</w:t>
      </w:r>
      <w:r>
        <w:rPr>
          <w:rStyle w:val="apple-converted-space"/>
          <w:rFonts w:ascii="Georgia" w:hAnsi="Georgia"/>
          <w:color w:val="333333"/>
          <w:sz w:val="20"/>
          <w:szCs w:val="20"/>
        </w:rPr>
        <w:t> </w:t>
      </w:r>
      <w:r>
        <w:rPr>
          <w:rStyle w:val="Emphasis"/>
          <w:rFonts w:ascii="Georgia" w:hAnsi="Georgia"/>
          <w:color w:val="333333"/>
          <w:sz w:val="20"/>
          <w:szCs w:val="20"/>
        </w:rPr>
        <w:t>A</w:t>
      </w:r>
      <w:r>
        <w:rPr>
          <w:rStyle w:val="apple-converted-space"/>
          <w:rFonts w:ascii="Georgia" w:hAnsi="Georgia"/>
          <w:color w:val="333333"/>
          <w:sz w:val="20"/>
          <w:szCs w:val="20"/>
        </w:rPr>
        <w:t> </w:t>
      </w:r>
      <w:r>
        <w:rPr>
          <w:rStyle w:val="Emphasis"/>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rPr>
        <w:t>B</w:t>
      </w:r>
      <w:r>
        <w:rPr>
          <w:rStyle w:val="apple-converted-space"/>
          <w:rFonts w:ascii="Georgia" w:hAnsi="Georgia"/>
          <w:color w:val="333333"/>
          <w:sz w:val="20"/>
          <w:szCs w:val="20"/>
        </w:rPr>
        <w:t> </w:t>
      </w:r>
      <w:r>
        <w:rPr>
          <w:rStyle w:val="Emphasis"/>
          <w:rFonts w:ascii="Georgia" w:hAnsi="Georgia"/>
          <w:color w:val="333333"/>
          <w:sz w:val="20"/>
          <w:szCs w:val="20"/>
        </w:rPr>
        <w:t>are</w:t>
      </w:r>
      <w:r>
        <w:rPr>
          <w:rStyle w:val="apple-converted-space"/>
          <w:rFonts w:ascii="Georgia" w:hAnsi="Georgia"/>
          <w:color w:val="333333"/>
          <w:sz w:val="20"/>
          <w:szCs w:val="20"/>
        </w:rPr>
        <w:t> </w:t>
      </w:r>
      <w:r>
        <w:rPr>
          <w:rStyle w:val="marginterm"/>
          <w:rFonts w:ascii="Georgia" w:eastAsiaTheme="majorEastAsia" w:hAnsi="Georgia"/>
          <w:b/>
          <w:color w:val="333333"/>
          <w:sz w:val="20"/>
          <w:szCs w:val="20"/>
        </w:rPr>
        <w:t>mutually exclusive</w:t>
      </w:r>
      <w:r>
        <w:rPr>
          <w:rStyle w:val="apple-converted-space"/>
          <w:rFonts w:ascii="Georgia" w:hAnsi="Georgia"/>
          <w:color w:val="333333"/>
          <w:sz w:val="20"/>
          <w:szCs w:val="20"/>
        </w:rPr>
        <w:t> </w:t>
      </w:r>
      <w:r>
        <w:rPr>
          <w:rStyle w:val="Emphasis"/>
          <w:rFonts w:ascii="Georgia" w:hAnsi="Georgia"/>
          <w:color w:val="333333"/>
          <w:sz w:val="20"/>
          <w:szCs w:val="20"/>
        </w:rPr>
        <w:t>if they have no elements in common.</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0"/>
          <w:szCs w:val="20"/>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For</w:t>
      </w:r>
      <w:r>
        <w:rPr>
          <w:rStyle w:val="apple-converted-space"/>
          <w:rFonts w:ascii="Georgia" w:hAnsi="Georgia"/>
          <w:color w:val="333333"/>
          <w:sz w:val="20"/>
          <w:szCs w:val="20"/>
        </w:rPr>
        <w:t> </w:t>
      </w:r>
      <w:r>
        <w:rPr>
          <w:rStyle w:val="Emphasis"/>
          <w:rFonts w:ascii="Georgia" w:hAnsi="Georgia"/>
          <w:color w:val="333333"/>
          <w:sz w:val="20"/>
          <w:szCs w:val="20"/>
        </w:rPr>
        <w:t>A</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rPr>
        <w:t>B</w:t>
      </w:r>
      <w:r>
        <w:rPr>
          <w:rStyle w:val="apple-converted-space"/>
          <w:rFonts w:ascii="Georgia" w:hAnsi="Georgia"/>
          <w:color w:val="333333"/>
          <w:sz w:val="20"/>
          <w:szCs w:val="20"/>
        </w:rPr>
        <w:t> </w:t>
      </w:r>
      <w:r>
        <w:rPr>
          <w:rFonts w:ascii="Georgia" w:hAnsi="Georgia"/>
          <w:color w:val="333333"/>
          <w:sz w:val="20"/>
          <w:szCs w:val="20"/>
        </w:rPr>
        <w:t>to have no outcomes in common means precisely that it is impossible for both</w:t>
      </w:r>
      <w:r>
        <w:rPr>
          <w:rStyle w:val="apple-converted-space"/>
          <w:rFonts w:ascii="Georgia" w:hAnsi="Georgia"/>
          <w:color w:val="333333"/>
          <w:sz w:val="20"/>
          <w:szCs w:val="20"/>
        </w:rPr>
        <w:t> </w:t>
      </w:r>
      <w:r>
        <w:rPr>
          <w:rStyle w:val="Emphasis"/>
          <w:rFonts w:ascii="Georgia" w:hAnsi="Georgia"/>
          <w:color w:val="333333"/>
          <w:sz w:val="20"/>
          <w:szCs w:val="20"/>
        </w:rPr>
        <w:t>A</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rPr>
        <w:t>B</w:t>
      </w:r>
      <w:r>
        <w:rPr>
          <w:rStyle w:val="apple-converted-space"/>
          <w:rFonts w:ascii="Georgia" w:hAnsi="Georgia"/>
          <w:color w:val="333333"/>
          <w:sz w:val="20"/>
          <w:szCs w:val="20"/>
        </w:rPr>
        <w:t> </w:t>
      </w:r>
      <w:r>
        <w:rPr>
          <w:rFonts w:ascii="Georgia" w:hAnsi="Georgia"/>
          <w:color w:val="333333"/>
          <w:sz w:val="20"/>
          <w:szCs w:val="20"/>
        </w:rPr>
        <w:t>to occur on a single trial of the random experiment. This gives the following rule.</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0"/>
          <w:szCs w:val="20"/>
        </w:rPr>
      </w:pPr>
    </w:p>
    <w:p w:rsidR="00AD77BB" w:rsidRDefault="00B45BA0">
      <w:pPr>
        <w:pStyle w:val="Heading3"/>
        <w:shd w:val="clear" w:color="auto" w:fill="F4F4F4"/>
        <w:spacing w:before="0" w:beforeAutospacing="0" w:after="0" w:afterAutospacing="0" w:line="360" w:lineRule="auto"/>
        <w:textAlignment w:val="baseline"/>
        <w:rPr>
          <w:rFonts w:ascii="Calibri" w:hAnsi="Calibri"/>
          <w:color w:val="333333"/>
          <w:sz w:val="30"/>
          <w:szCs w:val="30"/>
        </w:rPr>
      </w:pPr>
      <w:r>
        <w:rPr>
          <w:rFonts w:ascii="Calibri" w:hAnsi="Calibri"/>
          <w:color w:val="333333"/>
          <w:sz w:val="30"/>
          <w:szCs w:val="30"/>
        </w:rPr>
        <w:t>Probability Rule for Mutually Exclusive Events</w:t>
      </w: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Events</w:t>
      </w:r>
      <w:r>
        <w:rPr>
          <w:rStyle w:val="apple-converted-space"/>
          <w:rFonts w:ascii="Georgia" w:hAnsi="Georgia"/>
          <w:color w:val="333333"/>
          <w:sz w:val="20"/>
          <w:szCs w:val="20"/>
        </w:rPr>
        <w:t> </w:t>
      </w:r>
      <w:r>
        <w:rPr>
          <w:rStyle w:val="Emphasis"/>
          <w:rFonts w:ascii="Georgia" w:hAnsi="Georgia"/>
          <w:color w:val="333333"/>
          <w:sz w:val="20"/>
          <w:szCs w:val="20"/>
        </w:rPr>
        <w:t>A</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rPr>
        <w:t>B</w:t>
      </w:r>
      <w:r>
        <w:rPr>
          <w:rStyle w:val="apple-converted-space"/>
          <w:rFonts w:ascii="Georgia" w:hAnsi="Georgia"/>
          <w:color w:val="333333"/>
          <w:sz w:val="20"/>
          <w:szCs w:val="20"/>
        </w:rPr>
        <w:t> </w:t>
      </w:r>
      <w:r>
        <w:rPr>
          <w:rFonts w:ascii="Georgia" w:hAnsi="Georgia"/>
          <w:color w:val="333333"/>
          <w:sz w:val="20"/>
          <w:szCs w:val="20"/>
        </w:rPr>
        <w:t>are mutually exclusive if and only if</w:t>
      </w:r>
    </w:p>
    <w:p w:rsidR="00AD77BB" w:rsidRDefault="00AD77BB">
      <w:pPr>
        <w:pStyle w:val="para"/>
        <w:shd w:val="clear" w:color="auto" w:fill="F4F4F4"/>
        <w:spacing w:before="0" w:beforeAutospacing="0" w:after="0" w:afterAutospacing="0" w:line="360" w:lineRule="auto"/>
        <w:textAlignment w:val="baseline"/>
        <w:rPr>
          <w:rFonts w:ascii="Georgia" w:hAnsi="Georgia"/>
          <w:color w:val="333333"/>
          <w:sz w:val="20"/>
          <w:szCs w:val="20"/>
        </w:rPr>
      </w:pPr>
    </w:p>
    <w:p w:rsidR="00AD77BB" w:rsidRDefault="00B45BA0">
      <w:pPr>
        <w:shd w:val="clear" w:color="auto" w:fill="F4F4F4"/>
        <w:spacing w:line="360" w:lineRule="auto"/>
        <w:jc w:val="center"/>
        <w:textAlignment w:val="baseline"/>
        <w:rPr>
          <w:rFonts w:ascii="Calibri" w:hAnsi="Calibri"/>
          <w:b/>
          <w:color w:val="555555"/>
          <w:sz w:val="23"/>
          <w:szCs w:val="23"/>
        </w:rPr>
      </w:pPr>
      <w:r>
        <w:rPr>
          <w:rStyle w:val="mi"/>
          <w:rFonts w:ascii="MathJax_Math" w:hAnsi="MathJax_Math"/>
          <w:b/>
          <w:i/>
          <w:iCs/>
          <w:color w:val="555555"/>
          <w:sz w:val="18"/>
          <w:szCs w:val="18"/>
        </w:rPr>
        <w:t>P</w:t>
      </w:r>
      <w:r>
        <w:rPr>
          <w:rStyle w:val="mo"/>
          <w:rFonts w:ascii="MathJax_Main" w:hAnsi="MathJax_Main"/>
          <w:b/>
          <w:color w:val="555555"/>
          <w:sz w:val="18"/>
          <w:szCs w:val="18"/>
        </w:rPr>
        <w:t>(</w:t>
      </w:r>
      <w:r>
        <w:rPr>
          <w:rStyle w:val="mi"/>
          <w:rFonts w:ascii="MathJax_Math" w:hAnsi="MathJax_Math"/>
          <w:b/>
          <w:i/>
          <w:iCs/>
          <w:color w:val="555555"/>
          <w:sz w:val="18"/>
          <w:szCs w:val="18"/>
        </w:rPr>
        <w:t>A</w:t>
      </w:r>
      <w:r>
        <w:rPr>
          <w:rStyle w:val="mo"/>
          <w:rFonts w:ascii="MathJax_Main" w:hAnsi="MathJax_Main"/>
          <w:b/>
          <w:color w:val="555555"/>
          <w:sz w:val="18"/>
          <w:szCs w:val="18"/>
        </w:rPr>
        <w:t>∩</w:t>
      </w:r>
      <w:r>
        <w:rPr>
          <w:rStyle w:val="mi"/>
          <w:rFonts w:ascii="MathJax_Math" w:hAnsi="MathJax_Math"/>
          <w:b/>
          <w:i/>
          <w:iCs/>
          <w:color w:val="555555"/>
          <w:sz w:val="18"/>
          <w:szCs w:val="18"/>
        </w:rPr>
        <w:t>B</w:t>
      </w:r>
      <w:r>
        <w:rPr>
          <w:rStyle w:val="mo"/>
          <w:rFonts w:ascii="MathJax_Main" w:hAnsi="MathJax_Main"/>
          <w:b/>
          <w:color w:val="555555"/>
          <w:sz w:val="18"/>
          <w:szCs w:val="18"/>
        </w:rPr>
        <w:t>)=</w:t>
      </w:r>
      <w:r>
        <w:rPr>
          <w:rStyle w:val="mn"/>
          <w:rFonts w:ascii="MathJax_Main" w:hAnsi="MathJax_Main"/>
          <w:b/>
          <w:color w:val="555555"/>
          <w:sz w:val="18"/>
          <w:szCs w:val="18"/>
        </w:rPr>
        <w:t>0</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0"/>
          <w:szCs w:val="20"/>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Any event</w:t>
      </w:r>
      <w:r>
        <w:rPr>
          <w:rStyle w:val="apple-converted-space"/>
          <w:rFonts w:ascii="Georgia" w:hAnsi="Georgia"/>
          <w:color w:val="333333"/>
          <w:sz w:val="20"/>
          <w:szCs w:val="20"/>
        </w:rPr>
        <w:t> </w:t>
      </w:r>
      <w:r>
        <w:rPr>
          <w:rStyle w:val="Emphasis"/>
          <w:rFonts w:ascii="Georgia" w:hAnsi="Georgia"/>
          <w:color w:val="333333"/>
          <w:sz w:val="20"/>
          <w:szCs w:val="20"/>
        </w:rPr>
        <w:t>A</w:t>
      </w:r>
      <w:r>
        <w:rPr>
          <w:rStyle w:val="apple-converted-space"/>
          <w:rFonts w:ascii="Georgia" w:hAnsi="Georgia"/>
          <w:color w:val="333333"/>
          <w:sz w:val="20"/>
          <w:szCs w:val="20"/>
        </w:rPr>
        <w:t> </w:t>
      </w:r>
      <w:r>
        <w:rPr>
          <w:rFonts w:ascii="Georgia" w:hAnsi="Georgia"/>
          <w:color w:val="333333"/>
          <w:sz w:val="20"/>
          <w:szCs w:val="20"/>
        </w:rPr>
        <w:t>and its complement</w:t>
      </w:r>
      <w:r>
        <w:rPr>
          <w:rStyle w:val="apple-converted-space"/>
          <w:rFonts w:ascii="Georgia" w:hAnsi="Georgia"/>
          <w:color w:val="333333"/>
          <w:sz w:val="20"/>
          <w:szCs w:val="20"/>
        </w:rPr>
        <w:t> </w:t>
      </w:r>
      <w:r>
        <w:rPr>
          <w:rStyle w:val="Emphasis"/>
          <w:rFonts w:ascii="Georgia" w:hAnsi="Georgia"/>
          <w:color w:val="333333"/>
          <w:sz w:val="20"/>
          <w:szCs w:val="20"/>
        </w:rPr>
        <w:t>A</w:t>
      </w:r>
      <w:r>
        <w:rPr>
          <w:rFonts w:ascii="Georgia" w:hAnsi="Georgia"/>
          <w:color w:val="333333"/>
          <w:sz w:val="15"/>
          <w:szCs w:val="15"/>
          <w:vertAlign w:val="superscript"/>
        </w:rPr>
        <w:t>c</w:t>
      </w:r>
      <w:r>
        <w:rPr>
          <w:rStyle w:val="apple-converted-space"/>
          <w:rFonts w:ascii="Georgia" w:hAnsi="Georgia"/>
          <w:color w:val="333333"/>
          <w:sz w:val="20"/>
          <w:szCs w:val="20"/>
        </w:rPr>
        <w:t> </w:t>
      </w:r>
      <w:r>
        <w:rPr>
          <w:rFonts w:ascii="Georgia" w:hAnsi="Georgia"/>
          <w:color w:val="333333"/>
          <w:sz w:val="20"/>
          <w:szCs w:val="20"/>
        </w:rPr>
        <w:t>are mutually exclusive, but</w:t>
      </w:r>
      <w:r>
        <w:rPr>
          <w:rStyle w:val="apple-converted-space"/>
          <w:rFonts w:ascii="Georgia" w:hAnsi="Georgia"/>
          <w:color w:val="333333"/>
          <w:sz w:val="20"/>
          <w:szCs w:val="20"/>
        </w:rPr>
        <w:t> </w:t>
      </w:r>
      <w:r>
        <w:rPr>
          <w:rStyle w:val="Emphasis"/>
          <w:rFonts w:ascii="Georgia" w:hAnsi="Georgia"/>
          <w:color w:val="333333"/>
          <w:sz w:val="20"/>
          <w:szCs w:val="20"/>
        </w:rPr>
        <w:t>A</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rPr>
        <w:t>B</w:t>
      </w:r>
      <w:r>
        <w:rPr>
          <w:rStyle w:val="apple-converted-space"/>
          <w:rFonts w:ascii="Georgia" w:hAnsi="Georgia"/>
          <w:color w:val="333333"/>
          <w:sz w:val="20"/>
          <w:szCs w:val="20"/>
        </w:rPr>
        <w:t> </w:t>
      </w:r>
      <w:r>
        <w:rPr>
          <w:rFonts w:ascii="Georgia" w:hAnsi="Georgia"/>
          <w:color w:val="333333"/>
          <w:sz w:val="20"/>
          <w:szCs w:val="20"/>
        </w:rPr>
        <w:t>can be mutually exclusive without being complements.</w:t>
      </w:r>
    </w:p>
    <w:p w:rsidR="00AD77BB" w:rsidRDefault="00AD77BB">
      <w:pPr>
        <w:pStyle w:val="para"/>
        <w:shd w:val="clear" w:color="auto" w:fill="FFFFFF"/>
        <w:spacing w:before="0" w:beforeAutospacing="0" w:after="0" w:afterAutospacing="0" w:line="439" w:lineRule="atLeast"/>
        <w:textAlignment w:val="baseline"/>
        <w:rPr>
          <w:rFonts w:ascii="Georgia" w:hAnsi="Georgia"/>
          <w:color w:val="333333"/>
          <w:sz w:val="20"/>
          <w:szCs w:val="20"/>
        </w:rPr>
      </w:pP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14</w:t>
      </w:r>
    </w:p>
    <w:p w:rsidR="00AD77BB" w:rsidRDefault="00B45BA0">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In the experiment of rolling a single die, find three choices for an event</w:t>
      </w:r>
      <w:r>
        <w:rPr>
          <w:rStyle w:val="apple-converted-space"/>
          <w:rFonts w:ascii="Calibri" w:hAnsi="Calibri"/>
          <w:color w:val="333333"/>
          <w:sz w:val="20"/>
          <w:szCs w:val="20"/>
        </w:rPr>
        <w:t> </w:t>
      </w:r>
      <w:r>
        <w:rPr>
          <w:rStyle w:val="Emphasis"/>
          <w:rFonts w:ascii="Calibri" w:hAnsi="Calibri"/>
          <w:color w:val="333333"/>
          <w:sz w:val="20"/>
          <w:szCs w:val="20"/>
        </w:rPr>
        <w:t>A</w:t>
      </w:r>
      <w:r>
        <w:rPr>
          <w:rStyle w:val="apple-converted-space"/>
          <w:rFonts w:ascii="Calibri" w:hAnsi="Calibri"/>
          <w:color w:val="333333"/>
          <w:sz w:val="20"/>
          <w:szCs w:val="20"/>
        </w:rPr>
        <w:t> </w:t>
      </w:r>
      <w:r>
        <w:rPr>
          <w:rFonts w:ascii="Calibri" w:hAnsi="Calibri"/>
          <w:color w:val="333333"/>
          <w:sz w:val="20"/>
          <w:szCs w:val="20"/>
        </w:rPr>
        <w:t>so that the events</w:t>
      </w:r>
      <w:r>
        <w:rPr>
          <w:rStyle w:val="apple-converted-space"/>
          <w:rFonts w:ascii="Calibri" w:hAnsi="Calibri"/>
          <w:color w:val="333333"/>
          <w:sz w:val="20"/>
          <w:szCs w:val="20"/>
        </w:rPr>
        <w:t> </w:t>
      </w:r>
      <w:r>
        <w:rPr>
          <w:rStyle w:val="Emphasis"/>
          <w:rFonts w:ascii="Calibri" w:hAnsi="Calibri"/>
          <w:color w:val="333333"/>
          <w:sz w:val="20"/>
          <w:szCs w:val="20"/>
        </w:rPr>
        <w:t>A</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Emphasis"/>
          <w:rFonts w:ascii="Calibri" w:hAnsi="Calibri"/>
          <w:color w:val="333333"/>
          <w:sz w:val="20"/>
          <w:szCs w:val="20"/>
        </w:rPr>
        <w:t>E</w:t>
      </w:r>
      <w:r>
        <w:rPr>
          <w:rFonts w:ascii="Calibri" w:hAnsi="Calibri"/>
          <w:color w:val="333333"/>
          <w:sz w:val="20"/>
          <w:szCs w:val="20"/>
        </w:rPr>
        <w:t>: “the number rolled is even” are mutually exclusive.</w:t>
      </w:r>
    </w:p>
    <w:p w:rsidR="00AD77BB" w:rsidRDefault="00B45BA0">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Solution:</w:t>
      </w:r>
    </w:p>
    <w:p w:rsidR="00AD77BB" w:rsidRDefault="00B45BA0">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Since</w:t>
      </w:r>
      <w:r>
        <w:rPr>
          <w:rStyle w:val="apple-converted-space"/>
          <w:rFonts w:ascii="Calibri" w:hAnsi="Calibri"/>
          <w:color w:val="333333"/>
          <w:sz w:val="20"/>
          <w:szCs w:val="20"/>
        </w:rPr>
        <w:t> </w:t>
      </w:r>
      <w:r>
        <w:rPr>
          <w:rStyle w:val="mi"/>
          <w:rFonts w:ascii="MathJax_Math" w:hAnsi="MathJax_Math"/>
          <w:b/>
          <w:i/>
          <w:iCs/>
          <w:color w:val="333333"/>
          <w:sz w:val="15"/>
          <w:szCs w:val="15"/>
        </w:rPr>
        <w:t>E</w:t>
      </w:r>
      <w:r>
        <w:rPr>
          <w:rStyle w:val="mo"/>
          <w:rFonts w:ascii="MathJax_Main" w:hAnsi="MathJax_Main"/>
          <w:b/>
          <w:color w:val="333333"/>
          <w:sz w:val="15"/>
          <w:szCs w:val="15"/>
        </w:rPr>
        <w:t>={</w:t>
      </w:r>
      <w:r>
        <w:rPr>
          <w:rStyle w:val="mn"/>
          <w:rFonts w:ascii="MathJax_Main" w:hAnsi="MathJax_Main"/>
          <w:b/>
          <w:color w:val="333333"/>
          <w:sz w:val="15"/>
          <w:szCs w:val="15"/>
        </w:rPr>
        <w:t>2,4,6</w:t>
      </w:r>
      <w:r>
        <w:rPr>
          <w:rStyle w:val="mo"/>
          <w:rFonts w:ascii="MathJax_Main" w:hAnsi="MathJax_Main"/>
          <w:b/>
          <w:color w:val="333333"/>
          <w:sz w:val="15"/>
          <w:szCs w:val="15"/>
        </w:rPr>
        <w:t>}</w:t>
      </w:r>
      <w:r>
        <w:rPr>
          <w:rStyle w:val="apple-converted-space"/>
          <w:rFonts w:ascii="Calibri" w:hAnsi="Calibri"/>
          <w:color w:val="333333"/>
          <w:sz w:val="20"/>
          <w:szCs w:val="20"/>
        </w:rPr>
        <w:t> </w:t>
      </w:r>
      <w:r>
        <w:rPr>
          <w:rFonts w:ascii="Calibri" w:hAnsi="Calibri"/>
          <w:color w:val="333333"/>
          <w:sz w:val="20"/>
          <w:szCs w:val="20"/>
        </w:rPr>
        <w:t>and we want</w:t>
      </w:r>
      <w:r>
        <w:rPr>
          <w:rStyle w:val="apple-converted-space"/>
          <w:rFonts w:ascii="Calibri" w:hAnsi="Calibri"/>
          <w:color w:val="333333"/>
          <w:sz w:val="20"/>
          <w:szCs w:val="20"/>
        </w:rPr>
        <w:t> </w:t>
      </w:r>
      <w:r>
        <w:rPr>
          <w:rStyle w:val="Emphasis"/>
          <w:rFonts w:ascii="Calibri" w:hAnsi="Calibri"/>
          <w:color w:val="333333"/>
          <w:sz w:val="20"/>
          <w:szCs w:val="20"/>
        </w:rPr>
        <w:t>A</w:t>
      </w:r>
      <w:r>
        <w:rPr>
          <w:rStyle w:val="apple-converted-space"/>
          <w:rFonts w:ascii="Calibri" w:hAnsi="Calibri"/>
          <w:color w:val="333333"/>
          <w:sz w:val="20"/>
          <w:szCs w:val="20"/>
        </w:rPr>
        <w:t> </w:t>
      </w:r>
      <w:r>
        <w:rPr>
          <w:rFonts w:ascii="Calibri" w:hAnsi="Calibri"/>
          <w:color w:val="333333"/>
          <w:sz w:val="20"/>
          <w:szCs w:val="20"/>
        </w:rPr>
        <w:t>to have no elements in common with</w:t>
      </w:r>
      <w:r>
        <w:rPr>
          <w:rStyle w:val="apple-converted-space"/>
          <w:rFonts w:ascii="Calibri" w:hAnsi="Calibri"/>
          <w:color w:val="333333"/>
          <w:sz w:val="20"/>
          <w:szCs w:val="20"/>
        </w:rPr>
        <w:t> </w:t>
      </w:r>
      <w:r>
        <w:rPr>
          <w:rStyle w:val="Emphasis"/>
          <w:rFonts w:ascii="Calibri" w:hAnsi="Calibri"/>
          <w:color w:val="333333"/>
          <w:sz w:val="20"/>
          <w:szCs w:val="20"/>
        </w:rPr>
        <w:t>E</w:t>
      </w:r>
      <w:r>
        <w:rPr>
          <w:rFonts w:ascii="Calibri" w:hAnsi="Calibri"/>
          <w:color w:val="333333"/>
          <w:sz w:val="20"/>
          <w:szCs w:val="20"/>
        </w:rPr>
        <w:t>, any event that does not contain any even number will do. Three choices are {1,3,5} (the complement</w:t>
      </w:r>
      <w:r>
        <w:rPr>
          <w:rStyle w:val="apple-converted-space"/>
          <w:rFonts w:ascii="Calibri" w:hAnsi="Calibri"/>
          <w:color w:val="333333"/>
          <w:sz w:val="20"/>
          <w:szCs w:val="20"/>
        </w:rPr>
        <w:t> </w:t>
      </w:r>
      <w:r>
        <w:rPr>
          <w:rStyle w:val="Emphasis"/>
          <w:rFonts w:ascii="Calibri" w:hAnsi="Calibri"/>
          <w:color w:val="333333"/>
          <w:sz w:val="20"/>
          <w:szCs w:val="20"/>
        </w:rPr>
        <w:t>E</w:t>
      </w:r>
      <w:r>
        <w:rPr>
          <w:rFonts w:ascii="Calibri" w:hAnsi="Calibri"/>
          <w:color w:val="333333"/>
          <w:sz w:val="15"/>
          <w:szCs w:val="15"/>
          <w:vertAlign w:val="superscript"/>
        </w:rPr>
        <w:t>c</w:t>
      </w:r>
      <w:r>
        <w:rPr>
          <w:rFonts w:ascii="Calibri" w:hAnsi="Calibri"/>
          <w:color w:val="333333"/>
          <w:sz w:val="20"/>
          <w:szCs w:val="20"/>
        </w:rPr>
        <w:t>, the odds), {1,3}, and {5}.</w:t>
      </w:r>
    </w:p>
    <w:p w:rsidR="00AD77BB" w:rsidRDefault="00AD77BB">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p>
    <w:p w:rsidR="00AD77BB" w:rsidRDefault="00AD77BB">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p>
    <w:p w:rsidR="00AD77BB" w:rsidRDefault="00AD77BB">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p>
    <w:p w:rsidR="00AD77BB" w:rsidRDefault="00B45BA0">
      <w:pPr>
        <w:pStyle w:val="para"/>
        <w:shd w:val="clear" w:color="auto" w:fill="E3EFF7"/>
        <w:spacing w:before="0" w:beforeAutospacing="0" w:after="0" w:afterAutospacing="0" w:line="439" w:lineRule="atLeast"/>
        <w:ind w:left="300" w:right="375"/>
        <w:textAlignment w:val="baseline"/>
        <w:rPr>
          <w:rFonts w:ascii="Calibri" w:hAnsi="Calibri"/>
          <w:b/>
          <w:color w:val="333333"/>
          <w:sz w:val="36"/>
          <w:szCs w:val="28"/>
        </w:rPr>
      </w:pPr>
      <w:r>
        <w:rPr>
          <w:rFonts w:ascii="Calibri" w:hAnsi="Calibri"/>
          <w:b/>
          <w:color w:val="333333"/>
          <w:sz w:val="36"/>
          <w:szCs w:val="28"/>
        </w:rPr>
        <w:lastRenderedPageBreak/>
        <w:t>Union of Events</w:t>
      </w:r>
    </w:p>
    <w:p w:rsidR="00AD77BB" w:rsidRDefault="00B45BA0">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Definition</w:t>
      </w: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eastAsiaTheme="majorEastAsia" w:hAnsi="Georgia"/>
          <w:b/>
          <w:color w:val="333333"/>
          <w:sz w:val="20"/>
          <w:szCs w:val="20"/>
        </w:rPr>
        <w:t>union of events</w:t>
      </w:r>
      <w:r>
        <w:rPr>
          <w:rStyle w:val="apple-converted-space"/>
          <w:rFonts w:ascii="Georgia" w:hAnsi="Georgia"/>
          <w:color w:val="333333"/>
          <w:sz w:val="20"/>
          <w:szCs w:val="20"/>
        </w:rPr>
        <w:t> </w:t>
      </w:r>
      <w:r>
        <w:rPr>
          <w:rStyle w:val="Emphasis"/>
          <w:rFonts w:ascii="Georgia" w:hAnsi="Georgia"/>
          <w:color w:val="333333"/>
          <w:sz w:val="20"/>
          <w:szCs w:val="20"/>
        </w:rPr>
        <w:t>A</w:t>
      </w:r>
      <w:r>
        <w:rPr>
          <w:rStyle w:val="apple-converted-space"/>
          <w:rFonts w:ascii="Georgia" w:hAnsi="Georgia"/>
          <w:color w:val="333333"/>
          <w:sz w:val="20"/>
          <w:szCs w:val="20"/>
        </w:rPr>
        <w:t> </w:t>
      </w:r>
      <w:r>
        <w:rPr>
          <w:rStyle w:val="Emphasis"/>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rPr>
        <w:t>B</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rPr>
        <w:t>denoted</w:t>
      </w:r>
      <w:r>
        <w:rPr>
          <w:rStyle w:val="apple-converted-space"/>
          <w:rFonts w:ascii="Georgia" w:hAnsi="Georgia"/>
          <w:color w:val="333333"/>
          <w:sz w:val="20"/>
          <w:szCs w:val="20"/>
        </w:rPr>
        <w:t> </w:t>
      </w:r>
      <w:r>
        <w:rPr>
          <w:rStyle w:val="Emphasis"/>
          <w:rFonts w:ascii="Georgia" w:hAnsi="Georgia"/>
          <w:color w:val="333333"/>
          <w:sz w:val="20"/>
          <w:szCs w:val="20"/>
        </w:rPr>
        <w:t>A</w:t>
      </w:r>
      <w:r>
        <w:rPr>
          <w:rStyle w:val="apple-converted-space"/>
          <w:rFonts w:ascii="Georgia" w:hAnsi="Georgia"/>
          <w:color w:val="333333"/>
          <w:sz w:val="20"/>
          <w:szCs w:val="20"/>
        </w:rPr>
        <w:t> </w:t>
      </w:r>
      <w:r>
        <w:rPr>
          <w:rFonts w:ascii="Cambria Math" w:hAnsi="Cambria Math" w:cs="Cambria Math"/>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rPr>
        <w:t>B</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rPr>
        <w:t>is the collection of all outcomes that are elements of one or the other of the sets</w:t>
      </w:r>
      <w:r>
        <w:rPr>
          <w:rStyle w:val="apple-converted-space"/>
          <w:rFonts w:ascii="Georgia" w:hAnsi="Georgia"/>
          <w:color w:val="333333"/>
          <w:sz w:val="20"/>
          <w:szCs w:val="20"/>
        </w:rPr>
        <w:t> </w:t>
      </w:r>
      <w:r>
        <w:rPr>
          <w:rStyle w:val="Emphasis"/>
          <w:rFonts w:ascii="Georgia" w:hAnsi="Georgia"/>
          <w:color w:val="333333"/>
          <w:sz w:val="20"/>
          <w:szCs w:val="20"/>
        </w:rPr>
        <w:t>A</w:t>
      </w:r>
      <w:r>
        <w:rPr>
          <w:rStyle w:val="apple-converted-space"/>
          <w:rFonts w:ascii="Georgia" w:hAnsi="Georgia"/>
          <w:color w:val="333333"/>
          <w:sz w:val="20"/>
          <w:szCs w:val="20"/>
        </w:rPr>
        <w:t> </w:t>
      </w:r>
      <w:r>
        <w:rPr>
          <w:rStyle w:val="Emphasis"/>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rPr>
        <w:t>B</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rPr>
        <w:t>or of both of them. It corresponds to combining descriptions of the two events using the word “or.”</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0"/>
          <w:szCs w:val="20"/>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To say that the event</w:t>
      </w:r>
      <w:r>
        <w:rPr>
          <w:rStyle w:val="apple-converted-space"/>
          <w:rFonts w:ascii="Georgia" w:hAnsi="Georgia"/>
          <w:color w:val="333333"/>
          <w:sz w:val="20"/>
          <w:szCs w:val="20"/>
        </w:rPr>
        <w:t> </w:t>
      </w:r>
      <w:r>
        <w:rPr>
          <w:rStyle w:val="Emphasis"/>
          <w:rFonts w:ascii="Georgia" w:hAnsi="Georgia"/>
          <w:color w:val="333333"/>
          <w:sz w:val="20"/>
          <w:szCs w:val="20"/>
        </w:rPr>
        <w:t>A</w:t>
      </w:r>
      <w:r>
        <w:rPr>
          <w:rStyle w:val="apple-converted-space"/>
          <w:rFonts w:ascii="Georgia" w:hAnsi="Georgia"/>
          <w:color w:val="333333"/>
          <w:sz w:val="20"/>
          <w:szCs w:val="20"/>
        </w:rPr>
        <w:t> </w:t>
      </w:r>
      <w:r>
        <w:rPr>
          <w:rFonts w:ascii="Cambria Math" w:hAnsi="Cambria Math" w:cs="Cambria Math"/>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rPr>
        <w:t>B</w:t>
      </w:r>
      <w:r>
        <w:rPr>
          <w:rStyle w:val="apple-converted-space"/>
          <w:rFonts w:ascii="Georgia" w:hAnsi="Georgia"/>
          <w:color w:val="333333"/>
          <w:sz w:val="20"/>
          <w:szCs w:val="20"/>
        </w:rPr>
        <w:t> </w:t>
      </w:r>
      <w:r>
        <w:rPr>
          <w:rFonts w:ascii="Georgia" w:hAnsi="Georgia"/>
          <w:color w:val="333333"/>
          <w:sz w:val="20"/>
          <w:szCs w:val="20"/>
        </w:rPr>
        <w:t>occurred means that on a particular trial of the experiment either</w:t>
      </w:r>
      <w:r>
        <w:rPr>
          <w:rStyle w:val="apple-converted-space"/>
          <w:rFonts w:ascii="Georgia" w:hAnsi="Georgia"/>
          <w:color w:val="333333"/>
          <w:sz w:val="20"/>
          <w:szCs w:val="20"/>
        </w:rPr>
        <w:t> </w:t>
      </w:r>
      <w:r>
        <w:rPr>
          <w:rStyle w:val="Emphasis"/>
          <w:rFonts w:ascii="Georgia" w:hAnsi="Georgia"/>
          <w:color w:val="333333"/>
          <w:sz w:val="20"/>
          <w:szCs w:val="20"/>
        </w:rPr>
        <w:t>A</w:t>
      </w:r>
      <w:r>
        <w:rPr>
          <w:rStyle w:val="apple-converted-space"/>
          <w:rFonts w:ascii="Georgia" w:hAnsi="Georgia"/>
          <w:color w:val="333333"/>
          <w:sz w:val="20"/>
          <w:szCs w:val="20"/>
        </w:rPr>
        <w:t> </w:t>
      </w:r>
      <w:r>
        <w:rPr>
          <w:rFonts w:ascii="Georgia" w:hAnsi="Georgia"/>
          <w:color w:val="333333"/>
          <w:sz w:val="20"/>
          <w:szCs w:val="20"/>
        </w:rPr>
        <w:t>or</w:t>
      </w:r>
      <w:r>
        <w:rPr>
          <w:rStyle w:val="apple-converted-space"/>
          <w:rFonts w:ascii="Georgia" w:hAnsi="Georgia"/>
          <w:color w:val="333333"/>
          <w:sz w:val="20"/>
          <w:szCs w:val="20"/>
        </w:rPr>
        <w:t> </w:t>
      </w:r>
      <w:r>
        <w:rPr>
          <w:rStyle w:val="Emphasis"/>
          <w:rFonts w:ascii="Georgia" w:hAnsi="Georgia"/>
          <w:color w:val="333333"/>
          <w:sz w:val="20"/>
          <w:szCs w:val="20"/>
        </w:rPr>
        <w:t>B</w:t>
      </w:r>
      <w:r>
        <w:rPr>
          <w:rStyle w:val="apple-converted-space"/>
          <w:rFonts w:ascii="Georgia" w:hAnsi="Georgia"/>
          <w:color w:val="333333"/>
          <w:sz w:val="20"/>
          <w:szCs w:val="20"/>
        </w:rPr>
        <w:t> </w:t>
      </w:r>
      <w:r>
        <w:rPr>
          <w:rFonts w:ascii="Georgia" w:hAnsi="Georgia"/>
          <w:color w:val="333333"/>
          <w:sz w:val="20"/>
          <w:szCs w:val="20"/>
        </w:rPr>
        <w:t>occurred (or both did). A visual representation of the union of events</w:t>
      </w:r>
      <w:r>
        <w:rPr>
          <w:rStyle w:val="apple-converted-space"/>
          <w:rFonts w:ascii="Georgia" w:hAnsi="Georgia"/>
          <w:color w:val="333333"/>
          <w:sz w:val="20"/>
          <w:szCs w:val="20"/>
        </w:rPr>
        <w:t> </w:t>
      </w:r>
      <w:r>
        <w:rPr>
          <w:rStyle w:val="Emphasis"/>
          <w:rFonts w:ascii="Georgia" w:hAnsi="Georgia"/>
          <w:color w:val="333333"/>
          <w:sz w:val="20"/>
          <w:szCs w:val="20"/>
        </w:rPr>
        <w:t>A</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rPr>
        <w:t>B</w:t>
      </w:r>
      <w:r>
        <w:rPr>
          <w:rStyle w:val="apple-converted-space"/>
          <w:rFonts w:ascii="Georgia" w:hAnsi="Georgia"/>
          <w:color w:val="333333"/>
          <w:sz w:val="20"/>
          <w:szCs w:val="20"/>
        </w:rPr>
        <w:t> </w:t>
      </w:r>
      <w:r>
        <w:rPr>
          <w:rFonts w:ascii="Georgia" w:hAnsi="Georgia"/>
          <w:color w:val="333333"/>
          <w:sz w:val="20"/>
          <w:szCs w:val="20"/>
        </w:rPr>
        <w:t>in a sample space</w:t>
      </w:r>
      <w:r>
        <w:rPr>
          <w:rStyle w:val="apple-converted-space"/>
          <w:rFonts w:ascii="Georgia" w:hAnsi="Georgia"/>
          <w:color w:val="333333"/>
          <w:sz w:val="20"/>
          <w:szCs w:val="20"/>
        </w:rPr>
        <w:t> </w:t>
      </w:r>
      <w:r>
        <w:rPr>
          <w:rStyle w:val="Emphasis"/>
          <w:rFonts w:ascii="Georgia" w:hAnsi="Georgia"/>
          <w:color w:val="333333"/>
          <w:sz w:val="20"/>
          <w:szCs w:val="20"/>
        </w:rPr>
        <w:t>S</w:t>
      </w:r>
      <w:r>
        <w:rPr>
          <w:rStyle w:val="apple-converted-space"/>
          <w:rFonts w:ascii="Georgia" w:hAnsi="Georgia"/>
          <w:color w:val="333333"/>
          <w:sz w:val="20"/>
          <w:szCs w:val="20"/>
        </w:rPr>
        <w:t> </w:t>
      </w:r>
      <w:r>
        <w:rPr>
          <w:rFonts w:ascii="Georgia" w:hAnsi="Georgia"/>
          <w:color w:val="333333"/>
          <w:sz w:val="20"/>
          <w:szCs w:val="20"/>
        </w:rPr>
        <w:t>is given in</w:t>
      </w:r>
      <w:r>
        <w:rPr>
          <w:rStyle w:val="apple-converted-space"/>
          <w:rFonts w:ascii="Georgia" w:hAnsi="Georgia"/>
          <w:color w:val="333333"/>
          <w:sz w:val="20"/>
          <w:szCs w:val="20"/>
        </w:rPr>
        <w:t> </w:t>
      </w:r>
      <w:r>
        <w:rPr>
          <w:rFonts w:ascii="Georgia" w:hAnsi="Georgia"/>
          <w:color w:val="2689C6"/>
          <w:sz w:val="20"/>
          <w:szCs w:val="20"/>
        </w:rPr>
        <w:t>Figure 3.5 "The Union of Events "</w:t>
      </w:r>
      <w:r>
        <w:rPr>
          <w:rFonts w:ascii="Georgia" w:hAnsi="Georgia"/>
          <w:color w:val="333333"/>
          <w:sz w:val="20"/>
          <w:szCs w:val="20"/>
        </w:rPr>
        <w:t>. The union corresponds to the shaded region.</w:t>
      </w:r>
    </w:p>
    <w:p w:rsidR="00AD77BB" w:rsidRDefault="00AD77BB">
      <w:pPr>
        <w:pStyle w:val="para"/>
        <w:shd w:val="clear" w:color="auto" w:fill="FFFFFF"/>
        <w:spacing w:before="0" w:beforeAutospacing="0" w:after="0" w:afterAutospacing="0" w:line="360" w:lineRule="auto"/>
        <w:textAlignment w:val="baseline"/>
        <w:rPr>
          <w:rStyle w:val="title-prefix"/>
          <w:i/>
          <w:iCs/>
          <w:color w:val="000000"/>
          <w:sz w:val="17"/>
          <w:szCs w:val="17"/>
          <w:shd w:val="clear" w:color="auto" w:fill="FFFFFF"/>
        </w:rPr>
      </w:pPr>
    </w:p>
    <w:p w:rsidR="00AD77BB" w:rsidRDefault="00B45BA0">
      <w:pPr>
        <w:pStyle w:val="para"/>
        <w:shd w:val="clear" w:color="auto" w:fill="FFFFFF"/>
        <w:spacing w:before="0" w:beforeAutospacing="0" w:after="0" w:afterAutospacing="0" w:line="360" w:lineRule="auto"/>
        <w:textAlignment w:val="baseline"/>
        <w:rPr>
          <w:color w:val="333333"/>
          <w:sz w:val="20"/>
          <w:szCs w:val="20"/>
        </w:rPr>
      </w:pPr>
      <w:r>
        <w:rPr>
          <w:rStyle w:val="title-prefix"/>
          <w:rFonts w:ascii="Georgia" w:hAnsi="Georgia"/>
          <w:i/>
          <w:iCs/>
          <w:color w:val="000000"/>
          <w:sz w:val="17"/>
          <w:szCs w:val="17"/>
          <w:shd w:val="clear" w:color="auto" w:fill="FFFFFF"/>
        </w:rPr>
        <w:t>Figure 3.5</w:t>
      </w:r>
      <w:r>
        <w:rPr>
          <w:rStyle w:val="apple-converted-space"/>
          <w:rFonts w:ascii="Georgia" w:hAnsi="Georgia"/>
          <w:i/>
          <w:iCs/>
          <w:color w:val="BB9966"/>
          <w:sz w:val="17"/>
          <w:szCs w:val="17"/>
          <w:shd w:val="clear" w:color="auto" w:fill="FFFFFF"/>
        </w:rPr>
        <w:t> </w:t>
      </w:r>
      <w:r>
        <w:rPr>
          <w:rFonts w:ascii="Georgia" w:hAnsi="Georgia"/>
          <w:i/>
          <w:iCs/>
          <w:color w:val="BB9966"/>
          <w:sz w:val="17"/>
          <w:szCs w:val="17"/>
          <w:shd w:val="clear" w:color="auto" w:fill="FFFFFF"/>
        </w:rPr>
        <w:t>The Union of Events</w:t>
      </w:r>
      <w:r>
        <w:rPr>
          <w:rStyle w:val="apple-converted-space"/>
          <w:rFonts w:ascii="Georgia" w:hAnsi="Georgia"/>
          <w:i/>
          <w:iCs/>
          <w:color w:val="BB9966"/>
          <w:sz w:val="17"/>
          <w:szCs w:val="17"/>
          <w:shd w:val="clear" w:color="auto" w:fill="FFFFFF"/>
        </w:rPr>
        <w:t> </w:t>
      </w:r>
      <w:r>
        <w:rPr>
          <w:rStyle w:val="Emphasis"/>
          <w:rFonts w:ascii="Georgia" w:hAnsi="Georgia"/>
          <w:color w:val="BB9966"/>
          <w:sz w:val="17"/>
          <w:szCs w:val="17"/>
          <w:shd w:val="clear" w:color="auto" w:fill="FFFFFF"/>
        </w:rPr>
        <w:t>A</w:t>
      </w:r>
      <w:r>
        <w:rPr>
          <w:rStyle w:val="apple-converted-space"/>
          <w:rFonts w:ascii="Georgia" w:hAnsi="Georgia"/>
          <w:i/>
          <w:iCs/>
          <w:color w:val="BB9966"/>
          <w:sz w:val="17"/>
          <w:szCs w:val="17"/>
          <w:shd w:val="clear" w:color="auto" w:fill="FFFFFF"/>
        </w:rPr>
        <w:t> </w:t>
      </w:r>
      <w:r>
        <w:rPr>
          <w:rFonts w:ascii="Georgia" w:hAnsi="Georgia"/>
          <w:i/>
          <w:iCs/>
          <w:color w:val="BB9966"/>
          <w:sz w:val="17"/>
          <w:szCs w:val="17"/>
          <w:shd w:val="clear" w:color="auto" w:fill="FFFFFF"/>
        </w:rPr>
        <w:t>and</w:t>
      </w:r>
      <w:r>
        <w:rPr>
          <w:rStyle w:val="apple-converted-space"/>
          <w:rFonts w:ascii="Georgia" w:hAnsi="Georgia"/>
          <w:i/>
          <w:iCs/>
          <w:color w:val="BB9966"/>
          <w:sz w:val="17"/>
          <w:szCs w:val="17"/>
          <w:shd w:val="clear" w:color="auto" w:fill="FFFFFF"/>
        </w:rPr>
        <w:t> </w:t>
      </w:r>
      <w:r>
        <w:rPr>
          <w:rStyle w:val="Emphasis"/>
          <w:rFonts w:ascii="Georgia" w:hAnsi="Georgia"/>
          <w:color w:val="BB9966"/>
          <w:sz w:val="17"/>
          <w:szCs w:val="17"/>
          <w:shd w:val="clear" w:color="auto" w:fill="FFFFFF"/>
        </w:rPr>
        <w:t>B</w:t>
      </w:r>
    </w:p>
    <w:p w:rsidR="00AD77BB" w:rsidRDefault="00B45BA0">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noProof/>
        </w:rPr>
        <w:drawing>
          <wp:inline distT="0" distB="0" distL="0" distR="0" wp14:anchorId="6DBCE9D9" wp14:editId="03642AB6">
            <wp:extent cx="3105150" cy="2076450"/>
            <wp:effectExtent l="0" t="0" r="0" b="0"/>
            <wp:docPr id="83" name="Picture 95" descr="http://images.flatworldknowledge.com/shafer/shafer-fig0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images.flatworldknowledge.com/shafer/shafer-fig03_005.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105150" cy="2076450"/>
                    </a:xfrm>
                    <a:prstGeom prst="rect">
                      <a:avLst/>
                    </a:prstGeom>
                    <a:noFill/>
                    <a:ln>
                      <a:noFill/>
                    </a:ln>
                  </pic:spPr>
                </pic:pic>
              </a:graphicData>
            </a:graphic>
          </wp:inline>
        </w:drawing>
      </w:r>
    </w:p>
    <w:p w:rsidR="00AD77BB" w:rsidRDefault="00AD77BB">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15</w:t>
      </w:r>
    </w:p>
    <w:p w:rsidR="00AD77BB" w:rsidRDefault="00B45BA0">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In the experiment of rolling a single die, find the union of the events</w:t>
      </w:r>
      <w:r>
        <w:rPr>
          <w:rStyle w:val="apple-converted-space"/>
          <w:rFonts w:ascii="Calibri" w:hAnsi="Calibri"/>
          <w:color w:val="333333"/>
          <w:sz w:val="20"/>
          <w:szCs w:val="20"/>
        </w:rPr>
        <w:t> </w:t>
      </w:r>
      <w:r>
        <w:rPr>
          <w:rStyle w:val="Emphasis"/>
          <w:rFonts w:ascii="Calibri" w:hAnsi="Calibri"/>
          <w:color w:val="333333"/>
          <w:sz w:val="20"/>
          <w:szCs w:val="20"/>
        </w:rPr>
        <w:t>E</w:t>
      </w:r>
      <w:r>
        <w:rPr>
          <w:rFonts w:ascii="Calibri" w:hAnsi="Calibri"/>
          <w:color w:val="333333"/>
          <w:sz w:val="20"/>
          <w:szCs w:val="20"/>
        </w:rPr>
        <w:t>: “the number rolled is even” and</w:t>
      </w:r>
      <w:r>
        <w:rPr>
          <w:rStyle w:val="apple-converted-space"/>
          <w:rFonts w:ascii="Calibri" w:hAnsi="Calibri"/>
          <w:color w:val="333333"/>
          <w:sz w:val="20"/>
          <w:szCs w:val="20"/>
        </w:rPr>
        <w:t> </w:t>
      </w:r>
      <w:r>
        <w:rPr>
          <w:rStyle w:val="Emphasis"/>
          <w:rFonts w:ascii="Calibri" w:hAnsi="Calibri"/>
          <w:color w:val="333333"/>
          <w:sz w:val="20"/>
          <w:szCs w:val="20"/>
        </w:rPr>
        <w:t>T</w:t>
      </w:r>
      <w:r>
        <w:rPr>
          <w:rFonts w:ascii="Calibri" w:hAnsi="Calibri"/>
          <w:color w:val="333333"/>
          <w:sz w:val="20"/>
          <w:szCs w:val="20"/>
        </w:rPr>
        <w:t>: “the number rolled is greater than two.”</w:t>
      </w:r>
    </w:p>
    <w:p w:rsidR="00AD77BB" w:rsidRDefault="00B45BA0">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Solution:</w:t>
      </w:r>
    </w:p>
    <w:p w:rsidR="00AD77BB" w:rsidRDefault="00B45BA0">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Since the outcomes that are in either</w:t>
      </w:r>
      <w:r>
        <w:rPr>
          <w:rStyle w:val="apple-converted-space"/>
          <w:rFonts w:ascii="Calibri" w:hAnsi="Calibri"/>
          <w:color w:val="333333"/>
          <w:sz w:val="20"/>
          <w:szCs w:val="20"/>
        </w:rPr>
        <w:t> </w:t>
      </w:r>
      <w:r>
        <w:rPr>
          <w:rStyle w:val="mi"/>
          <w:rFonts w:ascii="MathJax_Math" w:hAnsi="MathJax_Math"/>
          <w:b/>
          <w:i/>
          <w:iCs/>
          <w:color w:val="333333"/>
          <w:sz w:val="15"/>
          <w:szCs w:val="15"/>
        </w:rPr>
        <w:t>E</w:t>
      </w:r>
      <w:r>
        <w:rPr>
          <w:rStyle w:val="mo"/>
          <w:rFonts w:ascii="MathJax_Main" w:hAnsi="MathJax_Main"/>
          <w:b/>
          <w:color w:val="333333"/>
          <w:sz w:val="15"/>
          <w:szCs w:val="15"/>
        </w:rPr>
        <w:t>={</w:t>
      </w:r>
      <w:r>
        <w:rPr>
          <w:rStyle w:val="mn"/>
          <w:rFonts w:ascii="MathJax_Main" w:hAnsi="MathJax_Main"/>
          <w:b/>
          <w:color w:val="333333"/>
          <w:sz w:val="15"/>
          <w:szCs w:val="15"/>
        </w:rPr>
        <w:t>2,4,6</w:t>
      </w:r>
      <w:r>
        <w:rPr>
          <w:rStyle w:val="mo"/>
          <w:rFonts w:ascii="MathJax_Main" w:hAnsi="MathJax_Main"/>
          <w:b/>
          <w:color w:val="333333"/>
          <w:sz w:val="15"/>
          <w:szCs w:val="15"/>
        </w:rPr>
        <w:t>}</w:t>
      </w:r>
      <w:r>
        <w:rPr>
          <w:rStyle w:val="apple-converted-space"/>
          <w:rFonts w:ascii="Calibri" w:hAnsi="Calibri"/>
          <w:color w:val="333333"/>
          <w:sz w:val="20"/>
          <w:szCs w:val="20"/>
        </w:rPr>
        <w:t> </w:t>
      </w:r>
      <w:r>
        <w:rPr>
          <w:rFonts w:ascii="Calibri" w:hAnsi="Calibri"/>
          <w:color w:val="333333"/>
          <w:sz w:val="20"/>
          <w:szCs w:val="20"/>
        </w:rPr>
        <w:t>or</w:t>
      </w:r>
      <w:r>
        <w:rPr>
          <w:rStyle w:val="apple-converted-space"/>
          <w:rFonts w:ascii="Calibri" w:hAnsi="Calibri"/>
          <w:color w:val="333333"/>
          <w:sz w:val="20"/>
          <w:szCs w:val="20"/>
        </w:rPr>
        <w:t> </w:t>
      </w:r>
      <w:r>
        <w:rPr>
          <w:rStyle w:val="mi"/>
          <w:rFonts w:ascii="MathJax_Math" w:hAnsi="MathJax_Math"/>
          <w:b/>
          <w:i/>
          <w:iCs/>
          <w:color w:val="333333"/>
          <w:sz w:val="15"/>
          <w:szCs w:val="15"/>
        </w:rPr>
        <w:t>T</w:t>
      </w:r>
      <w:r>
        <w:rPr>
          <w:rStyle w:val="mo"/>
          <w:rFonts w:ascii="MathJax_Main" w:hAnsi="MathJax_Main"/>
          <w:b/>
          <w:color w:val="333333"/>
          <w:sz w:val="15"/>
          <w:szCs w:val="15"/>
        </w:rPr>
        <w:t>={</w:t>
      </w:r>
      <w:r>
        <w:rPr>
          <w:rStyle w:val="mn"/>
          <w:rFonts w:ascii="MathJax_Main" w:hAnsi="MathJax_Main"/>
          <w:b/>
          <w:color w:val="333333"/>
          <w:sz w:val="15"/>
          <w:szCs w:val="15"/>
        </w:rPr>
        <w:t>3,4,5,6</w:t>
      </w:r>
      <w:r>
        <w:rPr>
          <w:rStyle w:val="mo"/>
          <w:rFonts w:ascii="MathJax_Main" w:hAnsi="MathJax_Main"/>
          <w:b/>
          <w:color w:val="333333"/>
          <w:sz w:val="15"/>
          <w:szCs w:val="15"/>
        </w:rPr>
        <w:t>}</w:t>
      </w:r>
      <w:r>
        <w:rPr>
          <w:rStyle w:val="apple-converted-space"/>
          <w:rFonts w:ascii="Calibri" w:hAnsi="Calibri"/>
          <w:color w:val="333333"/>
          <w:sz w:val="20"/>
          <w:szCs w:val="20"/>
        </w:rPr>
        <w:t> </w:t>
      </w:r>
      <w:r>
        <w:rPr>
          <w:rFonts w:ascii="Calibri" w:hAnsi="Calibri"/>
          <w:color w:val="333333"/>
          <w:sz w:val="20"/>
          <w:szCs w:val="20"/>
        </w:rPr>
        <w:t>(or both) are 2, 3, 4, 5, and 6,</w:t>
      </w:r>
      <w:r>
        <w:rPr>
          <w:rStyle w:val="apple-converted-space"/>
          <w:rFonts w:ascii="Calibri" w:hAnsi="Calibri"/>
          <w:color w:val="333333"/>
          <w:sz w:val="20"/>
          <w:szCs w:val="20"/>
        </w:rPr>
        <w:t> </w:t>
      </w:r>
      <w:r>
        <w:rPr>
          <w:rStyle w:val="mi"/>
          <w:rFonts w:ascii="MathJax_Math" w:hAnsi="MathJax_Math"/>
          <w:b/>
          <w:i/>
          <w:iCs/>
          <w:color w:val="333333"/>
          <w:sz w:val="15"/>
          <w:szCs w:val="15"/>
        </w:rPr>
        <w:t>E</w:t>
      </w:r>
      <w:r>
        <w:rPr>
          <w:rStyle w:val="mo"/>
          <w:rFonts w:ascii="Cambria Math" w:hAnsi="Cambria Math" w:cs="Cambria Math"/>
          <w:color w:val="333333"/>
          <w:sz w:val="15"/>
          <w:szCs w:val="15"/>
        </w:rPr>
        <w:t>∪</w:t>
      </w:r>
      <w:r>
        <w:rPr>
          <w:rStyle w:val="mi"/>
          <w:rFonts w:ascii="MathJax_Math" w:hAnsi="MathJax_Math"/>
          <w:b/>
          <w:i/>
          <w:iCs/>
          <w:color w:val="333333"/>
          <w:sz w:val="15"/>
          <w:szCs w:val="15"/>
        </w:rPr>
        <w:t>T</w:t>
      </w:r>
      <w:r>
        <w:rPr>
          <w:rStyle w:val="mo"/>
          <w:rFonts w:ascii="MathJax_Main" w:hAnsi="MathJax_Main"/>
          <w:color w:val="333333"/>
          <w:sz w:val="15"/>
          <w:szCs w:val="15"/>
        </w:rPr>
        <w:t>=</w:t>
      </w:r>
      <w:r>
        <w:rPr>
          <w:rStyle w:val="mo"/>
          <w:rFonts w:ascii="MathJax_Main" w:hAnsi="MathJax_Main"/>
          <w:b/>
          <w:color w:val="333333"/>
          <w:sz w:val="15"/>
          <w:szCs w:val="15"/>
        </w:rPr>
        <w:t>{</w:t>
      </w:r>
      <w:r>
        <w:rPr>
          <w:rStyle w:val="mn"/>
          <w:rFonts w:ascii="MathJax_Main" w:hAnsi="MathJax_Main"/>
          <w:b/>
          <w:color w:val="333333"/>
          <w:sz w:val="15"/>
          <w:szCs w:val="15"/>
        </w:rPr>
        <w:t>2,3,4,5,6</w:t>
      </w:r>
      <w:r>
        <w:rPr>
          <w:rStyle w:val="mo"/>
          <w:rFonts w:ascii="MathJax_Main" w:hAnsi="MathJax_Main"/>
          <w:b/>
          <w:color w:val="333333"/>
          <w:sz w:val="15"/>
          <w:szCs w:val="15"/>
        </w:rPr>
        <w:t>}.</w:t>
      </w:r>
      <w:r>
        <w:rPr>
          <w:rStyle w:val="apple-converted-space"/>
          <w:rFonts w:ascii="Calibri" w:hAnsi="Calibri"/>
          <w:b/>
          <w:color w:val="333333"/>
          <w:sz w:val="20"/>
          <w:szCs w:val="20"/>
        </w:rPr>
        <w:t> </w:t>
      </w:r>
      <w:r>
        <w:rPr>
          <w:rFonts w:ascii="Calibri" w:hAnsi="Calibri"/>
          <w:color w:val="333333"/>
          <w:sz w:val="20"/>
          <w:szCs w:val="20"/>
        </w:rPr>
        <w:t>Note that an outcome such as 4 that is in both sets is still listed only once (although strictly speaking it is not incorrect to list it twice).</w:t>
      </w:r>
    </w:p>
    <w:p w:rsidR="00AD77BB" w:rsidRDefault="00B45BA0">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In words the union is described by “the number rolled is even or is greater than two.” Every number between one and six except the number one is either even or is greater than two, corresponding to</w:t>
      </w:r>
      <w:r>
        <w:rPr>
          <w:rStyle w:val="apple-converted-space"/>
          <w:rFonts w:ascii="Calibri" w:hAnsi="Calibri"/>
          <w:color w:val="333333"/>
          <w:sz w:val="20"/>
          <w:szCs w:val="20"/>
        </w:rPr>
        <w:t> </w:t>
      </w:r>
      <w:r>
        <w:rPr>
          <w:rStyle w:val="Emphasis"/>
          <w:rFonts w:ascii="Calibri" w:hAnsi="Calibri"/>
          <w:color w:val="333333"/>
          <w:sz w:val="20"/>
          <w:szCs w:val="20"/>
        </w:rPr>
        <w:t>E</w:t>
      </w:r>
      <w:r>
        <w:rPr>
          <w:rStyle w:val="apple-converted-space"/>
          <w:rFonts w:ascii="Calibri" w:hAnsi="Calibri"/>
          <w:color w:val="333333"/>
          <w:sz w:val="20"/>
          <w:szCs w:val="20"/>
        </w:rPr>
        <w:t> </w:t>
      </w:r>
      <w:r>
        <w:rPr>
          <w:rFonts w:ascii="Cambria Math" w:hAnsi="Cambria Math" w:cs="Cambria Math"/>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T</w:t>
      </w:r>
      <w:r>
        <w:rPr>
          <w:rStyle w:val="apple-converted-space"/>
          <w:rFonts w:ascii="Calibri" w:hAnsi="Calibri"/>
          <w:color w:val="333333"/>
          <w:sz w:val="20"/>
          <w:szCs w:val="20"/>
        </w:rPr>
        <w:t> </w:t>
      </w:r>
      <w:r>
        <w:rPr>
          <w:rFonts w:ascii="Calibri" w:hAnsi="Calibri"/>
          <w:color w:val="333333"/>
          <w:sz w:val="20"/>
          <w:szCs w:val="20"/>
        </w:rPr>
        <w:t>given above.</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16</w:t>
      </w:r>
    </w:p>
    <w:p w:rsidR="00AD77BB" w:rsidRDefault="00B45BA0">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lastRenderedPageBreak/>
        <w:t>A two-child family is selected at random. Let</w:t>
      </w:r>
      <w:r>
        <w:rPr>
          <w:rStyle w:val="apple-converted-space"/>
          <w:rFonts w:ascii="Calibri" w:hAnsi="Calibri"/>
          <w:color w:val="333333"/>
          <w:sz w:val="20"/>
          <w:szCs w:val="20"/>
        </w:rPr>
        <w:t> </w:t>
      </w:r>
      <w:r>
        <w:rPr>
          <w:rStyle w:val="Emphasis"/>
          <w:rFonts w:ascii="Calibri" w:hAnsi="Calibri"/>
          <w:color w:val="333333"/>
          <w:sz w:val="20"/>
          <w:szCs w:val="20"/>
        </w:rPr>
        <w:t>B</w:t>
      </w:r>
      <w:r>
        <w:rPr>
          <w:rStyle w:val="apple-converted-space"/>
          <w:rFonts w:ascii="Calibri" w:hAnsi="Calibri"/>
          <w:color w:val="333333"/>
          <w:sz w:val="20"/>
          <w:szCs w:val="20"/>
        </w:rPr>
        <w:t> </w:t>
      </w:r>
      <w:r>
        <w:rPr>
          <w:rFonts w:ascii="Calibri" w:hAnsi="Calibri"/>
          <w:color w:val="333333"/>
          <w:sz w:val="20"/>
          <w:szCs w:val="20"/>
        </w:rPr>
        <w:t>denote the event that at least one child is a boy, let</w:t>
      </w:r>
      <w:r>
        <w:rPr>
          <w:rStyle w:val="apple-converted-space"/>
          <w:rFonts w:ascii="Calibri" w:hAnsi="Calibri"/>
          <w:color w:val="333333"/>
          <w:sz w:val="20"/>
          <w:szCs w:val="20"/>
        </w:rPr>
        <w:t> </w:t>
      </w:r>
      <w:r>
        <w:rPr>
          <w:rStyle w:val="Emphasis"/>
          <w:rFonts w:ascii="Calibri" w:hAnsi="Calibri"/>
          <w:color w:val="333333"/>
          <w:sz w:val="20"/>
          <w:szCs w:val="20"/>
        </w:rPr>
        <w:t>D</w:t>
      </w:r>
      <w:r>
        <w:rPr>
          <w:rStyle w:val="apple-converted-space"/>
          <w:rFonts w:ascii="Calibri" w:hAnsi="Calibri"/>
          <w:color w:val="333333"/>
          <w:sz w:val="20"/>
          <w:szCs w:val="20"/>
        </w:rPr>
        <w:t> </w:t>
      </w:r>
      <w:r>
        <w:rPr>
          <w:rFonts w:ascii="Calibri" w:hAnsi="Calibri"/>
          <w:color w:val="333333"/>
          <w:sz w:val="20"/>
          <w:szCs w:val="20"/>
        </w:rPr>
        <w:t>denote the event that the genders of the two children differ, and let</w:t>
      </w:r>
      <w:r>
        <w:rPr>
          <w:rStyle w:val="apple-converted-space"/>
          <w:rFonts w:ascii="Calibri" w:hAnsi="Calibri"/>
          <w:color w:val="333333"/>
          <w:sz w:val="20"/>
          <w:szCs w:val="20"/>
        </w:rPr>
        <w:t> </w:t>
      </w:r>
      <w:r>
        <w:rPr>
          <w:rStyle w:val="Emphasis"/>
          <w:rFonts w:ascii="Calibri" w:hAnsi="Calibri"/>
          <w:color w:val="333333"/>
          <w:sz w:val="20"/>
          <w:szCs w:val="20"/>
        </w:rPr>
        <w:t>M</w:t>
      </w:r>
      <w:r>
        <w:rPr>
          <w:rStyle w:val="apple-converted-space"/>
          <w:rFonts w:ascii="Calibri" w:hAnsi="Calibri"/>
          <w:color w:val="333333"/>
          <w:sz w:val="20"/>
          <w:szCs w:val="20"/>
        </w:rPr>
        <w:t> </w:t>
      </w:r>
      <w:r>
        <w:rPr>
          <w:rFonts w:ascii="Calibri" w:hAnsi="Calibri"/>
          <w:color w:val="333333"/>
          <w:sz w:val="20"/>
          <w:szCs w:val="20"/>
        </w:rPr>
        <w:t>denote the event that the genders of the two children match. Find</w:t>
      </w:r>
      <w:r>
        <w:rPr>
          <w:rStyle w:val="apple-converted-space"/>
          <w:rFonts w:ascii="Calibri" w:hAnsi="Calibri"/>
          <w:color w:val="333333"/>
          <w:sz w:val="20"/>
          <w:szCs w:val="20"/>
        </w:rPr>
        <w:t> </w:t>
      </w:r>
      <w:r>
        <w:rPr>
          <w:rStyle w:val="Emphasis"/>
          <w:rFonts w:ascii="Calibri" w:hAnsi="Calibri"/>
          <w:color w:val="333333"/>
          <w:sz w:val="20"/>
          <w:szCs w:val="20"/>
        </w:rPr>
        <w:t>B</w:t>
      </w:r>
      <w:r>
        <w:rPr>
          <w:rStyle w:val="apple-converted-space"/>
          <w:rFonts w:ascii="Calibri" w:hAnsi="Calibri"/>
          <w:color w:val="333333"/>
          <w:sz w:val="20"/>
          <w:szCs w:val="20"/>
        </w:rPr>
        <w:t> </w:t>
      </w:r>
      <w:r>
        <w:rPr>
          <w:rFonts w:ascii="Cambria Math" w:hAnsi="Cambria Math" w:cs="Cambria Math"/>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 xml:space="preserve">D </w:t>
      </w:r>
      <w:r>
        <w:rPr>
          <w:rFonts w:ascii="Calibri" w:hAnsi="Calibri"/>
          <w:color w:val="333333"/>
          <w:sz w:val="20"/>
          <w:szCs w:val="20"/>
        </w:rPr>
        <w:t>and</w:t>
      </w:r>
      <w:r>
        <w:rPr>
          <w:rStyle w:val="apple-converted-space"/>
          <w:rFonts w:ascii="Calibri" w:hAnsi="Calibri"/>
          <w:color w:val="333333"/>
          <w:sz w:val="20"/>
          <w:szCs w:val="20"/>
        </w:rPr>
        <w:t> </w:t>
      </w:r>
      <w:r>
        <w:rPr>
          <w:rStyle w:val="mi"/>
          <w:rFonts w:ascii="MathJax_Math" w:hAnsi="MathJax_Math"/>
          <w:b/>
          <w:i/>
          <w:iCs/>
          <w:color w:val="333333"/>
          <w:sz w:val="15"/>
          <w:szCs w:val="15"/>
        </w:rPr>
        <w:t xml:space="preserve">B </w:t>
      </w:r>
      <w:r>
        <w:rPr>
          <w:rStyle w:val="mo"/>
          <w:rFonts w:ascii="Cambria Math" w:hAnsi="Cambria Math" w:cs="Cambria Math"/>
          <w:b/>
          <w:color w:val="333333"/>
          <w:sz w:val="15"/>
          <w:szCs w:val="15"/>
        </w:rPr>
        <w:t xml:space="preserve">∪ </w:t>
      </w:r>
      <w:r>
        <w:rPr>
          <w:rStyle w:val="mi"/>
          <w:rFonts w:ascii="MathJax_Math" w:hAnsi="MathJax_Math"/>
          <w:b/>
          <w:i/>
          <w:iCs/>
          <w:color w:val="333333"/>
          <w:sz w:val="15"/>
          <w:szCs w:val="15"/>
        </w:rPr>
        <w:t>M</w:t>
      </w:r>
      <w:r>
        <w:rPr>
          <w:rStyle w:val="mo"/>
          <w:rFonts w:ascii="MathJax_Main" w:hAnsi="MathJax_Main"/>
          <w:b/>
          <w:color w:val="333333"/>
          <w:sz w:val="15"/>
          <w:szCs w:val="15"/>
        </w:rPr>
        <w:t>.</w:t>
      </w:r>
    </w:p>
    <w:p w:rsidR="00AD77BB" w:rsidRDefault="00B45BA0">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Solution:</w:t>
      </w:r>
    </w:p>
    <w:p w:rsidR="00AD77BB" w:rsidRDefault="00B45BA0">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A sample space for this experiment is </w:t>
      </w:r>
      <w:r>
        <w:rPr>
          <w:rFonts w:ascii="MathJax_Math" w:eastAsia="Times New Roman" w:hAnsi="MathJax_Math" w:cs="Times New Roman"/>
          <w:b/>
          <w:i/>
          <w:iCs/>
          <w:color w:val="333333"/>
          <w:sz w:val="15"/>
          <w:szCs w:val="15"/>
        </w:rPr>
        <w:t>S</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bb</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bg</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gb</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gg</w:t>
      </w:r>
      <w:r>
        <w:rPr>
          <w:rFonts w:ascii="MathJax_Main" w:eastAsia="Times New Roman" w:hAnsi="MathJax_Main" w:cs="Times New Roman"/>
          <w:color w:val="333333"/>
          <w:sz w:val="15"/>
          <w:szCs w:val="15"/>
        </w:rPr>
        <w:t>}</w:t>
      </w:r>
      <w:r>
        <w:rPr>
          <w:rFonts w:ascii="Calibri" w:eastAsia="Times New Roman" w:hAnsi="Calibri" w:cs="Times New Roman"/>
          <w:color w:val="333333"/>
          <w:sz w:val="21"/>
          <w:szCs w:val="21"/>
        </w:rPr>
        <w:t>, where the first letter denotes the gender of the firstborn child and the second letter denotes the gender of the second child. The events </w:t>
      </w:r>
      <w:r>
        <w:rPr>
          <w:rFonts w:ascii="Calibri" w:eastAsia="Times New Roman" w:hAnsi="Calibri" w:cs="Times New Roman"/>
          <w:i/>
          <w:iCs/>
          <w:color w:val="333333"/>
          <w:sz w:val="20"/>
          <w:szCs w:val="20"/>
        </w:rPr>
        <w:t>B</w:t>
      </w:r>
      <w:r>
        <w:rPr>
          <w:rFonts w:ascii="Calibri" w:eastAsia="Times New Roman" w:hAnsi="Calibri" w:cs="Times New Roman"/>
          <w:color w:val="333333"/>
          <w:sz w:val="21"/>
          <w:szCs w:val="21"/>
        </w:rPr>
        <w:t>, </w:t>
      </w:r>
      <w:r>
        <w:rPr>
          <w:rFonts w:ascii="Calibri" w:eastAsia="Times New Roman" w:hAnsi="Calibri" w:cs="Times New Roman"/>
          <w:i/>
          <w:iCs/>
          <w:color w:val="333333"/>
          <w:sz w:val="20"/>
          <w:szCs w:val="20"/>
        </w:rPr>
        <w:t>D</w:t>
      </w:r>
      <w:r>
        <w:rPr>
          <w:rFonts w:ascii="Calibri" w:eastAsia="Times New Roman" w:hAnsi="Calibri" w:cs="Times New Roman"/>
          <w:color w:val="333333"/>
          <w:sz w:val="21"/>
          <w:szCs w:val="21"/>
        </w:rPr>
        <w:t>, and </w:t>
      </w:r>
      <w:r>
        <w:rPr>
          <w:rFonts w:ascii="Calibri" w:eastAsia="Times New Roman" w:hAnsi="Calibri" w:cs="Times New Roman"/>
          <w:i/>
          <w:iCs/>
          <w:color w:val="333333"/>
          <w:sz w:val="20"/>
          <w:szCs w:val="20"/>
        </w:rPr>
        <w:t>M</w:t>
      </w:r>
      <w:r>
        <w:rPr>
          <w:rFonts w:ascii="Calibri" w:eastAsia="Times New Roman" w:hAnsi="Calibri" w:cs="Times New Roman"/>
          <w:color w:val="333333"/>
          <w:sz w:val="21"/>
          <w:szCs w:val="21"/>
        </w:rPr>
        <w:t> are</w:t>
      </w:r>
    </w:p>
    <w:p w:rsidR="00AD77BB" w:rsidRDefault="00B45BA0">
      <w:pPr>
        <w:shd w:val="clear" w:color="auto" w:fill="DAEEF3" w:themeFill="accent5" w:themeFillTint="33"/>
        <w:spacing w:line="270" w:lineRule="atLeast"/>
        <w:jc w:val="center"/>
        <w:textAlignment w:val="baseline"/>
        <w:rPr>
          <w:rFonts w:ascii="Calibri" w:eastAsia="Times New Roman" w:hAnsi="Calibri" w:cs="Times New Roman"/>
          <w:b/>
          <w:color w:val="555555"/>
          <w:sz w:val="23"/>
          <w:szCs w:val="23"/>
        </w:rPr>
      </w:pPr>
      <w:r>
        <w:rPr>
          <w:rFonts w:ascii="MathJax_Math" w:eastAsia="Times New Roman" w:hAnsi="MathJax_Math" w:cs="Times New Roman"/>
          <w:b/>
          <w:i/>
          <w:iCs/>
          <w:color w:val="555555"/>
          <w:sz w:val="18"/>
          <w:szCs w:val="18"/>
        </w:rPr>
        <w:t>B</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bb</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bg</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gb</w:t>
      </w:r>
      <w:r>
        <w:rPr>
          <w:rFonts w:ascii="MathJax_Main" w:eastAsia="Times New Roman" w:hAnsi="MathJax_Main" w:cs="Times New Roman"/>
          <w:b/>
          <w:color w:val="555555"/>
          <w:sz w:val="18"/>
          <w:szCs w:val="18"/>
        </w:rPr>
        <w:t>}</w:t>
      </w:r>
      <w:r>
        <w:rPr>
          <w:rFonts w:ascii="MathJax_Main" w:eastAsia="Times New Roman" w:hAnsi="MathJax_Main" w:cs="Times New Roman"/>
          <w:b/>
          <w:color w:val="555555"/>
          <w:sz w:val="18"/>
          <w:szCs w:val="18"/>
        </w:rPr>
        <w:t> </w:t>
      </w:r>
      <w:r>
        <w:rPr>
          <w:rFonts w:ascii="MathJax_Math" w:eastAsia="Times New Roman" w:hAnsi="MathJax_Math" w:cs="Times New Roman"/>
          <w:b/>
          <w:i/>
          <w:iCs/>
          <w:color w:val="555555"/>
          <w:sz w:val="18"/>
          <w:szCs w:val="18"/>
        </w:rPr>
        <w:t>D</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bg</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gb</w:t>
      </w:r>
      <w:r>
        <w:rPr>
          <w:rFonts w:ascii="MathJax_Main" w:eastAsia="Times New Roman" w:hAnsi="MathJax_Main" w:cs="Times New Roman"/>
          <w:b/>
          <w:color w:val="555555"/>
          <w:sz w:val="18"/>
          <w:szCs w:val="18"/>
        </w:rPr>
        <w:t>}</w:t>
      </w:r>
      <w:r>
        <w:rPr>
          <w:rFonts w:ascii="MathJax_Main" w:eastAsia="Times New Roman" w:hAnsi="MathJax_Main" w:cs="Times New Roman"/>
          <w:b/>
          <w:color w:val="555555"/>
          <w:sz w:val="18"/>
          <w:szCs w:val="18"/>
        </w:rPr>
        <w:t> </w:t>
      </w:r>
      <w:r>
        <w:rPr>
          <w:rFonts w:ascii="MathJax_Math" w:eastAsia="Times New Roman" w:hAnsi="MathJax_Math" w:cs="Times New Roman"/>
          <w:b/>
          <w:i/>
          <w:iCs/>
          <w:color w:val="555555"/>
          <w:sz w:val="18"/>
          <w:szCs w:val="18"/>
        </w:rPr>
        <w:t>M</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bb</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gg</w:t>
      </w:r>
      <w:r>
        <w:rPr>
          <w:rFonts w:ascii="MathJax_Main" w:eastAsia="Times New Roman" w:hAnsi="MathJax_Main" w:cs="Times New Roman"/>
          <w:b/>
          <w:color w:val="555555"/>
          <w:sz w:val="18"/>
          <w:szCs w:val="18"/>
        </w:rPr>
        <w:t>}</w:t>
      </w:r>
    </w:p>
    <w:p w:rsidR="00AD77BB" w:rsidRDefault="00B45BA0">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Each outcome in </w:t>
      </w:r>
      <w:r>
        <w:rPr>
          <w:rFonts w:ascii="Calibri" w:eastAsia="Times New Roman" w:hAnsi="Calibri" w:cs="Times New Roman"/>
          <w:i/>
          <w:iCs/>
          <w:color w:val="333333"/>
          <w:sz w:val="20"/>
          <w:szCs w:val="20"/>
        </w:rPr>
        <w:t>D</w:t>
      </w:r>
      <w:r>
        <w:rPr>
          <w:rFonts w:ascii="Calibri" w:eastAsia="Times New Roman" w:hAnsi="Calibri" w:cs="Times New Roman"/>
          <w:color w:val="333333"/>
          <w:sz w:val="21"/>
          <w:szCs w:val="21"/>
        </w:rPr>
        <w:t> is already in </w:t>
      </w:r>
      <w:r>
        <w:rPr>
          <w:rFonts w:ascii="Calibri" w:eastAsia="Times New Roman" w:hAnsi="Calibri" w:cs="Times New Roman"/>
          <w:i/>
          <w:iCs/>
          <w:color w:val="333333"/>
          <w:sz w:val="20"/>
          <w:szCs w:val="20"/>
        </w:rPr>
        <w:t>B</w:t>
      </w:r>
      <w:r>
        <w:rPr>
          <w:rFonts w:ascii="Calibri" w:eastAsia="Times New Roman" w:hAnsi="Calibri" w:cs="Times New Roman"/>
          <w:color w:val="333333"/>
          <w:sz w:val="21"/>
          <w:szCs w:val="21"/>
        </w:rPr>
        <w:t>, so the outcomes that are in at least one or the other of the sets </w:t>
      </w:r>
      <w:r>
        <w:rPr>
          <w:rFonts w:ascii="Calibri" w:eastAsia="Times New Roman" w:hAnsi="Calibri" w:cs="Times New Roman"/>
          <w:i/>
          <w:iCs/>
          <w:color w:val="333333"/>
          <w:sz w:val="20"/>
          <w:szCs w:val="20"/>
        </w:rPr>
        <w:t>B</w:t>
      </w:r>
      <w:r>
        <w:rPr>
          <w:rFonts w:ascii="Calibri" w:eastAsia="Times New Roman" w:hAnsi="Calibri" w:cs="Times New Roman"/>
          <w:color w:val="333333"/>
          <w:sz w:val="21"/>
          <w:szCs w:val="21"/>
        </w:rPr>
        <w:t> and </w:t>
      </w:r>
      <w:r>
        <w:rPr>
          <w:rFonts w:ascii="Calibri" w:eastAsia="Times New Roman" w:hAnsi="Calibri" w:cs="Times New Roman"/>
          <w:i/>
          <w:iCs/>
          <w:color w:val="333333"/>
          <w:sz w:val="20"/>
          <w:szCs w:val="20"/>
        </w:rPr>
        <w:t>D</w:t>
      </w:r>
      <w:r>
        <w:rPr>
          <w:rFonts w:ascii="Calibri" w:eastAsia="Times New Roman" w:hAnsi="Calibri" w:cs="Times New Roman"/>
          <w:color w:val="333333"/>
          <w:sz w:val="21"/>
          <w:szCs w:val="21"/>
        </w:rPr>
        <w:t> is just the set </w:t>
      </w:r>
      <w:r>
        <w:rPr>
          <w:rFonts w:ascii="Calibri" w:eastAsia="Times New Roman" w:hAnsi="Calibri" w:cs="Times New Roman"/>
          <w:i/>
          <w:iCs/>
          <w:color w:val="333333"/>
          <w:sz w:val="20"/>
          <w:szCs w:val="20"/>
        </w:rPr>
        <w:t>B</w:t>
      </w:r>
      <w:r>
        <w:rPr>
          <w:rFonts w:ascii="Calibri" w:eastAsia="Times New Roman" w:hAnsi="Calibri" w:cs="Times New Roman"/>
          <w:color w:val="333333"/>
          <w:sz w:val="21"/>
          <w:szCs w:val="21"/>
        </w:rPr>
        <w:t> itself: </w:t>
      </w:r>
      <w:r>
        <w:rPr>
          <w:rFonts w:ascii="MathJax_Math" w:eastAsia="Times New Roman" w:hAnsi="MathJax_Math" w:cs="Times New Roman"/>
          <w:b/>
          <w:i/>
          <w:iCs/>
          <w:color w:val="333333"/>
          <w:sz w:val="15"/>
          <w:szCs w:val="15"/>
        </w:rPr>
        <w:t>B</w:t>
      </w:r>
      <w:r>
        <w:rPr>
          <w:rFonts w:ascii="Cambria Math" w:eastAsia="Times New Roman" w:hAnsi="Cambria Math" w:cs="Cambria Math"/>
          <w:b/>
          <w:color w:val="333333"/>
          <w:sz w:val="15"/>
          <w:szCs w:val="15"/>
        </w:rPr>
        <w:t>∪</w:t>
      </w:r>
      <w:r>
        <w:rPr>
          <w:rFonts w:ascii="MathJax_Math" w:eastAsia="Times New Roman" w:hAnsi="MathJax_Math" w:cs="Times New Roman"/>
          <w:b/>
          <w:i/>
          <w:iCs/>
          <w:color w:val="333333"/>
          <w:sz w:val="15"/>
          <w:szCs w:val="15"/>
        </w:rPr>
        <w:t>D</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bb</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bg</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gb</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w:t>
      </w:r>
    </w:p>
    <w:p w:rsidR="00AD77BB" w:rsidRDefault="00B45BA0">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Every outcome in the whole sample space </w:t>
      </w:r>
      <w:r>
        <w:rPr>
          <w:rFonts w:ascii="Calibri" w:eastAsia="Times New Roman" w:hAnsi="Calibri" w:cs="Times New Roman"/>
          <w:i/>
          <w:iCs/>
          <w:color w:val="333333"/>
          <w:sz w:val="20"/>
          <w:szCs w:val="20"/>
        </w:rPr>
        <w:t>S</w:t>
      </w:r>
      <w:r>
        <w:rPr>
          <w:rFonts w:ascii="Calibri" w:eastAsia="Times New Roman" w:hAnsi="Calibri" w:cs="Times New Roman"/>
          <w:color w:val="333333"/>
          <w:sz w:val="21"/>
          <w:szCs w:val="21"/>
        </w:rPr>
        <w:t> is in at least one or the other of the sets </w:t>
      </w:r>
      <w:r>
        <w:rPr>
          <w:rFonts w:ascii="Calibri" w:eastAsia="Times New Roman" w:hAnsi="Calibri" w:cs="Times New Roman"/>
          <w:i/>
          <w:iCs/>
          <w:color w:val="333333"/>
          <w:sz w:val="20"/>
          <w:szCs w:val="20"/>
        </w:rPr>
        <w:t>B</w:t>
      </w:r>
      <w:r>
        <w:rPr>
          <w:rFonts w:ascii="Calibri" w:eastAsia="Times New Roman" w:hAnsi="Calibri" w:cs="Times New Roman"/>
          <w:color w:val="333333"/>
          <w:sz w:val="21"/>
          <w:szCs w:val="21"/>
        </w:rPr>
        <w:t> and </w:t>
      </w:r>
      <w:r>
        <w:rPr>
          <w:rFonts w:ascii="Calibri" w:eastAsia="Times New Roman" w:hAnsi="Calibri" w:cs="Times New Roman"/>
          <w:i/>
          <w:iCs/>
          <w:color w:val="333333"/>
          <w:sz w:val="20"/>
          <w:szCs w:val="20"/>
        </w:rPr>
        <w:t>M</w:t>
      </w:r>
      <w:r>
        <w:rPr>
          <w:rFonts w:ascii="Calibri" w:eastAsia="Times New Roman" w:hAnsi="Calibri" w:cs="Times New Roman"/>
          <w:color w:val="333333"/>
          <w:sz w:val="21"/>
          <w:szCs w:val="21"/>
        </w:rPr>
        <w:t>, so </w:t>
      </w:r>
      <w:r>
        <w:rPr>
          <w:rFonts w:ascii="MathJax_Math" w:eastAsia="Times New Roman" w:hAnsi="MathJax_Math" w:cs="Times New Roman"/>
          <w:b/>
          <w:i/>
          <w:iCs/>
          <w:color w:val="333333"/>
          <w:sz w:val="15"/>
          <w:szCs w:val="15"/>
        </w:rPr>
        <w:t xml:space="preserve">B </w:t>
      </w:r>
      <w:r>
        <w:rPr>
          <w:rFonts w:ascii="Cambria Math" w:eastAsia="Times New Roman" w:hAnsi="Cambria Math" w:cs="Cambria Math"/>
          <w:b/>
          <w:color w:val="333333"/>
          <w:sz w:val="15"/>
          <w:szCs w:val="15"/>
        </w:rPr>
        <w:t xml:space="preserve">∪ </w:t>
      </w:r>
      <w:r>
        <w:rPr>
          <w:rFonts w:ascii="MathJax_Math" w:eastAsia="Times New Roman" w:hAnsi="MathJax_Math" w:cs="Times New Roman"/>
          <w:b/>
          <w:i/>
          <w:iCs/>
          <w:color w:val="333333"/>
          <w:sz w:val="15"/>
          <w:szCs w:val="15"/>
        </w:rPr>
        <w:t>M</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bb</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bg</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gb</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gg</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S</w:t>
      </w:r>
      <w:r>
        <w:rPr>
          <w:rFonts w:ascii="MathJax_Main" w:eastAsia="Times New Roman" w:hAnsi="MathJax_Main" w:cs="Times New Roman"/>
          <w:b/>
          <w:color w:val="333333"/>
          <w:sz w:val="15"/>
          <w:szCs w:val="15"/>
        </w:rPr>
        <w:t>.</w:t>
      </w:r>
    </w:p>
    <w:p w:rsidR="00AD77BB" w:rsidRDefault="00AD77BB">
      <w:pPr>
        <w:shd w:val="clear" w:color="auto" w:fill="FFFFFF"/>
        <w:spacing w:after="0" w:line="439" w:lineRule="atLeast"/>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MathJax_Main" w:eastAsia="Times New Roman" w:hAnsi="MathJax_Main" w:cs="Times New Roman"/>
          <w:color w:val="333333"/>
          <w:sz w:val="18"/>
          <w:szCs w:val="18"/>
        </w:rPr>
      </w:pPr>
      <w:r>
        <w:rPr>
          <w:rFonts w:ascii="Georgia" w:eastAsia="Times New Roman" w:hAnsi="Georgia" w:cs="Times New Roman"/>
          <w:color w:val="333333"/>
          <w:sz w:val="21"/>
          <w:szCs w:val="21"/>
        </w:rPr>
        <w:t>The following </w:t>
      </w:r>
      <w:r>
        <w:rPr>
          <w:rFonts w:ascii="Georgia" w:eastAsia="Times New Roman" w:hAnsi="Georgia" w:cs="Times New Roman"/>
          <w:b/>
          <w:bCs/>
          <w:color w:val="333333"/>
          <w:sz w:val="20"/>
          <w:szCs w:val="20"/>
        </w:rPr>
        <w:t>Additive Rule of Probability</w:t>
      </w:r>
      <w:r>
        <w:rPr>
          <w:rFonts w:ascii="Georgia" w:eastAsia="Times New Roman" w:hAnsi="Georgia" w:cs="Times New Roman"/>
          <w:color w:val="333333"/>
          <w:sz w:val="21"/>
          <w:szCs w:val="21"/>
        </w:rPr>
        <w:t> is a useful formula for calculating the probability of </w:t>
      </w:r>
      <w:r>
        <w:rPr>
          <w:rFonts w:ascii="MathJax_Math" w:eastAsia="Times New Roman" w:hAnsi="MathJax_Math" w:cs="Times New Roman"/>
          <w:b/>
          <w:i/>
          <w:iCs/>
          <w:color w:val="333333"/>
          <w:sz w:val="18"/>
          <w:szCs w:val="18"/>
        </w:rPr>
        <w:t>A</w:t>
      </w:r>
      <w:r>
        <w:rPr>
          <w:rFonts w:ascii="Cambria Math" w:eastAsia="Times New Roman" w:hAnsi="Cambria Math" w:cs="Cambria Math"/>
          <w:color w:val="333333"/>
          <w:sz w:val="18"/>
          <w:szCs w:val="18"/>
        </w:rPr>
        <w:t>∪</w:t>
      </w:r>
      <w:r>
        <w:rPr>
          <w:rFonts w:ascii="MathJax_Math" w:eastAsia="Times New Roman" w:hAnsi="MathJax_Math" w:cs="Times New Roman"/>
          <w:b/>
          <w:i/>
          <w:iCs/>
          <w:color w:val="333333"/>
          <w:sz w:val="18"/>
          <w:szCs w:val="18"/>
        </w:rPr>
        <w:t>B</w:t>
      </w:r>
      <w:r>
        <w:rPr>
          <w:rFonts w:ascii="MathJax_Main" w:eastAsia="Times New Roman" w:hAnsi="MathJax_Main" w:cs="Times New Roman"/>
          <w:color w:val="333333"/>
          <w:sz w:val="18"/>
          <w:szCs w:val="18"/>
        </w:rPr>
        <w:t>.</w:t>
      </w:r>
    </w:p>
    <w:p w:rsidR="00AD77BB" w:rsidRDefault="00AD77BB">
      <w:pPr>
        <w:shd w:val="clear" w:color="auto" w:fill="FFFFFF"/>
        <w:spacing w:after="0" w:line="439" w:lineRule="atLeast"/>
        <w:textAlignment w:val="baseline"/>
        <w:rPr>
          <w:rFonts w:ascii="Georgia" w:eastAsia="Times New Roman" w:hAnsi="Georgia" w:cs="Times New Roman"/>
          <w:color w:val="333333"/>
          <w:sz w:val="21"/>
          <w:szCs w:val="21"/>
        </w:rPr>
      </w:pPr>
    </w:p>
    <w:p w:rsidR="00AD77BB" w:rsidRDefault="00B45BA0">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Additive Rule of Probability</w:t>
      </w:r>
    </w:p>
    <w:p w:rsidR="00AD77BB" w:rsidRDefault="00AD77BB">
      <w:pPr>
        <w:shd w:val="clear" w:color="auto" w:fill="F4F4F4"/>
        <w:spacing w:after="0" w:line="264" w:lineRule="atLeast"/>
        <w:textAlignment w:val="baseline"/>
        <w:outlineLvl w:val="2"/>
        <w:rPr>
          <w:rFonts w:ascii="Calibri" w:eastAsia="Times New Roman" w:hAnsi="Calibri" w:cs="Times New Roman"/>
          <w:b/>
          <w:bCs/>
          <w:color w:val="333333"/>
          <w:sz w:val="30"/>
          <w:szCs w:val="30"/>
        </w:rPr>
      </w:pPr>
    </w:p>
    <w:p w:rsidR="00AD77BB" w:rsidRDefault="00B45BA0">
      <w:pPr>
        <w:shd w:val="clear" w:color="auto" w:fill="F4F4F4"/>
        <w:spacing w:line="270" w:lineRule="atLeast"/>
        <w:jc w:val="center"/>
        <w:textAlignment w:val="baseline"/>
        <w:rPr>
          <w:rFonts w:ascii="Calibri" w:eastAsia="Times New Roman" w:hAnsi="Calibri" w:cs="Times New Roman"/>
          <w:b/>
          <w:color w:val="555555"/>
          <w:sz w:val="23"/>
          <w:szCs w:val="23"/>
        </w:rPr>
      </w:pPr>
      <w:r>
        <w:rPr>
          <w:rFonts w:ascii="MathJax_Math" w:eastAsia="Times New Roman" w:hAnsi="MathJax_Math" w:cs="Times New Roman"/>
          <w:b/>
          <w:i/>
          <w:iCs/>
          <w:color w:val="555555"/>
          <w:sz w:val="18"/>
          <w:szCs w:val="18"/>
        </w:rPr>
        <w:t>P</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 xml:space="preserve">A </w:t>
      </w:r>
      <w:r>
        <w:rPr>
          <w:rFonts w:ascii="Cambria Math" w:eastAsia="Times New Roman" w:hAnsi="Cambria Math" w:cs="Cambria Math"/>
          <w:b/>
          <w:color w:val="555555"/>
          <w:sz w:val="18"/>
          <w:szCs w:val="18"/>
        </w:rPr>
        <w:t xml:space="preserve">∪ </w:t>
      </w:r>
      <w:r>
        <w:rPr>
          <w:rFonts w:ascii="MathJax_Math" w:eastAsia="Times New Roman" w:hAnsi="MathJax_Math" w:cs="Times New Roman"/>
          <w:b/>
          <w:i/>
          <w:iCs/>
          <w:color w:val="555555"/>
          <w:sz w:val="18"/>
          <w:szCs w:val="18"/>
        </w:rPr>
        <w:t>B</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P</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A</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P</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B</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P</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 xml:space="preserve">A </w:t>
      </w:r>
      <w:r>
        <w:rPr>
          <w:rFonts w:ascii="MathJax_Main" w:eastAsia="Times New Roman" w:hAnsi="MathJax_Main" w:cs="Times New Roman"/>
          <w:b/>
          <w:color w:val="555555"/>
          <w:sz w:val="18"/>
          <w:szCs w:val="18"/>
        </w:rPr>
        <w:t xml:space="preserve">∩ </w:t>
      </w:r>
      <w:r>
        <w:rPr>
          <w:rFonts w:ascii="MathJax_Math" w:eastAsia="Times New Roman" w:hAnsi="MathJax_Math" w:cs="Times New Roman"/>
          <w:b/>
          <w:i/>
          <w:iCs/>
          <w:color w:val="555555"/>
          <w:sz w:val="18"/>
          <w:szCs w:val="18"/>
        </w:rPr>
        <w:t>B</w:t>
      </w:r>
      <w:r>
        <w:rPr>
          <w:rFonts w:ascii="MathJax_Main" w:eastAsia="Times New Roman" w:hAnsi="MathJax_Main" w:cs="Times New Roman"/>
          <w:b/>
          <w:color w:val="555555"/>
          <w:sz w:val="18"/>
          <w:szCs w:val="18"/>
        </w:rPr>
        <w:t>)</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next example, in which we compute the probability of a union both by counting and by using the formula, shows why the last term in the formula is needed.</w:t>
      </w:r>
    </w:p>
    <w:p w:rsidR="00AD77BB" w:rsidRDefault="00B45BA0">
      <w:pPr>
        <w:pStyle w:val="simpara"/>
        <w:shd w:val="clear" w:color="auto" w:fill="FFFFFF" w:themeFill="background1"/>
        <w:spacing w:before="150" w:beforeAutospacing="0" w:after="0" w:afterAutospacing="0" w:line="439" w:lineRule="atLeast"/>
        <w:ind w:right="375"/>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34C74BC7" wp14:editId="5CB2EBF4">
            <wp:extent cx="6124575" cy="6162675"/>
            <wp:effectExtent l="0" t="0" r="9525" b="9525"/>
            <wp:docPr id="84"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4575" cy="6162675"/>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5712E79A" wp14:editId="0B4BD15F">
            <wp:extent cx="5962650" cy="4638675"/>
            <wp:effectExtent l="0" t="0" r="0" b="9525"/>
            <wp:docPr id="85"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62650" cy="4638675"/>
                    </a:xfrm>
                    <a:prstGeom prst="rect">
                      <a:avLst/>
                    </a:prstGeom>
                    <a:noFill/>
                    <a:ln>
                      <a:noFill/>
                    </a:ln>
                  </pic:spPr>
                </pic:pic>
              </a:graphicData>
            </a:graphic>
          </wp:inline>
        </w:drawing>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18</w:t>
      </w:r>
    </w:p>
    <w:p w:rsidR="00AD77BB" w:rsidRDefault="00B45BA0">
      <w:pPr>
        <w:pStyle w:val="para"/>
        <w:shd w:val="clear" w:color="auto" w:fill="E3EFF7"/>
        <w:spacing w:before="150" w:beforeAutospacing="0" w:after="0" w:afterAutospacing="0" w:line="360" w:lineRule="auto"/>
        <w:ind w:left="302" w:right="374"/>
        <w:textAlignment w:val="baseline"/>
        <w:rPr>
          <w:rFonts w:ascii="Calibri" w:hAnsi="Calibri"/>
          <w:color w:val="333333"/>
          <w:sz w:val="20"/>
          <w:szCs w:val="20"/>
        </w:rPr>
      </w:pPr>
      <w:r>
        <w:rPr>
          <w:rFonts w:ascii="Calibri" w:hAnsi="Calibri"/>
          <w:color w:val="333333"/>
          <w:sz w:val="20"/>
          <w:szCs w:val="20"/>
        </w:rPr>
        <w:t>A tutoring service specializes in preparing adults for high school equivalence tests. Among all the students seeking help from the service, 63% need help in mathematics, 34% need help in English, and 27% need help in both mathematics and English. What is the percentage of students who need help in either mathematics or English?</w:t>
      </w:r>
    </w:p>
    <w:p w:rsidR="00AD77BB" w:rsidRDefault="00B45BA0">
      <w:pPr>
        <w:pStyle w:val="simpara"/>
        <w:shd w:val="clear" w:color="auto" w:fill="E3EFF7"/>
        <w:spacing w:before="150" w:beforeAutospacing="0" w:after="0" w:afterAutospacing="0" w:line="360" w:lineRule="auto"/>
        <w:ind w:left="302" w:right="374"/>
        <w:textAlignment w:val="baseline"/>
        <w:rPr>
          <w:rFonts w:ascii="Calibri" w:hAnsi="Calibri"/>
          <w:color w:val="333333"/>
          <w:sz w:val="20"/>
          <w:szCs w:val="20"/>
        </w:rPr>
      </w:pPr>
      <w:r>
        <w:rPr>
          <w:rFonts w:ascii="Calibri" w:hAnsi="Calibri"/>
          <w:color w:val="333333"/>
          <w:sz w:val="20"/>
          <w:szCs w:val="20"/>
        </w:rPr>
        <w:t>Solution:</w:t>
      </w:r>
    </w:p>
    <w:p w:rsidR="00AD77BB" w:rsidRDefault="00AD77BB">
      <w:pPr>
        <w:pStyle w:val="simpara"/>
        <w:shd w:val="clear" w:color="auto" w:fill="E3EFF7"/>
        <w:spacing w:before="150" w:beforeAutospacing="0" w:after="0" w:afterAutospacing="0" w:line="360" w:lineRule="auto"/>
        <w:ind w:left="302" w:right="374"/>
        <w:textAlignment w:val="baseline"/>
        <w:rPr>
          <w:rFonts w:ascii="Calibri" w:hAnsi="Calibri"/>
          <w:color w:val="333333"/>
          <w:sz w:val="20"/>
          <w:szCs w:val="20"/>
        </w:rPr>
      </w:pPr>
    </w:p>
    <w:p w:rsidR="00AD77BB" w:rsidRDefault="00B45BA0">
      <w:pPr>
        <w:pStyle w:val="para"/>
        <w:shd w:val="clear" w:color="auto" w:fill="E3EFF7"/>
        <w:spacing w:before="0" w:beforeAutospacing="0" w:after="0" w:afterAutospacing="0" w:line="360" w:lineRule="auto"/>
        <w:ind w:left="302" w:right="374"/>
        <w:textAlignment w:val="baseline"/>
        <w:rPr>
          <w:rFonts w:ascii="Calibri" w:hAnsi="Calibri"/>
          <w:color w:val="333333"/>
          <w:sz w:val="20"/>
          <w:szCs w:val="20"/>
        </w:rPr>
      </w:pPr>
      <w:r>
        <w:rPr>
          <w:rFonts w:ascii="Calibri" w:hAnsi="Calibri"/>
          <w:color w:val="333333"/>
          <w:sz w:val="20"/>
          <w:szCs w:val="20"/>
        </w:rPr>
        <w:t>Imagine selecting a student at random, that is, in such a way that every student has the same chance of being selected. Let</w:t>
      </w:r>
      <w:r>
        <w:rPr>
          <w:rStyle w:val="apple-converted-space"/>
          <w:rFonts w:ascii="Calibri" w:hAnsi="Calibri"/>
          <w:color w:val="333333"/>
          <w:sz w:val="20"/>
          <w:szCs w:val="20"/>
        </w:rPr>
        <w:t> </w:t>
      </w:r>
      <w:r>
        <w:rPr>
          <w:rStyle w:val="Emphasis"/>
          <w:rFonts w:ascii="Calibri" w:eastAsiaTheme="majorEastAsia" w:hAnsi="Calibri"/>
          <w:color w:val="333333"/>
          <w:sz w:val="20"/>
          <w:szCs w:val="20"/>
        </w:rPr>
        <w:t>M</w:t>
      </w:r>
      <w:r>
        <w:rPr>
          <w:rStyle w:val="apple-converted-space"/>
          <w:rFonts w:ascii="Calibri" w:hAnsi="Calibri"/>
          <w:color w:val="333333"/>
          <w:sz w:val="20"/>
          <w:szCs w:val="20"/>
        </w:rPr>
        <w:t> </w:t>
      </w:r>
      <w:r>
        <w:rPr>
          <w:rFonts w:ascii="Calibri" w:hAnsi="Calibri"/>
          <w:color w:val="333333"/>
          <w:sz w:val="20"/>
          <w:szCs w:val="20"/>
        </w:rPr>
        <w:t>denote the event “the student needs help in mathematics” and let</w:t>
      </w:r>
      <w:r>
        <w:rPr>
          <w:rStyle w:val="apple-converted-space"/>
          <w:rFonts w:ascii="Calibri" w:hAnsi="Calibri"/>
          <w:color w:val="333333"/>
          <w:sz w:val="20"/>
          <w:szCs w:val="20"/>
        </w:rPr>
        <w:t> </w:t>
      </w:r>
      <w:r>
        <w:rPr>
          <w:rStyle w:val="Emphasis"/>
          <w:rFonts w:ascii="Calibri" w:eastAsiaTheme="majorEastAsia" w:hAnsi="Calibri"/>
          <w:color w:val="333333"/>
          <w:sz w:val="20"/>
          <w:szCs w:val="20"/>
        </w:rPr>
        <w:t>E</w:t>
      </w:r>
      <w:r>
        <w:rPr>
          <w:rStyle w:val="apple-converted-space"/>
          <w:rFonts w:ascii="Calibri" w:hAnsi="Calibri"/>
          <w:color w:val="333333"/>
          <w:sz w:val="20"/>
          <w:szCs w:val="20"/>
        </w:rPr>
        <w:t> </w:t>
      </w:r>
      <w:r>
        <w:rPr>
          <w:rFonts w:ascii="Calibri" w:hAnsi="Calibri"/>
          <w:color w:val="333333"/>
          <w:sz w:val="20"/>
          <w:szCs w:val="20"/>
        </w:rPr>
        <w:t>denote the event “the student needs help in English.” The information given is that</w:t>
      </w:r>
      <w:r>
        <w:rPr>
          <w:rStyle w:val="apple-converted-space"/>
          <w:rFonts w:ascii="Calibri" w:hAnsi="Calibri"/>
          <w:color w:val="333333"/>
          <w:sz w:val="20"/>
          <w:szCs w:val="20"/>
        </w:rPr>
        <w:t> </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M</w:t>
      </w:r>
      <w:r>
        <w:rPr>
          <w:rStyle w:val="mo"/>
          <w:rFonts w:ascii="MathJax_Main" w:hAnsi="MathJax_Main"/>
          <w:b/>
          <w:color w:val="333333"/>
          <w:sz w:val="15"/>
          <w:szCs w:val="15"/>
        </w:rPr>
        <w:t>)=</w:t>
      </w:r>
      <w:r>
        <w:rPr>
          <w:rStyle w:val="mn"/>
          <w:rFonts w:ascii="MathJax_Main" w:hAnsi="MathJax_Main"/>
          <w:b/>
          <w:color w:val="333333"/>
          <w:sz w:val="15"/>
          <w:szCs w:val="15"/>
        </w:rPr>
        <w:t>0.63</w:t>
      </w:r>
      <w:r>
        <w:rPr>
          <w:rFonts w:ascii="Calibri" w:hAnsi="Calibri"/>
          <w:b/>
          <w:color w:val="333333"/>
          <w:sz w:val="20"/>
          <w:szCs w:val="20"/>
        </w:rPr>
        <w:t>,</w:t>
      </w:r>
      <w:r>
        <w:rPr>
          <w:rStyle w:val="apple-converted-space"/>
          <w:rFonts w:ascii="Calibri" w:hAnsi="Calibri"/>
          <w:b/>
          <w:color w:val="333333"/>
          <w:sz w:val="20"/>
          <w:szCs w:val="20"/>
        </w:rPr>
        <w:t> </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E</w:t>
      </w:r>
      <w:r>
        <w:rPr>
          <w:rStyle w:val="mo"/>
          <w:rFonts w:ascii="MathJax_Main" w:hAnsi="MathJax_Main"/>
          <w:b/>
          <w:color w:val="333333"/>
          <w:sz w:val="15"/>
          <w:szCs w:val="15"/>
        </w:rPr>
        <w:t>)=</w:t>
      </w:r>
      <w:r>
        <w:rPr>
          <w:rStyle w:val="mn"/>
          <w:rFonts w:ascii="MathJax_Main" w:hAnsi="MathJax_Main"/>
          <w:b/>
          <w:color w:val="333333"/>
          <w:sz w:val="15"/>
          <w:szCs w:val="15"/>
        </w:rPr>
        <w:t>0.34</w:t>
      </w:r>
      <w:r>
        <w:rPr>
          <w:rFonts w:ascii="Calibri" w:hAnsi="Calibri"/>
          <w:b/>
          <w:color w:val="333333"/>
          <w:sz w:val="20"/>
          <w:szCs w:val="20"/>
        </w:rPr>
        <w:t>,</w:t>
      </w:r>
      <w:r>
        <w:rPr>
          <w:rFonts w:ascii="Calibri" w:hAnsi="Calibri"/>
          <w:color w:val="333333"/>
          <w:sz w:val="20"/>
          <w:szCs w:val="20"/>
        </w:rPr>
        <w:t xml:space="preserve"> and</w:t>
      </w:r>
      <w:r>
        <w:rPr>
          <w:rStyle w:val="apple-converted-space"/>
          <w:rFonts w:ascii="Calibri" w:hAnsi="Calibri"/>
          <w:color w:val="333333"/>
          <w:sz w:val="20"/>
          <w:szCs w:val="20"/>
        </w:rPr>
        <w:t> </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M</w:t>
      </w:r>
      <w:r>
        <w:rPr>
          <w:rStyle w:val="mo"/>
          <w:rFonts w:ascii="MathJax_Main" w:hAnsi="MathJax_Main"/>
          <w:b/>
          <w:color w:val="333333"/>
          <w:sz w:val="15"/>
          <w:szCs w:val="15"/>
        </w:rPr>
        <w:t>∩</w:t>
      </w:r>
      <w:r>
        <w:rPr>
          <w:rStyle w:val="mi"/>
          <w:rFonts w:ascii="MathJax_Math" w:hAnsi="MathJax_Math"/>
          <w:b/>
          <w:i/>
          <w:iCs/>
          <w:color w:val="333333"/>
          <w:sz w:val="15"/>
          <w:szCs w:val="15"/>
        </w:rPr>
        <w:t>E</w:t>
      </w:r>
      <w:r>
        <w:rPr>
          <w:rStyle w:val="mo"/>
          <w:rFonts w:ascii="MathJax_Main" w:hAnsi="MathJax_Main"/>
          <w:b/>
          <w:color w:val="333333"/>
          <w:sz w:val="15"/>
          <w:szCs w:val="15"/>
        </w:rPr>
        <w:t>)=</w:t>
      </w:r>
      <w:r>
        <w:rPr>
          <w:rStyle w:val="mn"/>
          <w:rFonts w:ascii="MathJax_Main" w:hAnsi="MathJax_Main"/>
          <w:b/>
          <w:color w:val="333333"/>
          <w:sz w:val="15"/>
          <w:szCs w:val="15"/>
        </w:rPr>
        <w:t>0.27</w:t>
      </w:r>
      <w:r>
        <w:rPr>
          <w:rStyle w:val="mo"/>
          <w:rFonts w:ascii="MathJax_Main" w:hAnsi="MathJax_Main"/>
          <w:b/>
          <w:color w:val="333333"/>
          <w:sz w:val="15"/>
          <w:szCs w:val="15"/>
        </w:rPr>
        <w:t>.</w:t>
      </w:r>
      <w:r>
        <w:rPr>
          <w:rFonts w:ascii="Calibri" w:hAnsi="Calibri"/>
          <w:color w:val="333333"/>
          <w:sz w:val="20"/>
          <w:szCs w:val="20"/>
        </w:rPr>
        <w:t>The Additive Rule of Probability gives</w:t>
      </w:r>
    </w:p>
    <w:p w:rsidR="00AD77BB" w:rsidRDefault="00AD77BB">
      <w:pPr>
        <w:pStyle w:val="para"/>
        <w:shd w:val="clear" w:color="auto" w:fill="E3EFF7"/>
        <w:spacing w:before="0" w:beforeAutospacing="0" w:after="0" w:afterAutospacing="0" w:line="360" w:lineRule="auto"/>
        <w:ind w:left="302" w:right="374"/>
        <w:textAlignment w:val="baseline"/>
        <w:rPr>
          <w:rFonts w:ascii="Calibri" w:hAnsi="Calibri"/>
          <w:color w:val="333333"/>
          <w:sz w:val="20"/>
          <w:szCs w:val="20"/>
        </w:rPr>
      </w:pPr>
    </w:p>
    <w:p w:rsidR="00AD77BB" w:rsidRDefault="00B45BA0">
      <w:pPr>
        <w:shd w:val="clear" w:color="auto" w:fill="E3EFF7"/>
        <w:spacing w:line="270" w:lineRule="atLeast"/>
        <w:jc w:val="center"/>
        <w:textAlignment w:val="baseline"/>
        <w:rPr>
          <w:rFonts w:ascii="Calibri" w:hAnsi="Calibri"/>
          <w:b/>
          <w:color w:val="555555"/>
          <w:sz w:val="23"/>
          <w:szCs w:val="23"/>
        </w:rPr>
      </w:pPr>
      <w:r>
        <w:rPr>
          <w:rStyle w:val="mi"/>
          <w:rFonts w:ascii="MathJax_Math" w:hAnsi="MathJax_Math"/>
          <w:b/>
          <w:i/>
          <w:iCs/>
          <w:color w:val="555555"/>
          <w:sz w:val="18"/>
          <w:szCs w:val="18"/>
        </w:rPr>
        <w:t>P</w:t>
      </w:r>
      <w:r>
        <w:rPr>
          <w:rStyle w:val="mo"/>
          <w:rFonts w:ascii="MathJax_Main" w:hAnsi="MathJax_Main"/>
          <w:b/>
          <w:color w:val="555555"/>
          <w:sz w:val="18"/>
          <w:szCs w:val="18"/>
        </w:rPr>
        <w:t>(</w:t>
      </w:r>
      <w:r>
        <w:rPr>
          <w:rStyle w:val="mi"/>
          <w:rFonts w:ascii="MathJax_Math" w:hAnsi="MathJax_Math"/>
          <w:b/>
          <w:i/>
          <w:iCs/>
          <w:color w:val="555555"/>
          <w:sz w:val="18"/>
          <w:szCs w:val="18"/>
        </w:rPr>
        <w:t xml:space="preserve">M </w:t>
      </w:r>
      <w:r>
        <w:rPr>
          <w:rStyle w:val="mo"/>
          <w:rFonts w:ascii="Cambria Math" w:hAnsi="Cambria Math" w:cs="Cambria Math"/>
          <w:b/>
          <w:color w:val="555555"/>
          <w:sz w:val="18"/>
          <w:szCs w:val="18"/>
        </w:rPr>
        <w:t xml:space="preserve">∪ </w:t>
      </w:r>
      <w:r>
        <w:rPr>
          <w:rStyle w:val="mi"/>
          <w:rFonts w:ascii="MathJax_Math" w:hAnsi="MathJax_Math"/>
          <w:b/>
          <w:i/>
          <w:iCs/>
          <w:color w:val="555555"/>
          <w:sz w:val="18"/>
          <w:szCs w:val="18"/>
        </w:rPr>
        <w:t>E</w:t>
      </w:r>
      <w:r>
        <w:rPr>
          <w:rStyle w:val="mo"/>
          <w:rFonts w:ascii="MathJax_Main" w:hAnsi="MathJax_Main"/>
          <w:b/>
          <w:color w:val="555555"/>
          <w:sz w:val="18"/>
          <w:szCs w:val="18"/>
        </w:rPr>
        <w:t>)=</w:t>
      </w:r>
      <w:r>
        <w:rPr>
          <w:rStyle w:val="mi"/>
          <w:rFonts w:ascii="MathJax_Math" w:hAnsi="MathJax_Math"/>
          <w:b/>
          <w:i/>
          <w:iCs/>
          <w:color w:val="555555"/>
          <w:sz w:val="18"/>
          <w:szCs w:val="18"/>
        </w:rPr>
        <w:t>P</w:t>
      </w:r>
      <w:r>
        <w:rPr>
          <w:rStyle w:val="mo"/>
          <w:rFonts w:ascii="MathJax_Main" w:hAnsi="MathJax_Main"/>
          <w:b/>
          <w:color w:val="555555"/>
          <w:sz w:val="18"/>
          <w:szCs w:val="18"/>
        </w:rPr>
        <w:t>(</w:t>
      </w:r>
      <w:r>
        <w:rPr>
          <w:rStyle w:val="mi"/>
          <w:rFonts w:ascii="MathJax_Math" w:hAnsi="MathJax_Math"/>
          <w:b/>
          <w:i/>
          <w:iCs/>
          <w:color w:val="555555"/>
          <w:sz w:val="18"/>
          <w:szCs w:val="18"/>
        </w:rPr>
        <w:t>M</w:t>
      </w:r>
      <w:r>
        <w:rPr>
          <w:rStyle w:val="mo"/>
          <w:rFonts w:ascii="MathJax_Main" w:hAnsi="MathJax_Main"/>
          <w:b/>
          <w:color w:val="555555"/>
          <w:sz w:val="18"/>
          <w:szCs w:val="18"/>
        </w:rPr>
        <w:t>)+</w:t>
      </w:r>
      <w:r>
        <w:rPr>
          <w:rStyle w:val="mi"/>
          <w:rFonts w:ascii="MathJax_Math" w:hAnsi="MathJax_Math"/>
          <w:b/>
          <w:i/>
          <w:iCs/>
          <w:color w:val="555555"/>
          <w:sz w:val="18"/>
          <w:szCs w:val="18"/>
        </w:rPr>
        <w:t>P</w:t>
      </w:r>
      <w:r>
        <w:rPr>
          <w:rStyle w:val="mo"/>
          <w:rFonts w:ascii="MathJax_Main" w:hAnsi="MathJax_Main"/>
          <w:b/>
          <w:color w:val="555555"/>
          <w:sz w:val="18"/>
          <w:szCs w:val="18"/>
        </w:rPr>
        <w:t>(</w:t>
      </w:r>
      <w:r>
        <w:rPr>
          <w:rStyle w:val="mi"/>
          <w:rFonts w:ascii="MathJax_Math" w:hAnsi="MathJax_Math"/>
          <w:b/>
          <w:i/>
          <w:iCs/>
          <w:color w:val="555555"/>
          <w:sz w:val="18"/>
          <w:szCs w:val="18"/>
        </w:rPr>
        <w:t>E</w:t>
      </w:r>
      <w:r>
        <w:rPr>
          <w:rStyle w:val="mo"/>
          <w:rFonts w:ascii="MathJax_Main" w:hAnsi="MathJax_Main"/>
          <w:b/>
          <w:color w:val="555555"/>
          <w:sz w:val="18"/>
          <w:szCs w:val="18"/>
        </w:rPr>
        <w:t>)−</w:t>
      </w:r>
      <w:r>
        <w:rPr>
          <w:rStyle w:val="mi"/>
          <w:rFonts w:ascii="MathJax_Math" w:hAnsi="MathJax_Math"/>
          <w:b/>
          <w:i/>
          <w:iCs/>
          <w:color w:val="555555"/>
          <w:sz w:val="18"/>
          <w:szCs w:val="18"/>
        </w:rPr>
        <w:t>P</w:t>
      </w:r>
      <w:r>
        <w:rPr>
          <w:rStyle w:val="mo"/>
          <w:rFonts w:ascii="MathJax_Main" w:hAnsi="MathJax_Main"/>
          <w:b/>
          <w:color w:val="555555"/>
          <w:sz w:val="18"/>
          <w:szCs w:val="18"/>
        </w:rPr>
        <w:t>(</w:t>
      </w:r>
      <w:r>
        <w:rPr>
          <w:rStyle w:val="mi"/>
          <w:rFonts w:ascii="MathJax_Math" w:hAnsi="MathJax_Math"/>
          <w:b/>
          <w:i/>
          <w:iCs/>
          <w:color w:val="555555"/>
          <w:sz w:val="18"/>
          <w:szCs w:val="18"/>
        </w:rPr>
        <w:t xml:space="preserve">M </w:t>
      </w:r>
      <w:r>
        <w:rPr>
          <w:rStyle w:val="mo"/>
          <w:rFonts w:ascii="MathJax_Main" w:hAnsi="MathJax_Main"/>
          <w:b/>
          <w:color w:val="555555"/>
          <w:sz w:val="18"/>
          <w:szCs w:val="18"/>
        </w:rPr>
        <w:t xml:space="preserve">∩ </w:t>
      </w:r>
      <w:r>
        <w:rPr>
          <w:rStyle w:val="mi"/>
          <w:rFonts w:ascii="MathJax_Math" w:hAnsi="MathJax_Math"/>
          <w:b/>
          <w:i/>
          <w:iCs/>
          <w:color w:val="555555"/>
          <w:sz w:val="18"/>
          <w:szCs w:val="18"/>
        </w:rPr>
        <w:t>E</w:t>
      </w:r>
      <w:r>
        <w:rPr>
          <w:rStyle w:val="mo"/>
          <w:rFonts w:ascii="MathJax_Main" w:hAnsi="MathJax_Main"/>
          <w:b/>
          <w:color w:val="555555"/>
          <w:sz w:val="18"/>
          <w:szCs w:val="18"/>
        </w:rPr>
        <w:t>)=</w:t>
      </w:r>
      <w:r>
        <w:rPr>
          <w:rStyle w:val="mn"/>
          <w:rFonts w:ascii="MathJax_Main" w:hAnsi="MathJax_Main"/>
          <w:b/>
          <w:color w:val="555555"/>
          <w:sz w:val="18"/>
          <w:szCs w:val="18"/>
        </w:rPr>
        <w:t>0.63</w:t>
      </w:r>
      <w:r>
        <w:rPr>
          <w:rStyle w:val="mo"/>
          <w:rFonts w:ascii="MathJax_Main" w:hAnsi="MathJax_Main"/>
          <w:b/>
          <w:color w:val="555555"/>
          <w:sz w:val="18"/>
          <w:szCs w:val="18"/>
        </w:rPr>
        <w:t>+</w:t>
      </w:r>
      <w:r>
        <w:rPr>
          <w:rStyle w:val="mn"/>
          <w:rFonts w:ascii="MathJax_Main" w:hAnsi="MathJax_Main"/>
          <w:b/>
          <w:color w:val="555555"/>
          <w:sz w:val="18"/>
          <w:szCs w:val="18"/>
        </w:rPr>
        <w:t>0.34</w:t>
      </w:r>
      <w:r>
        <w:rPr>
          <w:rStyle w:val="mo"/>
          <w:rFonts w:ascii="MathJax_Main" w:hAnsi="MathJax_Main"/>
          <w:b/>
          <w:color w:val="555555"/>
          <w:sz w:val="18"/>
          <w:szCs w:val="18"/>
        </w:rPr>
        <w:t>−</w:t>
      </w:r>
      <w:r>
        <w:rPr>
          <w:rStyle w:val="mn"/>
          <w:rFonts w:ascii="MathJax_Main" w:hAnsi="MathJax_Main"/>
          <w:b/>
          <w:color w:val="555555"/>
          <w:sz w:val="18"/>
          <w:szCs w:val="18"/>
        </w:rPr>
        <w:t>0.27</w:t>
      </w:r>
      <w:r>
        <w:rPr>
          <w:rStyle w:val="mo"/>
          <w:rFonts w:ascii="MathJax_Main" w:hAnsi="MathJax_Main"/>
          <w:b/>
          <w:color w:val="555555"/>
          <w:sz w:val="18"/>
          <w:szCs w:val="18"/>
        </w:rPr>
        <w:t>=</w:t>
      </w:r>
      <w:r>
        <w:rPr>
          <w:rStyle w:val="mn"/>
          <w:rFonts w:ascii="MathJax_Main" w:hAnsi="MathJax_Main"/>
          <w:b/>
          <w:color w:val="555555"/>
          <w:sz w:val="18"/>
          <w:szCs w:val="18"/>
        </w:rPr>
        <w:t>0.70</w:t>
      </w:r>
    </w:p>
    <w:p w:rsidR="00AD77BB" w:rsidRDefault="00B45BA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Note how the naïve reasoning that if 63% need help in mathematics and 34% need help in English then 63 plus 34 or 97% need help in one or the other gives a number that is too large. The percentage that need help in both subjects must be subtracted off, else the people needing help in both are counted twice, once for needing help in mathematics and once again for needing help in English. The simple sum of the probabilities would work if the events in question were mutually exclusive, for then</w:t>
      </w:r>
      <w:r>
        <w:rPr>
          <w:rStyle w:val="apple-converted-space"/>
          <w:rFonts w:ascii="Georgia" w:hAnsi="Georgia"/>
          <w:color w:val="333333"/>
          <w:sz w:val="21"/>
          <w:szCs w:val="21"/>
        </w:rPr>
        <w:t> </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 xml:space="preserve">A </w:t>
      </w:r>
      <w:r>
        <w:rPr>
          <w:rStyle w:val="mo"/>
          <w:rFonts w:ascii="MathJax_Main" w:hAnsi="MathJax_Main"/>
          <w:b/>
          <w:color w:val="333333"/>
          <w:sz w:val="18"/>
          <w:szCs w:val="18"/>
        </w:rPr>
        <w:t xml:space="preserve">∩ </w:t>
      </w:r>
      <w:r>
        <w:rPr>
          <w:rStyle w:val="mi"/>
          <w:rFonts w:ascii="MathJax_Math" w:hAnsi="MathJax_Math"/>
          <w:b/>
          <w:i/>
          <w:iCs/>
          <w:color w:val="333333"/>
          <w:sz w:val="18"/>
          <w:szCs w:val="18"/>
        </w:rPr>
        <w:t>B</w:t>
      </w:r>
      <w:r>
        <w:rPr>
          <w:rStyle w:val="mo"/>
          <w:rFonts w:ascii="MathJax_Main" w:hAnsi="MathJax_Main"/>
          <w:b/>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is zero, and makes no difference.</w:t>
      </w:r>
    </w:p>
    <w:p w:rsidR="00AD77BB" w:rsidRDefault="00B45BA0">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drawing>
          <wp:inline distT="0" distB="0" distL="0" distR="0" wp14:anchorId="76ABD57E" wp14:editId="392A3484">
            <wp:extent cx="5734050" cy="5791200"/>
            <wp:effectExtent l="0" t="0" r="0" b="0"/>
            <wp:docPr id="86"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4050" cy="5791200"/>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232D7B74" wp14:editId="22E5E044">
            <wp:extent cx="5781675" cy="5695950"/>
            <wp:effectExtent l="0" t="0" r="9525" b="0"/>
            <wp:docPr id="87"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81675" cy="5695950"/>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67D96359" wp14:editId="19C53496">
            <wp:extent cx="5762625" cy="5791200"/>
            <wp:effectExtent l="0" t="0" r="9525" b="0"/>
            <wp:docPr id="88"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2625" cy="5791200"/>
                    </a:xfrm>
                    <a:prstGeom prst="rect">
                      <a:avLst/>
                    </a:prstGeom>
                    <a:noFill/>
                    <a:ln>
                      <a:noFill/>
                    </a:ln>
                  </pic:spPr>
                </pic:pic>
              </a:graphicData>
            </a:graphic>
          </wp:inline>
        </w:drawing>
      </w:r>
    </w:p>
    <w:p w:rsidR="00AD77BB" w:rsidRDefault="00AD77BB">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KEY TAKEAWAY</w:t>
      </w:r>
    </w:p>
    <w:p w:rsidR="00AD77BB" w:rsidRDefault="00B45BA0">
      <w:pPr>
        <w:numPr>
          <w:ilvl w:val="0"/>
          <w:numId w:val="59"/>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probability of an event that is a complement or union of events of known probability can be computed using formulas.</w:t>
      </w:r>
    </w:p>
    <w:p w:rsidR="00AD77BB" w:rsidRDefault="00B45BA0">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3D7F1D82" wp14:editId="509BD4D9">
            <wp:extent cx="5838825" cy="7181850"/>
            <wp:effectExtent l="0" t="0" r="9525" b="0"/>
            <wp:docPr id="89"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38825" cy="7181850"/>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054173C2" wp14:editId="3B0294AC">
            <wp:extent cx="5895975" cy="6419850"/>
            <wp:effectExtent l="0" t="0" r="9525" b="0"/>
            <wp:docPr id="9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95975" cy="6419850"/>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6D0E50FD" wp14:editId="5945F730">
            <wp:extent cx="5905500" cy="6229350"/>
            <wp:effectExtent l="0" t="0" r="0" b="0"/>
            <wp:docPr id="91"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05500" cy="6229350"/>
                    </a:xfrm>
                    <a:prstGeom prst="rect">
                      <a:avLst/>
                    </a:prstGeom>
                    <a:noFill/>
                    <a:ln>
                      <a:noFill/>
                    </a:ln>
                  </pic:spPr>
                </pic:pic>
              </a:graphicData>
            </a:graphic>
          </wp:inline>
        </w:drawing>
      </w:r>
    </w:p>
    <w:p w:rsidR="00AD77BB" w:rsidRDefault="00B45BA0">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noProof/>
        </w:rPr>
        <w:drawing>
          <wp:inline distT="0" distB="0" distL="0" distR="0" wp14:anchorId="6C28E140" wp14:editId="775634E8">
            <wp:extent cx="2486025" cy="1247775"/>
            <wp:effectExtent l="0" t="0" r="9525" b="9525"/>
            <wp:docPr id="92" name="Picture 104" descr="http://images.flatworldknowledge.com/shafer/shafer-fig0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images.flatworldknowledge.com/shafer/shafer-fig03_007.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86025" cy="1247775"/>
                    </a:xfrm>
                    <a:prstGeom prst="rect">
                      <a:avLst/>
                    </a:prstGeom>
                    <a:noFill/>
                    <a:ln>
                      <a:noFill/>
                    </a:ln>
                  </pic:spPr>
                </pic:pic>
              </a:graphicData>
            </a:graphic>
          </wp:inline>
        </w:drawing>
      </w:r>
    </w:p>
    <w:p w:rsidR="00AD77BB" w:rsidRDefault="00B45BA0">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41388E42" wp14:editId="31B65C0F">
            <wp:extent cx="5686425" cy="6696075"/>
            <wp:effectExtent l="0" t="0" r="9525" b="9525"/>
            <wp:docPr id="93"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86425" cy="6696075"/>
                    </a:xfrm>
                    <a:prstGeom prst="rect">
                      <a:avLst/>
                    </a:prstGeom>
                    <a:noFill/>
                    <a:ln>
                      <a:noFill/>
                    </a:ln>
                  </pic:spPr>
                </pic:pic>
              </a:graphicData>
            </a:graphic>
          </wp:inline>
        </w:drawing>
      </w:r>
    </w:p>
    <w:p w:rsidR="00AD77BB" w:rsidRDefault="00AD77BB">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p>
    <w:p w:rsidR="00AD77BB" w:rsidRDefault="00AD77BB">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p>
    <w:p w:rsidR="00AD77BB" w:rsidRDefault="00AD77BB">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p>
    <w:p w:rsidR="00AD77BB" w:rsidRDefault="00AD77BB">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p>
    <w:p w:rsidR="00AD77BB" w:rsidRDefault="00B45BA0">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 xml:space="preserve">                                                  </w:t>
      </w:r>
    </w:p>
    <w:tbl>
      <w:tblPr>
        <w:tblW w:w="0" w:type="auto"/>
        <w:tblCellMar>
          <w:left w:w="0" w:type="dxa"/>
          <w:right w:w="0" w:type="dxa"/>
        </w:tblCellMar>
        <w:tblLook w:val="04A0" w:firstRow="1" w:lastRow="0" w:firstColumn="1" w:lastColumn="0" w:noHBand="0" w:noVBand="1"/>
      </w:tblPr>
      <w:tblGrid>
        <w:gridCol w:w="350"/>
        <w:gridCol w:w="570"/>
        <w:gridCol w:w="570"/>
        <w:gridCol w:w="570"/>
      </w:tblGrid>
      <w:tr w:rsidR="00AD77BB">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R</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S</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T</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i/>
                <w:iCs/>
                <w:sz w:val="24"/>
                <w:szCs w:val="24"/>
              </w:rPr>
              <w:t>M</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0.09</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0.25</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0.19</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i/>
                <w:iCs/>
                <w:sz w:val="24"/>
                <w:szCs w:val="24"/>
              </w:rPr>
              <w:t>N</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0.31</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0.16</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w:t>
            </w:r>
          </w:p>
        </w:tc>
      </w:tr>
    </w:tbl>
    <w:p w:rsidR="00AD77BB" w:rsidRDefault="00B45BA0">
      <w:pPr>
        <w:numPr>
          <w:ilvl w:val="0"/>
          <w:numId w:val="60"/>
        </w:numPr>
        <w:shd w:val="clear" w:color="auto" w:fill="E3EFF7"/>
        <w:spacing w:after="0" w:line="366" w:lineRule="atLeast"/>
        <w:ind w:left="360"/>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R</w:t>
      </w:r>
      <w:r>
        <w:rPr>
          <w:rFonts w:ascii="MathJax_Main" w:eastAsia="Times New Roman" w:hAnsi="MathJax_Main" w:cs="Times New Roman"/>
          <w:b/>
          <w:color w:val="333333"/>
          <w:sz w:val="15"/>
          <w:szCs w:val="15"/>
        </w:rPr>
        <w:t>)</w:t>
      </w:r>
      <w:r>
        <w:rPr>
          <w:rFonts w:ascii="Calibri" w:eastAsia="Times New Roman" w:hAnsi="Calibri" w:cs="Times New Roman"/>
          <w:b/>
          <w:color w:val="333333"/>
          <w:sz w:val="20"/>
          <w:szCs w:val="20"/>
        </w:rPr>
        <w: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S</w:t>
      </w:r>
      <w:r>
        <w:rPr>
          <w:rFonts w:ascii="MathJax_Main" w:eastAsia="Times New Roman" w:hAnsi="MathJax_Main" w:cs="Times New Roman"/>
          <w:b/>
          <w:color w:val="333333"/>
          <w:sz w:val="15"/>
          <w:szCs w:val="15"/>
        </w:rPr>
        <w:t>)</w:t>
      </w:r>
      <w:r>
        <w:rPr>
          <w:rFonts w:ascii="Calibri" w:eastAsia="Times New Roman" w:hAnsi="Calibri" w:cs="Times New Roman"/>
          <w:b/>
          <w:color w:val="333333"/>
          <w:sz w:val="20"/>
          <w:szCs w:val="20"/>
        </w:rPr>
        <w: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R</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S</w:t>
      </w:r>
      <w:r>
        <w:rPr>
          <w:rFonts w:ascii="MathJax_Main" w:eastAsia="Times New Roman" w:hAnsi="MathJax_Main" w:cs="Times New Roman"/>
          <w:b/>
          <w:color w:val="333333"/>
          <w:sz w:val="15"/>
          <w:szCs w:val="15"/>
        </w:rPr>
        <w:t>).</w:t>
      </w:r>
    </w:p>
    <w:p w:rsidR="00AD77BB" w:rsidRDefault="00B45BA0">
      <w:pPr>
        <w:numPr>
          <w:ilvl w:val="0"/>
          <w:numId w:val="60"/>
        </w:numPr>
        <w:shd w:val="clear" w:color="auto" w:fill="E3EFF7"/>
        <w:spacing w:after="0" w:line="366" w:lineRule="atLeast"/>
        <w:ind w:left="360"/>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M</w:t>
      </w:r>
      <w:r>
        <w:rPr>
          <w:rFonts w:ascii="MathJax_Main" w:eastAsia="Times New Roman" w:hAnsi="MathJax_Main" w:cs="Times New Roman"/>
          <w:b/>
          <w:color w:val="333333"/>
          <w:sz w:val="15"/>
          <w:szCs w:val="15"/>
        </w:rPr>
        <w:t>)</w:t>
      </w:r>
      <w:r>
        <w:rPr>
          <w:rFonts w:ascii="Calibri" w:eastAsia="Times New Roman" w:hAnsi="Calibri" w:cs="Times New Roman"/>
          <w:b/>
          <w:color w:val="333333"/>
          <w:sz w:val="20"/>
          <w:szCs w:val="20"/>
        </w:rPr>
        <w: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N</w:t>
      </w:r>
      <w:r>
        <w:rPr>
          <w:rFonts w:ascii="MathJax_Main" w:eastAsia="Times New Roman" w:hAnsi="MathJax_Main" w:cs="Times New Roman"/>
          <w:b/>
          <w:color w:val="333333"/>
          <w:sz w:val="15"/>
          <w:szCs w:val="15"/>
        </w:rPr>
        <w:t>)</w:t>
      </w:r>
      <w:r>
        <w:rPr>
          <w:rFonts w:ascii="Calibri" w:eastAsia="Times New Roman" w:hAnsi="Calibri" w:cs="Times New Roman"/>
          <w:b/>
          <w:color w:val="333333"/>
          <w:sz w:val="20"/>
          <w:szCs w:val="20"/>
        </w:rPr>
        <w: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M</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N</w:t>
      </w:r>
      <w:r>
        <w:rPr>
          <w:rFonts w:ascii="MathJax_Main" w:eastAsia="Times New Roman" w:hAnsi="MathJax_Main" w:cs="Times New Roman"/>
          <w:b/>
          <w:color w:val="333333"/>
          <w:sz w:val="15"/>
          <w:szCs w:val="15"/>
        </w:rPr>
        <w:t>).</w:t>
      </w:r>
    </w:p>
    <w:p w:rsidR="00AD77BB" w:rsidRDefault="00B45BA0">
      <w:pPr>
        <w:numPr>
          <w:ilvl w:val="0"/>
          <w:numId w:val="60"/>
        </w:numPr>
        <w:shd w:val="clear" w:color="auto" w:fill="E3EFF7"/>
        <w:spacing w:after="0" w:line="366" w:lineRule="atLeast"/>
        <w:ind w:left="360"/>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R</w:t>
      </w:r>
      <w:r>
        <w:rPr>
          <w:rFonts w:ascii="Cambria Math" w:eastAsia="Times New Roman" w:hAnsi="Cambria Math" w:cs="Cambria Math"/>
          <w:b/>
          <w:color w:val="333333"/>
          <w:sz w:val="15"/>
          <w:szCs w:val="15"/>
        </w:rPr>
        <w:t>∪</w:t>
      </w:r>
      <w:r>
        <w:rPr>
          <w:rFonts w:ascii="MathJax_Math" w:eastAsia="Times New Roman" w:hAnsi="MathJax_Math" w:cs="Times New Roman"/>
          <w:b/>
          <w:i/>
          <w:iCs/>
          <w:color w:val="333333"/>
          <w:sz w:val="15"/>
          <w:szCs w:val="15"/>
        </w:rPr>
        <w:t>S</w:t>
      </w:r>
      <w:r>
        <w:rPr>
          <w:rFonts w:ascii="MathJax_Main" w:eastAsia="Times New Roman" w:hAnsi="MathJax_Main" w:cs="Times New Roman"/>
          <w:b/>
          <w:color w:val="333333"/>
          <w:sz w:val="15"/>
          <w:szCs w:val="15"/>
        </w:rPr>
        <w:t>).</w:t>
      </w:r>
    </w:p>
    <w:p w:rsidR="00AD77BB" w:rsidRDefault="00B45BA0">
      <w:pPr>
        <w:numPr>
          <w:ilvl w:val="0"/>
          <w:numId w:val="60"/>
        </w:numPr>
        <w:shd w:val="clear" w:color="auto" w:fill="E3EFF7"/>
        <w:spacing w:after="0" w:line="366" w:lineRule="atLeast"/>
        <w:ind w:left="360"/>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R</w:t>
      </w:r>
      <w:r>
        <w:rPr>
          <w:rFonts w:ascii="MathJax_Math" w:eastAsia="Times New Roman" w:hAnsi="MathJax_Math" w:cs="Times New Roman"/>
          <w:b/>
          <w:i/>
          <w:iCs/>
          <w:color w:val="333333"/>
          <w:sz w:val="12"/>
          <w:szCs w:val="12"/>
          <w:vertAlign w:val="superscript"/>
        </w:rPr>
        <w:t>c</w:t>
      </w:r>
      <w:r>
        <w:rPr>
          <w:rFonts w:ascii="MathJax_Main" w:eastAsia="Times New Roman" w:hAnsi="MathJax_Main" w:cs="Times New Roman"/>
          <w:b/>
          <w:color w:val="333333"/>
          <w:sz w:val="15"/>
          <w:szCs w:val="15"/>
        </w:rPr>
        <w:t>).</w:t>
      </w:r>
    </w:p>
    <w:p w:rsidR="00AD77BB" w:rsidRDefault="00B45BA0">
      <w:pPr>
        <w:numPr>
          <w:ilvl w:val="0"/>
          <w:numId w:val="60"/>
        </w:numPr>
        <w:shd w:val="clear" w:color="auto" w:fill="E3EFF7"/>
        <w:spacing w:after="0" w:line="366" w:lineRule="atLeast"/>
        <w:ind w:lef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Determine whether or not the events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are mutually exclusive; the events </w:t>
      </w:r>
      <w:r>
        <w:rPr>
          <w:rFonts w:ascii="Calibri" w:eastAsia="Times New Roman" w:hAnsi="Calibri" w:cs="Times New Roman"/>
          <w:i/>
          <w:iCs/>
          <w:color w:val="333333"/>
          <w:sz w:val="20"/>
          <w:szCs w:val="20"/>
        </w:rPr>
        <w:t xml:space="preserve">N </w:t>
      </w:r>
      <w:r>
        <w:rPr>
          <w:rFonts w:ascii="Calibri" w:eastAsia="Times New Roman" w:hAnsi="Calibri" w:cs="Times New Roman"/>
          <w:color w:val="333333"/>
          <w:sz w:val="20"/>
          <w:szCs w:val="20"/>
        </w:rPr>
        <w:t>and </w:t>
      </w:r>
      <w:r>
        <w:rPr>
          <w:rFonts w:ascii="Calibri" w:eastAsia="Times New Roman" w:hAnsi="Calibri" w:cs="Times New Roman"/>
          <w:i/>
          <w:iCs/>
          <w:color w:val="333333"/>
          <w:sz w:val="20"/>
          <w:szCs w:val="20"/>
        </w:rPr>
        <w:t>T</w:t>
      </w:r>
      <w:r>
        <w:rPr>
          <w:rFonts w:ascii="Calibri" w:eastAsia="Times New Roman" w:hAnsi="Calibri" w:cs="Times New Roman"/>
          <w:color w:val="333333"/>
          <w:sz w:val="20"/>
          <w:szCs w:val="20"/>
        </w:rPr>
        <w:t>.</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APPLICATIONS</w:t>
      </w:r>
    </w:p>
    <w:p w:rsidR="00AD77BB" w:rsidRDefault="00B45BA0">
      <w:pPr>
        <w:numPr>
          <w:ilvl w:val="0"/>
          <w:numId w:val="6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Make a statement in ordinary English that describes the complement of each event (do not simply insert the word “not”).</w:t>
      </w:r>
    </w:p>
    <w:p w:rsidR="00AD77BB" w:rsidRDefault="00AD77BB">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p>
    <w:p w:rsidR="00AD77BB" w:rsidRDefault="00B45BA0">
      <w:pPr>
        <w:numPr>
          <w:ilvl w:val="1"/>
          <w:numId w:val="6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the roll of a die: “five or more.”</w:t>
      </w:r>
    </w:p>
    <w:p w:rsidR="00AD77BB" w:rsidRDefault="00B45BA0">
      <w:pPr>
        <w:numPr>
          <w:ilvl w:val="1"/>
          <w:numId w:val="6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a roll of a die: “an even number.”</w:t>
      </w:r>
    </w:p>
    <w:p w:rsidR="00AD77BB" w:rsidRDefault="00B45BA0">
      <w:pPr>
        <w:numPr>
          <w:ilvl w:val="1"/>
          <w:numId w:val="6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two tosses of a coin: “at least one heads.”</w:t>
      </w:r>
    </w:p>
    <w:p w:rsidR="00AD77BB" w:rsidRDefault="00B45BA0">
      <w:pPr>
        <w:numPr>
          <w:ilvl w:val="1"/>
          <w:numId w:val="6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the random selection of a college student: “Not a freshman.”</w:t>
      </w:r>
    </w:p>
    <w:p w:rsidR="00AD77BB" w:rsidRDefault="00AD77BB">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p>
    <w:p w:rsidR="00AD77BB" w:rsidRDefault="00B45BA0">
      <w:pPr>
        <w:numPr>
          <w:ilvl w:val="0"/>
          <w:numId w:val="6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Make a statement in ordinary English that describes the complement of each event (do not simply insert the word “not”).</w:t>
      </w:r>
    </w:p>
    <w:p w:rsidR="00AD77BB" w:rsidRDefault="00B45BA0">
      <w:pPr>
        <w:numPr>
          <w:ilvl w:val="1"/>
          <w:numId w:val="6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the roll of a die: “two or less.”</w:t>
      </w:r>
    </w:p>
    <w:p w:rsidR="00AD77BB" w:rsidRDefault="00B45BA0">
      <w:pPr>
        <w:numPr>
          <w:ilvl w:val="1"/>
          <w:numId w:val="6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the roll of a die: “one, three, or four.”</w:t>
      </w:r>
    </w:p>
    <w:p w:rsidR="00AD77BB" w:rsidRDefault="00B45BA0">
      <w:pPr>
        <w:numPr>
          <w:ilvl w:val="1"/>
          <w:numId w:val="6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two tosses of a coin: “at most one heads.”</w:t>
      </w:r>
    </w:p>
    <w:p w:rsidR="00AD77BB" w:rsidRDefault="00B45BA0">
      <w:pPr>
        <w:numPr>
          <w:ilvl w:val="1"/>
          <w:numId w:val="6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the random selection of a college student: “Neither a freshman nor a senior.”</w:t>
      </w:r>
    </w:p>
    <w:p w:rsidR="00AD77BB" w:rsidRDefault="00AD77BB">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p>
    <w:p w:rsidR="00AD77BB" w:rsidRDefault="00B45BA0">
      <w:pPr>
        <w:numPr>
          <w:ilvl w:val="0"/>
          <w:numId w:val="61"/>
        </w:numPr>
        <w:shd w:val="clear" w:color="auto" w:fill="DAEEF3" w:themeFill="accent5" w:themeFillTint="33"/>
        <w:spacing w:after="0" w:line="360" w:lineRule="auto"/>
        <w:ind w:left="446"/>
        <w:textAlignment w:val="baseline"/>
        <w:rPr>
          <w:rFonts w:ascii="Calibri" w:eastAsia="Times New Roman" w:hAnsi="Calibri" w:cs="Times New Roman"/>
          <w:b/>
          <w:color w:val="333333"/>
          <w:sz w:val="20"/>
          <w:szCs w:val="20"/>
        </w:rPr>
      </w:pPr>
      <w:r>
        <w:rPr>
          <w:rFonts w:ascii="Calibri" w:eastAsia="Times New Roman" w:hAnsi="Calibri" w:cs="Times New Roman"/>
          <w:color w:val="333333"/>
          <w:sz w:val="20"/>
          <w:szCs w:val="20"/>
        </w:rPr>
        <w:t>The sample space that describes all three-child families according to the genders of the children with respect to birth order is</w:t>
      </w:r>
    </w:p>
    <w:p w:rsidR="00AD77BB" w:rsidRDefault="00B45BA0">
      <w:pPr>
        <w:shd w:val="clear" w:color="auto" w:fill="DAEEF3" w:themeFill="accent5" w:themeFillTint="33"/>
        <w:spacing w:after="0" w:line="360" w:lineRule="auto"/>
        <w:ind w:left="446"/>
        <w:jc w:val="center"/>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S</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bbb</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bbg</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bgb</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bgg</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gbb</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gbg</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ggb</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ggg</w:t>
      </w:r>
      <w:r>
        <w:rPr>
          <w:rFonts w:ascii="MathJax_Main" w:eastAsia="Times New Roman" w:hAnsi="MathJax_Main" w:cs="Times New Roman"/>
          <w:b/>
          <w:color w:val="333333"/>
          <w:sz w:val="15"/>
          <w:szCs w:val="15"/>
        </w:rPr>
        <w:t>}.</w:t>
      </w:r>
    </w:p>
    <w:p w:rsidR="00AD77BB" w:rsidRDefault="00B45BA0">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 each of the following events in the experiment of selecting a three-child family at random, state the complement of the event in the simplest possible terms, then find the outcomes that comprise the event and its complement.</w:t>
      </w:r>
    </w:p>
    <w:p w:rsidR="00AD77BB" w:rsidRDefault="00AD77BB">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p>
    <w:p w:rsidR="00AD77BB" w:rsidRDefault="00B45BA0">
      <w:pPr>
        <w:pStyle w:val="ListParagraph"/>
        <w:numPr>
          <w:ilvl w:val="0"/>
          <w:numId w:val="6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At least one child is a girl.</w:t>
      </w:r>
      <w:r>
        <w:rPr>
          <w:rFonts w:ascii="Calibri" w:hAnsi="Calibri"/>
          <w:color w:val="333333"/>
          <w:sz w:val="20"/>
          <w:szCs w:val="20"/>
        </w:rPr>
        <w:t xml:space="preserve"> </w:t>
      </w:r>
    </w:p>
    <w:p w:rsidR="00AD77BB" w:rsidRDefault="00B45BA0">
      <w:pPr>
        <w:numPr>
          <w:ilvl w:val="0"/>
          <w:numId w:val="6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At most one child is a girl.</w:t>
      </w:r>
    </w:p>
    <w:p w:rsidR="00AD77BB" w:rsidRDefault="00B45BA0">
      <w:pPr>
        <w:numPr>
          <w:ilvl w:val="0"/>
          <w:numId w:val="6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All of the children are girls.</w:t>
      </w:r>
    </w:p>
    <w:p w:rsidR="00AD77BB" w:rsidRDefault="00B45BA0">
      <w:pPr>
        <w:numPr>
          <w:ilvl w:val="0"/>
          <w:numId w:val="6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Exactly two of the children are girls.</w:t>
      </w:r>
    </w:p>
    <w:p w:rsidR="00AD77BB" w:rsidRDefault="00B45BA0">
      <w:pPr>
        <w:numPr>
          <w:ilvl w:val="0"/>
          <w:numId w:val="6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The first born is a girl.</w:t>
      </w:r>
    </w:p>
    <w:p w:rsidR="00AD77BB" w:rsidRDefault="00AD77BB">
      <w:p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p>
    <w:p w:rsidR="00AD77BB" w:rsidRDefault="00B45BA0">
      <w:pPr>
        <w:pStyle w:val="ListParagraph"/>
        <w:numPr>
          <w:ilvl w:val="0"/>
          <w:numId w:val="6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The sample space that describes the two-way classification of citizens according to gender and opinion on a political issue is</w:t>
      </w:r>
    </w:p>
    <w:p w:rsidR="00AD77BB" w:rsidRDefault="00B45BA0">
      <w:pPr>
        <w:shd w:val="clear" w:color="auto" w:fill="DAEEF3" w:themeFill="accent5" w:themeFillTint="33"/>
        <w:spacing w:after="0" w:line="439" w:lineRule="atLeast"/>
        <w:ind w:left="450"/>
        <w:jc w:val="center"/>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S</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mf</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ma</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mn</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ff</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fa</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fn</w:t>
      </w:r>
      <w:r>
        <w:rPr>
          <w:rFonts w:ascii="MathJax_Main" w:eastAsia="Times New Roman" w:hAnsi="MathJax_Main" w:cs="Times New Roman"/>
          <w:b/>
          <w:color w:val="333333"/>
          <w:sz w:val="15"/>
          <w:szCs w:val="15"/>
        </w:rPr>
        <w:t>},</w:t>
      </w:r>
    </w:p>
    <w:p w:rsidR="00AD77BB" w:rsidRDefault="00B45BA0">
      <w:p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where the first letter denotes gender (</w:t>
      </w:r>
      <w:r>
        <w:rPr>
          <w:rFonts w:ascii="Calibri" w:eastAsia="Times New Roman" w:hAnsi="Calibri" w:cs="Times New Roman"/>
          <w:i/>
          <w:iCs/>
          <w:color w:val="333333"/>
          <w:sz w:val="20"/>
          <w:szCs w:val="20"/>
        </w:rPr>
        <w:t>m</w:t>
      </w:r>
      <w:r>
        <w:rPr>
          <w:rFonts w:ascii="Calibri" w:eastAsia="Times New Roman" w:hAnsi="Calibri" w:cs="Times New Roman"/>
          <w:color w:val="333333"/>
          <w:sz w:val="20"/>
          <w:szCs w:val="20"/>
        </w:rPr>
        <w:t>: male, </w:t>
      </w:r>
      <w:r>
        <w:rPr>
          <w:rFonts w:ascii="Calibri" w:eastAsia="Times New Roman" w:hAnsi="Calibri" w:cs="Times New Roman"/>
          <w:i/>
          <w:iCs/>
          <w:color w:val="333333"/>
          <w:sz w:val="20"/>
          <w:szCs w:val="20"/>
        </w:rPr>
        <w:t>f</w:t>
      </w:r>
      <w:r>
        <w:rPr>
          <w:rFonts w:ascii="Calibri" w:eastAsia="Times New Roman" w:hAnsi="Calibri" w:cs="Times New Roman"/>
          <w:color w:val="333333"/>
          <w:sz w:val="20"/>
          <w:szCs w:val="20"/>
        </w:rPr>
        <w:t>: female) and the second opinion (</w:t>
      </w:r>
      <w:r>
        <w:rPr>
          <w:rFonts w:ascii="Calibri" w:eastAsia="Times New Roman" w:hAnsi="Calibri" w:cs="Times New Roman"/>
          <w:i/>
          <w:iCs/>
          <w:color w:val="333333"/>
          <w:sz w:val="20"/>
          <w:szCs w:val="20"/>
        </w:rPr>
        <w:t>f</w:t>
      </w:r>
      <w:r>
        <w:rPr>
          <w:rFonts w:ascii="Calibri" w:eastAsia="Times New Roman" w:hAnsi="Calibri" w:cs="Times New Roman"/>
          <w:color w:val="333333"/>
          <w:sz w:val="20"/>
          <w:szCs w:val="20"/>
        </w:rPr>
        <w:t>: for,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against,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neutral). For each of the following events in the experiment of selecting a citizen at random, state the complement of the event in the simplest possible terms, then find the outcomes that comprise the event and its complement.</w:t>
      </w:r>
    </w:p>
    <w:p w:rsidR="00AD77BB" w:rsidRDefault="00B45BA0">
      <w:pPr>
        <w:numPr>
          <w:ilvl w:val="1"/>
          <w:numId w:val="6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is male.</w:t>
      </w:r>
    </w:p>
    <w:p w:rsidR="00AD77BB" w:rsidRDefault="00B45BA0">
      <w:pPr>
        <w:numPr>
          <w:ilvl w:val="1"/>
          <w:numId w:val="6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is not in favor.</w:t>
      </w:r>
    </w:p>
    <w:p w:rsidR="00AD77BB" w:rsidRDefault="00B45BA0">
      <w:pPr>
        <w:numPr>
          <w:ilvl w:val="1"/>
          <w:numId w:val="6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is either male or in favor.</w:t>
      </w:r>
    </w:p>
    <w:p w:rsidR="00AD77BB" w:rsidRDefault="00B45BA0">
      <w:pPr>
        <w:numPr>
          <w:ilvl w:val="1"/>
          <w:numId w:val="61"/>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is female and neutral.</w:t>
      </w:r>
    </w:p>
    <w:p w:rsidR="00AD77BB" w:rsidRDefault="00AD77BB">
      <w:pPr>
        <w:shd w:val="clear" w:color="auto" w:fill="DAEEF3" w:themeFill="accent5" w:themeFillTint="33"/>
        <w:spacing w:after="0" w:line="439" w:lineRule="atLeast"/>
        <w:ind w:left="1440"/>
        <w:textAlignment w:val="baseline"/>
        <w:rPr>
          <w:rFonts w:ascii="Calibri" w:eastAsia="Times New Roman" w:hAnsi="Calibri" w:cs="Times New Roman"/>
          <w:color w:val="333333"/>
          <w:sz w:val="20"/>
          <w:szCs w:val="20"/>
        </w:rPr>
      </w:pPr>
    </w:p>
    <w:p w:rsidR="00AD77BB" w:rsidRDefault="00B45BA0">
      <w:pPr>
        <w:numPr>
          <w:ilvl w:val="0"/>
          <w:numId w:val="61"/>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tourist who speaks English and German but no other language visits a region of Slovenia. If 35% of the residents speak English, 15% speak German, and 3% speak both English and German, what is the probability that the tourist will be able to talk with a randomly encountered resident of the region?</w:t>
      </w:r>
    </w:p>
    <w:p w:rsidR="00AD77BB" w:rsidRDefault="00AD77BB">
      <w:p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p>
    <w:p w:rsidR="00AD77BB" w:rsidRDefault="00B45BA0">
      <w:pPr>
        <w:numPr>
          <w:ilvl w:val="0"/>
          <w:numId w:val="61"/>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a certain country 43% of all automobiles have airbags, 27% have anti-lock brakes, and 13% have both. What is the probability that a randomly selected vehicle will have both airbags and anti-lock brakes?</w:t>
      </w:r>
    </w:p>
    <w:p w:rsidR="00AD77BB" w:rsidRDefault="00B45BA0">
      <w:pPr>
        <w:pStyle w:val="ListParagraph"/>
        <w:numPr>
          <w:ilvl w:val="0"/>
          <w:numId w:val="61"/>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A manufacturer examines its records over the last year on a component part received from outside suppliers. The breakdown on source (supplier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supplier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and quality (</w:t>
      </w:r>
      <w:r>
        <w:rPr>
          <w:rFonts w:ascii="Calibri" w:eastAsia="Times New Roman" w:hAnsi="Calibri" w:cs="Times New Roman"/>
          <w:i/>
          <w:iCs/>
          <w:color w:val="333333"/>
          <w:sz w:val="20"/>
          <w:szCs w:val="20"/>
        </w:rPr>
        <w:t>H</w:t>
      </w:r>
      <w:r>
        <w:rPr>
          <w:rFonts w:ascii="Calibri" w:eastAsia="Times New Roman" w:hAnsi="Calibri" w:cs="Times New Roman"/>
          <w:color w:val="333333"/>
          <w:sz w:val="20"/>
          <w:szCs w:val="20"/>
        </w:rPr>
        <w:t>: high, </w:t>
      </w:r>
      <w:r>
        <w:rPr>
          <w:rFonts w:ascii="Calibri" w:eastAsia="Times New Roman" w:hAnsi="Calibri" w:cs="Times New Roman"/>
          <w:i/>
          <w:iCs/>
          <w:color w:val="333333"/>
          <w:sz w:val="20"/>
          <w:szCs w:val="20"/>
        </w:rPr>
        <w:t>U</w:t>
      </w:r>
      <w:r>
        <w:rPr>
          <w:rFonts w:ascii="Calibri" w:eastAsia="Times New Roman" w:hAnsi="Calibri" w:cs="Times New Roman"/>
          <w:color w:val="333333"/>
          <w:sz w:val="20"/>
          <w:szCs w:val="20"/>
        </w:rPr>
        <w:t>: usable, </w:t>
      </w:r>
      <w:r>
        <w:rPr>
          <w:rFonts w:ascii="Calibri" w:eastAsia="Times New Roman" w:hAnsi="Calibri" w:cs="Times New Roman"/>
          <w:i/>
          <w:iCs/>
          <w:color w:val="333333"/>
          <w:sz w:val="20"/>
          <w:szCs w:val="20"/>
        </w:rPr>
        <w:t>D</w:t>
      </w:r>
      <w:r>
        <w:rPr>
          <w:rFonts w:ascii="Calibri" w:eastAsia="Times New Roman" w:hAnsi="Calibri" w:cs="Times New Roman"/>
          <w:color w:val="333333"/>
          <w:sz w:val="20"/>
          <w:szCs w:val="20"/>
        </w:rPr>
        <w:t>: defective) is shown in the two-way contingency table.</w:t>
      </w:r>
    </w:p>
    <w:tbl>
      <w:tblPr>
        <w:tblW w:w="0" w:type="auto"/>
        <w:tblCellMar>
          <w:left w:w="0" w:type="dxa"/>
          <w:right w:w="0" w:type="dxa"/>
        </w:tblCellMar>
        <w:tblLook w:val="04A0" w:firstRow="1" w:lastRow="0" w:firstColumn="1" w:lastColumn="0" w:noHBand="0" w:noVBand="1"/>
      </w:tblPr>
      <w:tblGrid>
        <w:gridCol w:w="297"/>
        <w:gridCol w:w="810"/>
        <w:gridCol w:w="810"/>
        <w:gridCol w:w="810"/>
      </w:tblGrid>
      <w:tr w:rsidR="00AD77BB">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H</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U</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D</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i/>
                <w:iCs/>
                <w:sz w:val="24"/>
                <w:szCs w:val="24"/>
              </w:rPr>
              <w:t>A</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0.6937</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0.0049</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0.0014</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i/>
                <w:iCs/>
                <w:sz w:val="24"/>
                <w:szCs w:val="24"/>
              </w:rPr>
              <w:t>B</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0.2982</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0.0009</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0.0009</w:t>
            </w:r>
          </w:p>
        </w:tc>
      </w:tr>
    </w:tbl>
    <w:p w:rsidR="00AD77BB" w:rsidRDefault="00B45BA0">
      <w:p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record of a part is selected at random. Find the probability of each of the following events.</w:t>
      </w:r>
    </w:p>
    <w:p w:rsidR="00AD77BB" w:rsidRDefault="00B45BA0">
      <w:pPr>
        <w:numPr>
          <w:ilvl w:val="0"/>
          <w:numId w:val="63"/>
        </w:numPr>
        <w:shd w:val="clear" w:color="auto" w:fill="E3EFF7"/>
        <w:spacing w:after="0" w:line="366" w:lineRule="atLeast"/>
        <w:ind w:lef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part was defective.</w:t>
      </w:r>
    </w:p>
    <w:p w:rsidR="00AD77BB" w:rsidRDefault="00B45BA0">
      <w:pPr>
        <w:numPr>
          <w:ilvl w:val="0"/>
          <w:numId w:val="63"/>
        </w:numPr>
        <w:shd w:val="clear" w:color="auto" w:fill="E3EFF7"/>
        <w:spacing w:after="0" w:line="366" w:lineRule="atLeast"/>
        <w:ind w:lef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part was either of high quality or was at least usable, in two ways: (i) by adding numbers in the table, and (ii) using the answer to (a) and the Probability Rule for Complements.</w:t>
      </w:r>
    </w:p>
    <w:p w:rsidR="00AD77BB" w:rsidRDefault="00B45BA0">
      <w:pPr>
        <w:numPr>
          <w:ilvl w:val="0"/>
          <w:numId w:val="63"/>
        </w:numPr>
        <w:shd w:val="clear" w:color="auto" w:fill="E3EFF7"/>
        <w:spacing w:after="0" w:line="366" w:lineRule="atLeast"/>
        <w:ind w:lef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The part was defective and came from supplier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w:t>
      </w:r>
    </w:p>
    <w:p w:rsidR="00AD77BB" w:rsidRDefault="00B45BA0">
      <w:pPr>
        <w:numPr>
          <w:ilvl w:val="0"/>
          <w:numId w:val="63"/>
        </w:numPr>
        <w:shd w:val="clear" w:color="auto" w:fill="E3EFF7"/>
        <w:spacing w:after="0" w:line="366" w:lineRule="atLeast"/>
        <w:ind w:lef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part was defective or came from supplier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in two ways: by finding the cells in the table that correspond to this event and adding their probabilities, and (ii) using the Additive Rule of Probability.</w:t>
      </w:r>
    </w:p>
    <w:p w:rsidR="00AD77BB" w:rsidRDefault="00AD77BB">
      <w:pPr>
        <w:shd w:val="clear" w:color="auto" w:fill="E3EFF7"/>
        <w:spacing w:after="0" w:line="366" w:lineRule="atLeast"/>
        <w:textAlignment w:val="baseline"/>
        <w:rPr>
          <w:rFonts w:ascii="Calibri" w:eastAsia="Times New Roman" w:hAnsi="Calibri" w:cs="Times New Roman"/>
          <w:color w:val="333333"/>
          <w:sz w:val="20"/>
          <w:szCs w:val="20"/>
        </w:rPr>
      </w:pPr>
    </w:p>
    <w:p w:rsidR="00AD77BB" w:rsidRDefault="00B45BA0">
      <w:p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18. Individuals with a particular medical condition were classified according to the presence (</w:t>
      </w:r>
      <w:r>
        <w:rPr>
          <w:rFonts w:ascii="Calibri" w:eastAsia="Times New Roman" w:hAnsi="Calibri" w:cs="Times New Roman"/>
          <w:i/>
          <w:iCs/>
          <w:color w:val="333333"/>
          <w:sz w:val="20"/>
          <w:szCs w:val="20"/>
        </w:rPr>
        <w:t>T</w:t>
      </w:r>
      <w:r>
        <w:rPr>
          <w:rFonts w:ascii="Calibri" w:eastAsia="Times New Roman" w:hAnsi="Calibri" w:cs="Times New Roman"/>
          <w:color w:val="333333"/>
          <w:sz w:val="20"/>
          <w:szCs w:val="20"/>
        </w:rPr>
        <w:t>) or absence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of a potential toxin in their blood and the onset of the condition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early, </w:t>
      </w:r>
      <w:r>
        <w:rPr>
          <w:rFonts w:ascii="Calibri" w:eastAsia="Times New Roman" w:hAnsi="Calibri" w:cs="Times New Roman"/>
          <w:i/>
          <w:iCs/>
          <w:color w:val="333333"/>
          <w:sz w:val="20"/>
          <w:szCs w:val="20"/>
        </w:rPr>
        <w:t>M</w:t>
      </w:r>
      <w:r>
        <w:rPr>
          <w:rFonts w:ascii="Calibri" w:eastAsia="Times New Roman" w:hAnsi="Calibri" w:cs="Times New Roman"/>
          <w:color w:val="333333"/>
          <w:sz w:val="20"/>
          <w:szCs w:val="20"/>
        </w:rPr>
        <w:t>: midrange, </w:t>
      </w:r>
      <w:r>
        <w:rPr>
          <w:rFonts w:ascii="Calibri" w:eastAsia="Times New Roman" w:hAnsi="Calibri" w:cs="Times New Roman"/>
          <w:i/>
          <w:iCs/>
          <w:color w:val="333333"/>
          <w:sz w:val="20"/>
          <w:szCs w:val="20"/>
        </w:rPr>
        <w:t>L</w:t>
      </w:r>
      <w:r>
        <w:rPr>
          <w:rFonts w:ascii="Calibri" w:eastAsia="Times New Roman" w:hAnsi="Calibri" w:cs="Times New Roman"/>
          <w:color w:val="333333"/>
          <w:sz w:val="20"/>
          <w:szCs w:val="20"/>
        </w:rPr>
        <w:t>: late). The breakdown according to this classification is shown in the two-way contingency table.</w:t>
      </w:r>
    </w:p>
    <w:tbl>
      <w:tblPr>
        <w:tblW w:w="0" w:type="auto"/>
        <w:tblInd w:w="450" w:type="dxa"/>
        <w:tblCellMar>
          <w:left w:w="0" w:type="dxa"/>
          <w:right w:w="0" w:type="dxa"/>
        </w:tblCellMar>
        <w:tblLook w:val="04A0" w:firstRow="1" w:lastRow="0" w:firstColumn="1" w:lastColumn="0" w:noHBand="0" w:noVBand="1"/>
      </w:tblPr>
      <w:tblGrid>
        <w:gridCol w:w="311"/>
        <w:gridCol w:w="690"/>
        <w:gridCol w:w="690"/>
        <w:gridCol w:w="69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L</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i/>
                <w:iCs/>
                <w:sz w:val="24"/>
                <w:szCs w:val="24"/>
              </w:rPr>
              <w:t>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0.013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i/>
                <w:iCs/>
                <w:sz w:val="24"/>
                <w:szCs w:val="24"/>
              </w:rPr>
              <w:t>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0.043</w:t>
            </w:r>
          </w:p>
        </w:tc>
      </w:tr>
    </w:tbl>
    <w:p w:rsidR="00AD77BB" w:rsidRDefault="00B45BA0">
      <w:pPr>
        <w:shd w:val="clear" w:color="auto" w:fill="DAEEF3" w:themeFill="accent5" w:themeFillTint="33"/>
        <w:spacing w:after="0" w:line="360" w:lineRule="auto"/>
        <w:ind w:left="72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One of these individuals is selected at random. Find the probability of each of the following events.</w:t>
      </w:r>
    </w:p>
    <w:p w:rsidR="00AD77BB" w:rsidRDefault="00B45BA0">
      <w:pPr>
        <w:numPr>
          <w:ilvl w:val="1"/>
          <w:numId w:val="6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experienced early onset of the condition.</w:t>
      </w:r>
    </w:p>
    <w:p w:rsidR="00AD77BB" w:rsidRDefault="00B45BA0">
      <w:pPr>
        <w:numPr>
          <w:ilvl w:val="1"/>
          <w:numId w:val="6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onset of the condition was either midrange or late, in two ways: (i) by adding numbers in the table, and (ii) using the answer to (a) and the Probability Rule for Complements.</w:t>
      </w:r>
    </w:p>
    <w:p w:rsidR="00AD77BB" w:rsidRDefault="00B45BA0">
      <w:pPr>
        <w:numPr>
          <w:ilvl w:val="1"/>
          <w:numId w:val="6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toxin is present in the person’s blood.</w:t>
      </w:r>
    </w:p>
    <w:p w:rsidR="00AD77BB" w:rsidRDefault="00B45BA0">
      <w:pPr>
        <w:numPr>
          <w:ilvl w:val="1"/>
          <w:numId w:val="6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experienced early onset of the condition and the toxin is present in the person’s blood.</w:t>
      </w:r>
    </w:p>
    <w:p w:rsidR="00AD77BB" w:rsidRDefault="00B45BA0">
      <w:pPr>
        <w:numPr>
          <w:ilvl w:val="1"/>
          <w:numId w:val="6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experienced early onset of the condition or the toxin is present in the person’s blood, in two ways: (i) by finding the cells in the table that correspond to this event and adding their probabilities, and (ii) using the Additive Rule of Probability.</w:t>
      </w:r>
    </w:p>
    <w:p w:rsidR="00AD77BB" w:rsidRDefault="00B45BA0">
      <w:pPr>
        <w:numPr>
          <w:ilvl w:val="0"/>
          <w:numId w:val="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breakdown of the students enrolled in a university course by class (</w:t>
      </w:r>
      <w:r>
        <w:rPr>
          <w:rFonts w:ascii="Calibri" w:eastAsia="Times New Roman" w:hAnsi="Calibri" w:cs="Times New Roman"/>
          <w:i/>
          <w:iCs/>
          <w:color w:val="333333"/>
          <w:sz w:val="20"/>
          <w:szCs w:val="20"/>
        </w:rPr>
        <w:t>F</w:t>
      </w:r>
      <w:r>
        <w:rPr>
          <w:rFonts w:ascii="Calibri" w:eastAsia="Times New Roman" w:hAnsi="Calibri" w:cs="Times New Roman"/>
          <w:color w:val="333333"/>
          <w:sz w:val="20"/>
          <w:szCs w:val="20"/>
        </w:rPr>
        <w:t>: freshman, </w:t>
      </w:r>
      <w:r>
        <w:rPr>
          <w:rFonts w:ascii="MathJax_Math" w:eastAsia="Times New Roman" w:hAnsi="MathJax_Math" w:cs="Times New Roman"/>
          <w:b/>
          <w:i/>
          <w:iCs/>
          <w:color w:val="333333"/>
          <w:sz w:val="15"/>
          <w:szCs w:val="15"/>
        </w:rPr>
        <w:t>So</w:t>
      </w:r>
      <w:r>
        <w:rPr>
          <w:rFonts w:ascii="Calibri" w:eastAsia="Times New Roman" w:hAnsi="Calibri" w:cs="Times New Roman"/>
          <w:color w:val="333333"/>
          <w:sz w:val="20"/>
          <w:szCs w:val="20"/>
        </w:rPr>
        <w:t>: sophomore, </w:t>
      </w:r>
      <w:r>
        <w:rPr>
          <w:rFonts w:ascii="Calibri" w:eastAsia="Times New Roman" w:hAnsi="Calibri" w:cs="Times New Roman"/>
          <w:i/>
          <w:iCs/>
          <w:color w:val="333333"/>
          <w:sz w:val="20"/>
          <w:szCs w:val="20"/>
        </w:rPr>
        <w:t>J</w:t>
      </w:r>
      <w:r>
        <w:rPr>
          <w:rFonts w:ascii="Calibri" w:eastAsia="Times New Roman" w:hAnsi="Calibri" w:cs="Times New Roman"/>
          <w:color w:val="333333"/>
          <w:sz w:val="20"/>
          <w:szCs w:val="20"/>
        </w:rPr>
        <w:t>: junior, </w:t>
      </w:r>
      <w:r>
        <w:rPr>
          <w:rFonts w:ascii="MathJax_Math" w:eastAsia="Times New Roman" w:hAnsi="MathJax_Math" w:cs="Times New Roman"/>
          <w:b/>
          <w:i/>
          <w:iCs/>
          <w:color w:val="333333"/>
          <w:sz w:val="15"/>
          <w:szCs w:val="15"/>
        </w:rPr>
        <w:t>Se</w:t>
      </w:r>
      <w:r>
        <w:rPr>
          <w:rFonts w:ascii="Calibri" w:eastAsia="Times New Roman" w:hAnsi="Calibri" w:cs="Times New Roman"/>
          <w:color w:val="333333"/>
          <w:sz w:val="20"/>
          <w:szCs w:val="20"/>
        </w:rPr>
        <w:t>: senior) and academic major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science, mathematics, or engineering, </w:t>
      </w:r>
      <w:r>
        <w:rPr>
          <w:rFonts w:ascii="Calibri" w:eastAsia="Times New Roman" w:hAnsi="Calibri" w:cs="Times New Roman"/>
          <w:i/>
          <w:iCs/>
          <w:color w:val="333333"/>
          <w:sz w:val="20"/>
          <w:szCs w:val="20"/>
        </w:rPr>
        <w:t>L</w:t>
      </w:r>
      <w:r>
        <w:rPr>
          <w:rFonts w:ascii="Calibri" w:eastAsia="Times New Roman" w:hAnsi="Calibri" w:cs="Times New Roman"/>
          <w:color w:val="333333"/>
          <w:sz w:val="20"/>
          <w:szCs w:val="20"/>
        </w:rPr>
        <w:t>: liberal arts, </w:t>
      </w:r>
      <w:r>
        <w:rPr>
          <w:rFonts w:ascii="Calibri" w:eastAsia="Times New Roman" w:hAnsi="Calibri" w:cs="Times New Roman"/>
          <w:i/>
          <w:iCs/>
          <w:color w:val="333333"/>
          <w:sz w:val="20"/>
          <w:szCs w:val="20"/>
        </w:rPr>
        <w:t>O</w:t>
      </w:r>
      <w:r>
        <w:rPr>
          <w:rFonts w:ascii="Calibri" w:eastAsia="Times New Roman" w:hAnsi="Calibri" w:cs="Times New Roman"/>
          <w:color w:val="333333"/>
          <w:sz w:val="20"/>
          <w:szCs w:val="20"/>
        </w:rPr>
        <w:t>: other) is shown in the two-way classification table.</w:t>
      </w:r>
    </w:p>
    <w:tbl>
      <w:tblPr>
        <w:tblW w:w="0" w:type="auto"/>
        <w:tblInd w:w="450" w:type="dxa"/>
        <w:tblCellMar>
          <w:left w:w="0" w:type="dxa"/>
          <w:right w:w="0" w:type="dxa"/>
        </w:tblCellMar>
        <w:tblLook w:val="04A0" w:firstRow="1" w:lastRow="0" w:firstColumn="1" w:lastColumn="0" w:noHBand="0" w:noVBand="1"/>
      </w:tblPr>
      <w:tblGrid>
        <w:gridCol w:w="803"/>
        <w:gridCol w:w="510"/>
        <w:gridCol w:w="510"/>
        <w:gridCol w:w="510"/>
        <w:gridCol w:w="390"/>
      </w:tblGrid>
      <w:tr w:rsidR="00AD77BB">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Major</w:t>
            </w:r>
          </w:p>
        </w:tc>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Class</w:t>
            </w:r>
          </w:p>
        </w:tc>
      </w:tr>
      <w:tr w:rsidR="00AD77BB">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F</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So</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J</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Se</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i/>
                <w:iCs/>
                <w:sz w:val="24"/>
                <w:szCs w:val="24"/>
              </w:rPr>
              <w: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i/>
                <w:iCs/>
                <w:sz w:val="24"/>
                <w:szCs w:val="24"/>
              </w:rPr>
              <w:t>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i/>
                <w:iCs/>
                <w:sz w:val="24"/>
                <w:szCs w:val="24"/>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67</w:t>
            </w:r>
          </w:p>
        </w:tc>
      </w:tr>
    </w:tbl>
    <w:p w:rsidR="00AD77BB" w:rsidRDefault="00B45BA0">
      <w:pPr>
        <w:shd w:val="clear" w:color="auto" w:fill="DAEEF3" w:themeFill="accent5" w:themeFillTint="33"/>
        <w:spacing w:after="0" w:line="360" w:lineRule="auto"/>
        <w:ind w:left="72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student enrolled in the course is selected at random. Adjoin the row and column totals to the table and use the expanded table to find the probability of each of the following events.</w:t>
      </w:r>
    </w:p>
    <w:p w:rsidR="00AD77BB" w:rsidRDefault="00B45BA0">
      <w:pPr>
        <w:numPr>
          <w:ilvl w:val="1"/>
          <w:numId w:val="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student is a freshman.</w:t>
      </w:r>
    </w:p>
    <w:p w:rsidR="00AD77BB" w:rsidRDefault="00B45BA0">
      <w:pPr>
        <w:numPr>
          <w:ilvl w:val="1"/>
          <w:numId w:val="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student is a liberal arts major.</w:t>
      </w:r>
    </w:p>
    <w:p w:rsidR="00AD77BB" w:rsidRDefault="00B45BA0">
      <w:pPr>
        <w:numPr>
          <w:ilvl w:val="1"/>
          <w:numId w:val="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The student is a freshman liberal arts major.</w:t>
      </w:r>
    </w:p>
    <w:p w:rsidR="00AD77BB" w:rsidRDefault="00B45BA0">
      <w:pPr>
        <w:numPr>
          <w:ilvl w:val="1"/>
          <w:numId w:val="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student is either a freshman or a liberal arts major.</w:t>
      </w:r>
    </w:p>
    <w:p w:rsidR="00AD77BB" w:rsidRDefault="00B45BA0">
      <w:pPr>
        <w:numPr>
          <w:ilvl w:val="1"/>
          <w:numId w:val="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student is not a liberal arts major.</w:t>
      </w:r>
    </w:p>
    <w:p w:rsidR="00AD77BB" w:rsidRDefault="00B45BA0">
      <w:pPr>
        <w:numPr>
          <w:ilvl w:val="0"/>
          <w:numId w:val="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table relates the response to a fund-raising appeal by a college to its alumni to the number of years since graduation.</w:t>
      </w:r>
    </w:p>
    <w:tbl>
      <w:tblPr>
        <w:tblW w:w="0" w:type="auto"/>
        <w:tblInd w:w="450" w:type="dxa"/>
        <w:tblCellMar>
          <w:left w:w="0" w:type="dxa"/>
          <w:right w:w="0" w:type="dxa"/>
        </w:tblCellMar>
        <w:tblLook w:val="04A0" w:firstRow="1" w:lastRow="0" w:firstColumn="1" w:lastColumn="0" w:noHBand="0" w:noVBand="1"/>
      </w:tblPr>
      <w:tblGrid>
        <w:gridCol w:w="1111"/>
        <w:gridCol w:w="630"/>
        <w:gridCol w:w="630"/>
        <w:gridCol w:w="750"/>
        <w:gridCol w:w="970"/>
      </w:tblGrid>
      <w:tr w:rsidR="00AD77BB">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Response</w:t>
            </w:r>
          </w:p>
        </w:tc>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Years Since Graduation</w:t>
            </w:r>
          </w:p>
        </w:tc>
      </w:tr>
      <w:tr w:rsidR="00AD77BB">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0–5</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6–20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21–35</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Over 35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Positive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910</w:t>
            </w:r>
          </w:p>
        </w:tc>
      </w:tr>
    </w:tbl>
    <w:p w:rsidR="00AD77BB" w:rsidRDefault="00B45BA0">
      <w:pPr>
        <w:shd w:val="clear" w:color="auto" w:fill="DAEEF3" w:themeFill="accent5" w:themeFillTint="33"/>
        <w:spacing w:after="0" w:line="360" w:lineRule="auto"/>
        <w:ind w:left="72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alumnus is selected at random. Adjoin the row and column totals to the table and use the expanded table to find the probability of each of the following events.</w:t>
      </w:r>
    </w:p>
    <w:p w:rsidR="00AD77BB" w:rsidRDefault="00B45BA0">
      <w:pPr>
        <w:numPr>
          <w:ilvl w:val="1"/>
          <w:numId w:val="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alumnus responded.</w:t>
      </w:r>
    </w:p>
    <w:p w:rsidR="00AD77BB" w:rsidRDefault="00B45BA0">
      <w:pPr>
        <w:numPr>
          <w:ilvl w:val="1"/>
          <w:numId w:val="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alumnus did not respond.</w:t>
      </w:r>
    </w:p>
    <w:p w:rsidR="00AD77BB" w:rsidRDefault="00B45BA0">
      <w:pPr>
        <w:numPr>
          <w:ilvl w:val="1"/>
          <w:numId w:val="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alumnus graduated at least 21 years ago.</w:t>
      </w:r>
    </w:p>
    <w:p w:rsidR="00AD77BB" w:rsidRDefault="00B45BA0">
      <w:pPr>
        <w:numPr>
          <w:ilvl w:val="1"/>
          <w:numId w:val="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alumnus graduated at least 21 years ago and responded.</w:t>
      </w:r>
    </w:p>
    <w:p w:rsidR="00AD77BB" w:rsidRDefault="00AD77BB">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ADDITIONAL EXERCISES</w:t>
      </w:r>
    </w:p>
    <w:p w:rsidR="00AD77BB" w:rsidRDefault="00B45BA0">
      <w:pPr>
        <w:numPr>
          <w:ilvl w:val="0"/>
          <w:numId w:val="65"/>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sample space for tossing three coins is</w:t>
      </w:r>
    </w:p>
    <w:p w:rsidR="00AD77BB" w:rsidRDefault="00B45BA0">
      <w:pPr>
        <w:shd w:val="clear" w:color="auto" w:fill="DAEEF3" w:themeFill="accent5" w:themeFillTint="33"/>
        <w:spacing w:after="0" w:line="360" w:lineRule="auto"/>
        <w:ind w:left="446"/>
        <w:jc w:val="center"/>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S</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hhh</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hht</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hth</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htt</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thh</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tht</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tth</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ttt</w:t>
      </w:r>
      <w:r>
        <w:rPr>
          <w:rFonts w:ascii="MathJax_Main" w:eastAsia="Times New Roman" w:hAnsi="MathJax_Main" w:cs="Times New Roman"/>
          <w:b/>
          <w:color w:val="333333"/>
          <w:sz w:val="15"/>
          <w:szCs w:val="15"/>
        </w:rPr>
        <w:t>}</w:t>
      </w:r>
    </w:p>
    <w:p w:rsidR="00AD77BB" w:rsidRDefault="00B45BA0">
      <w:pPr>
        <w:numPr>
          <w:ilvl w:val="1"/>
          <w:numId w:val="65"/>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List the outcomes that correspond to the statement “All the coins are heads.”</w:t>
      </w:r>
    </w:p>
    <w:p w:rsidR="00AD77BB" w:rsidRDefault="00B45BA0">
      <w:pPr>
        <w:numPr>
          <w:ilvl w:val="1"/>
          <w:numId w:val="65"/>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List the outcomes that correspond to the statement “Not all the coins are heads.”</w:t>
      </w:r>
    </w:p>
    <w:p w:rsidR="00AD77BB" w:rsidRDefault="00B45BA0">
      <w:pPr>
        <w:numPr>
          <w:ilvl w:val="1"/>
          <w:numId w:val="65"/>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List the outcomes that correspond to the statement “All the coins are not heads.”</w:t>
      </w:r>
    </w:p>
    <w:p w:rsidR="00AD77BB" w:rsidRDefault="00B45BA0">
      <w:pPr>
        <w:pStyle w:val="para"/>
        <w:shd w:val="clear" w:color="auto" w:fill="FFFFFF" w:themeFill="background1"/>
        <w:spacing w:before="0" w:beforeAutospacing="0" w:after="0" w:afterAutospacing="0" w:line="360" w:lineRule="auto"/>
        <w:ind w:left="446"/>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3BF67C5F" wp14:editId="7A0E28F1">
            <wp:extent cx="5762625" cy="7181850"/>
            <wp:effectExtent l="0" t="0" r="9525" b="0"/>
            <wp:docPr id="94"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62625" cy="7181850"/>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360" w:lineRule="auto"/>
        <w:ind w:left="446"/>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0C459CFD" wp14:editId="65A45DEA">
            <wp:extent cx="5829300" cy="6343650"/>
            <wp:effectExtent l="0" t="0" r="0" b="0"/>
            <wp:docPr id="95"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29300" cy="6343650"/>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360" w:lineRule="auto"/>
        <w:ind w:left="446"/>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6DB3C933" wp14:editId="253A98A6">
            <wp:extent cx="5876925" cy="6410325"/>
            <wp:effectExtent l="0" t="0" r="9525" b="9525"/>
            <wp:docPr id="9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76925" cy="6410325"/>
                    </a:xfrm>
                    <a:prstGeom prst="rect">
                      <a:avLst/>
                    </a:prstGeom>
                    <a:noFill/>
                    <a:ln>
                      <a:noFill/>
                    </a:ln>
                  </pic:spPr>
                </pic:pic>
              </a:graphicData>
            </a:graphic>
          </wp:inline>
        </w:drawing>
      </w:r>
    </w:p>
    <w:p w:rsidR="00AD77BB" w:rsidRDefault="00B45B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3.3</w:t>
      </w:r>
      <w:r>
        <w:rPr>
          <w:rStyle w:val="apple-converted-space"/>
          <w:rFonts w:ascii="Calibri" w:hAnsi="Calibri"/>
          <w:color w:val="333333"/>
        </w:rPr>
        <w:t> </w:t>
      </w:r>
      <w:r>
        <w:rPr>
          <w:rFonts w:ascii="Calibri" w:hAnsi="Calibri"/>
          <w:color w:val="333333"/>
        </w:rPr>
        <w:t>Conditional Probability and Independent Events</w:t>
      </w:r>
    </w:p>
    <w:p w:rsidR="00AD77BB" w:rsidRDefault="00AD77BB"/>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AD77BB" w:rsidRDefault="00B45BA0">
      <w:pPr>
        <w:numPr>
          <w:ilvl w:val="0"/>
          <w:numId w:val="66"/>
        </w:numPr>
        <w:shd w:val="clear" w:color="auto" w:fill="EAE9DC"/>
        <w:spacing w:after="0" w:line="360" w:lineRule="auto"/>
        <w:ind w:left="360" w:right="374"/>
        <w:textAlignment w:val="baseline"/>
        <w:rPr>
          <w:rFonts w:ascii="Calibri" w:hAnsi="Calibri"/>
          <w:color w:val="333333"/>
          <w:sz w:val="20"/>
          <w:szCs w:val="20"/>
        </w:rPr>
      </w:pPr>
      <w:r>
        <w:rPr>
          <w:rFonts w:ascii="Calibri" w:hAnsi="Calibri"/>
          <w:color w:val="333333"/>
          <w:sz w:val="20"/>
          <w:szCs w:val="20"/>
        </w:rPr>
        <w:t>To learn the concept of a conditional probability and how to compute it.</w:t>
      </w:r>
    </w:p>
    <w:p w:rsidR="00AD77BB" w:rsidRDefault="00B45BA0">
      <w:pPr>
        <w:numPr>
          <w:ilvl w:val="0"/>
          <w:numId w:val="66"/>
        </w:numPr>
        <w:shd w:val="clear" w:color="auto" w:fill="EAE9DC"/>
        <w:spacing w:after="0" w:line="360" w:lineRule="auto"/>
        <w:ind w:left="360" w:right="374"/>
        <w:textAlignment w:val="baseline"/>
        <w:rPr>
          <w:rFonts w:ascii="Calibri" w:hAnsi="Calibri"/>
          <w:color w:val="333333"/>
          <w:sz w:val="20"/>
          <w:szCs w:val="20"/>
        </w:rPr>
      </w:pPr>
      <w:r>
        <w:rPr>
          <w:rFonts w:ascii="Calibri" w:hAnsi="Calibri"/>
          <w:color w:val="333333"/>
          <w:sz w:val="20"/>
          <w:szCs w:val="20"/>
        </w:rPr>
        <w:t>To learn the concept of independence of events, and how to apply it.</w:t>
      </w:r>
    </w:p>
    <w:p w:rsidR="00AD77BB" w:rsidRDefault="00B45BA0">
      <w:pPr>
        <w:pStyle w:val="Heading2"/>
        <w:shd w:val="clear" w:color="auto" w:fill="FFFFFF"/>
        <w:spacing w:before="0" w:line="439" w:lineRule="atLeast"/>
        <w:textAlignment w:val="baseline"/>
        <w:rPr>
          <w:rFonts w:ascii="Calibri" w:hAnsi="Calibri"/>
          <w:color w:val="333333"/>
          <w:sz w:val="28"/>
          <w:szCs w:val="28"/>
        </w:rPr>
      </w:pPr>
      <w:r>
        <w:rPr>
          <w:rFonts w:ascii="Calibri" w:hAnsi="Calibri"/>
          <w:color w:val="333333"/>
          <w:sz w:val="28"/>
          <w:szCs w:val="28"/>
        </w:rPr>
        <w:lastRenderedPageBreak/>
        <w:t>Conditional Probability</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Suppose a fair die has been rolled and you are asked to give the probability that it was a five. There are six equally likely outcomes, so your answer is 1/6. But suppose that before you give your answer you are given the extra information that the number rolled was odd. Since there are only three odd numbers that are possible, one of which is five, you would certainly revise your estimate of the likelihood that a five was rolled from 1/6 to 1/3. In general, the</w:t>
      </w:r>
      <w:r>
        <w:rPr>
          <w:rStyle w:val="apple-converted-space"/>
          <w:rFonts w:ascii="Georgia" w:hAnsi="Georgia"/>
          <w:color w:val="333333"/>
          <w:sz w:val="20"/>
          <w:szCs w:val="20"/>
        </w:rPr>
        <w:t> </w:t>
      </w:r>
      <w:r>
        <w:rPr>
          <w:rStyle w:val="Emphasis"/>
          <w:rFonts w:ascii="Georgia" w:hAnsi="Georgia"/>
          <w:color w:val="333333"/>
          <w:sz w:val="20"/>
          <w:szCs w:val="20"/>
        </w:rPr>
        <w:t xml:space="preserve">revised </w:t>
      </w:r>
      <w:r>
        <w:rPr>
          <w:rFonts w:ascii="Georgia" w:hAnsi="Georgia"/>
          <w:color w:val="333333"/>
          <w:sz w:val="20"/>
          <w:szCs w:val="20"/>
        </w:rPr>
        <w:t>probability that an event</w:t>
      </w:r>
      <w:r>
        <w:rPr>
          <w:rStyle w:val="apple-converted-space"/>
          <w:rFonts w:ascii="Georgia" w:hAnsi="Georgia"/>
          <w:color w:val="333333"/>
          <w:sz w:val="20"/>
          <w:szCs w:val="20"/>
        </w:rPr>
        <w:t> </w:t>
      </w:r>
      <w:r>
        <w:rPr>
          <w:rStyle w:val="Emphasis"/>
          <w:rFonts w:ascii="Georgia" w:hAnsi="Georgia"/>
          <w:color w:val="333333"/>
          <w:sz w:val="20"/>
          <w:szCs w:val="20"/>
        </w:rPr>
        <w:t>A</w:t>
      </w:r>
      <w:r>
        <w:rPr>
          <w:rStyle w:val="apple-converted-space"/>
          <w:rFonts w:ascii="Georgia" w:hAnsi="Georgia"/>
          <w:color w:val="333333"/>
          <w:sz w:val="20"/>
          <w:szCs w:val="20"/>
        </w:rPr>
        <w:t> </w:t>
      </w:r>
      <w:r>
        <w:rPr>
          <w:rFonts w:ascii="Georgia" w:hAnsi="Georgia"/>
          <w:color w:val="333333"/>
          <w:sz w:val="20"/>
          <w:szCs w:val="20"/>
        </w:rPr>
        <w:t>has occurred, taking into account the additional information that another event</w:t>
      </w:r>
      <w:r>
        <w:rPr>
          <w:rStyle w:val="apple-converted-space"/>
          <w:rFonts w:ascii="Georgia" w:hAnsi="Georgia"/>
          <w:color w:val="333333"/>
          <w:sz w:val="20"/>
          <w:szCs w:val="20"/>
        </w:rPr>
        <w:t> </w:t>
      </w:r>
      <w:r>
        <w:rPr>
          <w:rStyle w:val="Emphasis"/>
          <w:rFonts w:ascii="Georgia" w:hAnsi="Georgia"/>
          <w:color w:val="333333"/>
          <w:sz w:val="20"/>
          <w:szCs w:val="20"/>
        </w:rPr>
        <w:t>B</w:t>
      </w:r>
      <w:r>
        <w:rPr>
          <w:rStyle w:val="apple-converted-space"/>
          <w:rFonts w:ascii="Georgia" w:hAnsi="Georgia"/>
          <w:color w:val="333333"/>
          <w:sz w:val="20"/>
          <w:szCs w:val="20"/>
        </w:rPr>
        <w:t> </w:t>
      </w:r>
      <w:r>
        <w:rPr>
          <w:rFonts w:ascii="Georgia" w:hAnsi="Georgia"/>
          <w:color w:val="333333"/>
          <w:sz w:val="20"/>
          <w:szCs w:val="20"/>
        </w:rPr>
        <w:t>has definitely occurred on this trial of the experiment, is called the</w:t>
      </w:r>
      <w:r>
        <w:rPr>
          <w:rStyle w:val="apple-converted-space"/>
          <w:rFonts w:ascii="Georgia" w:hAnsi="Georgia"/>
          <w:color w:val="333333"/>
          <w:sz w:val="20"/>
          <w:szCs w:val="20"/>
        </w:rPr>
        <w:t> </w:t>
      </w:r>
      <w:r>
        <w:rPr>
          <w:rStyle w:val="Emphasis"/>
          <w:rFonts w:ascii="Georgia" w:hAnsi="Georgia"/>
          <w:color w:val="333333"/>
          <w:sz w:val="20"/>
          <w:szCs w:val="20"/>
        </w:rPr>
        <w:t>conditional probability of</w:t>
      </w:r>
      <w:r>
        <w:rPr>
          <w:rStyle w:val="apple-converted-space"/>
          <w:rFonts w:ascii="Georgia" w:hAnsi="Georgia"/>
          <w:color w:val="333333"/>
          <w:sz w:val="20"/>
          <w:szCs w:val="20"/>
        </w:rPr>
        <w:t> </w:t>
      </w:r>
      <w:r>
        <w:rPr>
          <w:rStyle w:val="Emphasis"/>
          <w:rFonts w:ascii="Georgia" w:hAnsi="Georgia"/>
          <w:color w:val="333333"/>
          <w:sz w:val="20"/>
          <w:szCs w:val="20"/>
        </w:rPr>
        <w:t>A</w:t>
      </w:r>
      <w:r>
        <w:rPr>
          <w:rStyle w:val="apple-converted-space"/>
          <w:rFonts w:ascii="Georgia" w:hAnsi="Georgia"/>
          <w:color w:val="333333"/>
          <w:sz w:val="20"/>
          <w:szCs w:val="20"/>
        </w:rPr>
        <w:t> </w:t>
      </w:r>
      <w:r>
        <w:rPr>
          <w:rStyle w:val="Emphasis"/>
          <w:rFonts w:ascii="Georgia" w:hAnsi="Georgia"/>
          <w:color w:val="333333"/>
          <w:sz w:val="20"/>
          <w:szCs w:val="20"/>
        </w:rPr>
        <w:t>given</w:t>
      </w:r>
      <w:r>
        <w:rPr>
          <w:rStyle w:val="apple-converted-space"/>
          <w:rFonts w:ascii="Georgia" w:hAnsi="Georgia"/>
          <w:color w:val="333333"/>
          <w:sz w:val="20"/>
          <w:szCs w:val="20"/>
        </w:rPr>
        <w:t> </w:t>
      </w:r>
      <w:r>
        <w:rPr>
          <w:rStyle w:val="Emphasis"/>
          <w:rFonts w:ascii="Georgia" w:hAnsi="Georgia"/>
          <w:color w:val="333333"/>
          <w:sz w:val="20"/>
          <w:szCs w:val="20"/>
        </w:rPr>
        <w:t>B</w:t>
      </w:r>
      <w:r>
        <w:rPr>
          <w:rStyle w:val="apple-converted-space"/>
          <w:rFonts w:ascii="Georgia" w:hAnsi="Georgia"/>
          <w:color w:val="333333"/>
          <w:sz w:val="20"/>
          <w:szCs w:val="20"/>
        </w:rPr>
        <w:t> </w:t>
      </w:r>
      <w:r>
        <w:rPr>
          <w:rFonts w:ascii="Georgia" w:hAnsi="Georgia"/>
          <w:color w:val="333333"/>
          <w:sz w:val="20"/>
          <w:szCs w:val="20"/>
        </w:rPr>
        <w:t>and is denoted by</w:t>
      </w:r>
      <w:r>
        <w:rPr>
          <w:rStyle w:val="apple-converted-space"/>
          <w:rFonts w:ascii="Georgia" w:hAnsi="Georgia"/>
          <w:color w:val="333333"/>
          <w:sz w:val="20"/>
          <w:szCs w:val="20"/>
        </w:rPr>
        <w:t> </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A</w:t>
      </w:r>
      <w:r>
        <w:rPr>
          <w:rStyle w:val="mo"/>
          <w:rFonts w:ascii="MathJax_Main" w:hAnsi="MathJax_Main"/>
          <w:b/>
          <w:color w:val="333333"/>
          <w:sz w:val="18"/>
          <w:szCs w:val="18"/>
        </w:rPr>
        <w:t>|</w:t>
      </w:r>
      <w:r>
        <w:rPr>
          <w:rStyle w:val="mi"/>
          <w:rFonts w:ascii="MathJax_Math" w:hAnsi="MathJax_Math"/>
          <w:b/>
          <w:i/>
          <w:iCs/>
          <w:color w:val="333333"/>
          <w:sz w:val="18"/>
          <w:szCs w:val="18"/>
        </w:rPr>
        <w:t>B</w:t>
      </w:r>
      <w:r>
        <w:rPr>
          <w:rStyle w:val="mo"/>
          <w:rFonts w:ascii="MathJax_Main" w:hAnsi="MathJax_Main"/>
          <w:b/>
          <w:color w:val="333333"/>
          <w:sz w:val="18"/>
          <w:szCs w:val="18"/>
        </w:rPr>
        <w:t>).</w:t>
      </w:r>
      <w:r>
        <w:rPr>
          <w:rStyle w:val="apple-converted-space"/>
          <w:rFonts w:ascii="Georgia" w:hAnsi="Georgia"/>
          <w:color w:val="333333"/>
          <w:sz w:val="20"/>
          <w:szCs w:val="20"/>
        </w:rPr>
        <w:t> </w:t>
      </w:r>
      <w:r>
        <w:rPr>
          <w:rFonts w:ascii="Georgia" w:hAnsi="Georgia"/>
          <w:color w:val="333333"/>
          <w:sz w:val="20"/>
          <w:szCs w:val="20"/>
        </w:rPr>
        <w:t>The reasoning employed in this example can be generalized to yield the computational formula in the following definition.</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0"/>
          <w:szCs w:val="20"/>
        </w:rPr>
      </w:pPr>
    </w:p>
    <w:p w:rsidR="00AD77BB" w:rsidRDefault="00B45BA0">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Definition</w:t>
      </w:r>
    </w:p>
    <w:p w:rsidR="00AD77BB" w:rsidRDefault="00B45BA0">
      <w:pPr>
        <w:shd w:val="clear" w:color="auto" w:fill="F4F4F4"/>
        <w:spacing w:after="0"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The</w:t>
      </w:r>
      <w:r>
        <w:rPr>
          <w:rFonts w:ascii="Georgia" w:eastAsia="Times New Roman" w:hAnsi="Georgia" w:cs="Times New Roman"/>
          <w:color w:val="333333"/>
          <w:sz w:val="20"/>
          <w:szCs w:val="20"/>
        </w:rPr>
        <w:t> </w:t>
      </w:r>
      <w:r>
        <w:rPr>
          <w:rFonts w:ascii="Georgia" w:eastAsia="Times New Roman" w:hAnsi="Georgia" w:cs="Times New Roman"/>
          <w:b/>
          <w:color w:val="333333"/>
          <w:sz w:val="20"/>
          <w:szCs w:val="20"/>
        </w:rPr>
        <w:t>conditional probability</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of</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A</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given</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B</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denoted</w:t>
      </w:r>
      <w:r>
        <w:rPr>
          <w:rFonts w:ascii="Georgia" w:eastAsia="Times New Roman" w:hAnsi="Georgia" w:cs="Times New Roman"/>
          <w:color w:val="333333"/>
          <w:sz w:val="20"/>
          <w:szCs w:val="20"/>
        </w:rPr>
        <w:t> </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A</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B</w:t>
      </w:r>
      <w:r>
        <w:rPr>
          <w:rFonts w:ascii="MathJax_Main" w:eastAsia="Times New Roman" w:hAnsi="MathJax_Main" w:cs="Times New Roman"/>
          <w:b/>
          <w:color w:val="333333"/>
          <w:sz w:val="18"/>
          <w:szCs w:val="18"/>
        </w:rPr>
        <w:t>)</w:t>
      </w:r>
      <w:r>
        <w:rPr>
          <w:rFonts w:ascii="Georgia" w:eastAsia="Times New Roman" w:hAnsi="Georgia" w:cs="Times New Roman"/>
          <w:b/>
          <w:color w:val="333333"/>
          <w:sz w:val="20"/>
          <w:szCs w:val="20"/>
        </w:rPr>
        <w:t>,</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is the probability that event</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A</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has occurred in a trial of a random experiment for which it is known that event</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B</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has definitely occurred. It may be computed by means of the following formula:</w:t>
      </w:r>
    </w:p>
    <w:p w:rsidR="00AD77BB" w:rsidRDefault="00AD77BB">
      <w:pPr>
        <w:shd w:val="clear" w:color="auto" w:fill="F4F4F4"/>
        <w:spacing w:after="0" w:line="439" w:lineRule="atLeast"/>
        <w:textAlignment w:val="baseline"/>
        <w:rPr>
          <w:rFonts w:ascii="Georgia" w:eastAsia="Times New Roman" w:hAnsi="Georgia" w:cs="Times New Roman"/>
          <w:color w:val="333333"/>
          <w:sz w:val="20"/>
          <w:szCs w:val="20"/>
        </w:rPr>
      </w:pPr>
    </w:p>
    <w:p w:rsidR="00AD77BB" w:rsidRDefault="00B45BA0">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Rule for Conditional Probability</w:t>
      </w:r>
    </w:p>
    <w:p w:rsidR="00AD77BB" w:rsidRDefault="00AD77BB">
      <w:pPr>
        <w:shd w:val="clear" w:color="auto" w:fill="F4F4F4"/>
        <w:spacing w:after="0" w:line="439" w:lineRule="atLeast"/>
        <w:textAlignment w:val="baseline"/>
        <w:rPr>
          <w:rFonts w:ascii="Georgia" w:eastAsia="Times New Roman" w:hAnsi="Georgia" w:cs="Times New Roman"/>
          <w:color w:val="333333"/>
          <w:sz w:val="20"/>
          <w:szCs w:val="20"/>
        </w:rPr>
      </w:pPr>
    </w:p>
    <w:p w:rsidR="00AD77BB" w:rsidRDefault="00B45BA0">
      <w:pPr>
        <w:shd w:val="clear" w:color="auto" w:fill="F4F4F4"/>
        <w:spacing w:line="270" w:lineRule="atLeast"/>
        <w:jc w:val="center"/>
        <w:textAlignment w:val="baseline"/>
        <w:rPr>
          <w:rFonts w:ascii="Calibri" w:eastAsia="Times New Roman" w:hAnsi="Calibri" w:cs="Times New Roman"/>
          <w:b/>
          <w:color w:val="555555"/>
          <w:sz w:val="23"/>
          <w:szCs w:val="23"/>
        </w:rPr>
      </w:pPr>
      <w:r>
        <w:rPr>
          <w:rFonts w:ascii="MathJax_Math" w:eastAsia="Times New Roman" w:hAnsi="MathJax_Math" w:cs="Times New Roman"/>
          <w:b/>
          <w:i/>
          <w:iCs/>
          <w:color w:val="555555"/>
          <w:sz w:val="18"/>
          <w:szCs w:val="18"/>
        </w:rPr>
        <w:t>P</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A</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B</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P</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A</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B</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P</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B</w:t>
      </w:r>
      <w:r>
        <w:rPr>
          <w:rFonts w:ascii="MathJax_Main" w:eastAsia="Times New Roman" w:hAnsi="MathJax_Main" w:cs="Times New Roman"/>
          <w:b/>
          <w:color w:val="555555"/>
          <w:sz w:val="18"/>
          <w:szCs w:val="18"/>
        </w:rPr>
        <w:t>)</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EXAMPLE 20</w:t>
      </w:r>
    </w:p>
    <w:p w:rsidR="00AD77BB" w:rsidRDefault="00B45BA0">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fair die is rolled.</w:t>
      </w:r>
    </w:p>
    <w:p w:rsidR="00AD77BB" w:rsidRDefault="00B45BA0">
      <w:pPr>
        <w:numPr>
          <w:ilvl w:val="0"/>
          <w:numId w:val="67"/>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the number rolled is a five, given that it is odd.</w:t>
      </w:r>
    </w:p>
    <w:p w:rsidR="00AD77BB" w:rsidRDefault="00B45BA0">
      <w:pPr>
        <w:numPr>
          <w:ilvl w:val="0"/>
          <w:numId w:val="67"/>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the number rolled is odd, given that it is a five.</w:t>
      </w:r>
    </w:p>
    <w:p w:rsidR="00AD77BB" w:rsidRDefault="00B45BA0">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Solution:</w:t>
      </w:r>
    </w:p>
    <w:p w:rsidR="00AD77BB" w:rsidRDefault="00B45BA0">
      <w:pPr>
        <w:shd w:val="clear" w:color="auto" w:fill="E3EFF7"/>
        <w:spacing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sample space for this experiment is the set </w:t>
      </w:r>
      <w:r>
        <w:rPr>
          <w:rFonts w:ascii="MathJax_Math" w:eastAsia="Times New Roman" w:hAnsi="MathJax_Math" w:cs="Times New Roman"/>
          <w:b/>
          <w:i/>
          <w:iCs/>
          <w:color w:val="333333"/>
          <w:sz w:val="15"/>
          <w:szCs w:val="15"/>
        </w:rPr>
        <w:t>S</w:t>
      </w:r>
      <w:r>
        <w:rPr>
          <w:rFonts w:ascii="MathJax_Main" w:eastAsia="Times New Roman" w:hAnsi="MathJax_Main" w:cs="Times New Roman"/>
          <w:b/>
          <w:color w:val="333333"/>
          <w:sz w:val="15"/>
          <w:szCs w:val="15"/>
        </w:rPr>
        <w:t>={1,2,3,4,5,6}</w:t>
      </w:r>
      <w:r>
        <w:rPr>
          <w:rFonts w:ascii="Calibri" w:eastAsia="Times New Roman" w:hAnsi="Calibri" w:cs="Times New Roman"/>
          <w:color w:val="333333"/>
          <w:sz w:val="20"/>
          <w:szCs w:val="20"/>
        </w:rPr>
        <w:t> consisting of six equally likely outcomes. Let </w:t>
      </w:r>
      <w:r>
        <w:rPr>
          <w:rFonts w:ascii="Calibri" w:eastAsia="Times New Roman" w:hAnsi="Calibri" w:cs="Times New Roman"/>
          <w:i/>
          <w:iCs/>
          <w:color w:val="333333"/>
          <w:sz w:val="20"/>
          <w:szCs w:val="20"/>
        </w:rPr>
        <w:t>F</w:t>
      </w:r>
      <w:r>
        <w:rPr>
          <w:rFonts w:ascii="Calibri" w:eastAsia="Times New Roman" w:hAnsi="Calibri" w:cs="Times New Roman"/>
          <w:color w:val="333333"/>
          <w:sz w:val="20"/>
          <w:szCs w:val="20"/>
        </w:rPr>
        <w:t> denote the event “a five is rolled” and let </w:t>
      </w:r>
      <w:r>
        <w:rPr>
          <w:rFonts w:ascii="Calibri" w:eastAsia="Times New Roman" w:hAnsi="Calibri" w:cs="Times New Roman"/>
          <w:i/>
          <w:iCs/>
          <w:color w:val="333333"/>
          <w:sz w:val="20"/>
          <w:szCs w:val="20"/>
        </w:rPr>
        <w:t>O</w:t>
      </w:r>
      <w:r>
        <w:rPr>
          <w:rFonts w:ascii="Calibri" w:eastAsia="Times New Roman" w:hAnsi="Calibri" w:cs="Times New Roman"/>
          <w:color w:val="333333"/>
          <w:sz w:val="20"/>
          <w:szCs w:val="20"/>
        </w:rPr>
        <w:t> denote the event “an odd number is rolled,” so that</w:t>
      </w:r>
    </w:p>
    <w:p w:rsidR="00AD77BB" w:rsidRDefault="00AD77BB">
      <w:pPr>
        <w:shd w:val="clear" w:color="auto" w:fill="E3EFF7"/>
        <w:spacing w:after="0" w:line="439" w:lineRule="atLeast"/>
        <w:ind w:left="300" w:right="375"/>
        <w:textAlignment w:val="baseline"/>
        <w:rPr>
          <w:rFonts w:ascii="Calibri" w:eastAsia="Times New Roman" w:hAnsi="Calibri" w:cs="Times New Roman"/>
          <w:color w:val="333333"/>
          <w:sz w:val="20"/>
          <w:szCs w:val="20"/>
        </w:rPr>
      </w:pPr>
    </w:p>
    <w:p w:rsidR="00AD77BB" w:rsidRDefault="00B45BA0">
      <w:pPr>
        <w:shd w:val="clear" w:color="auto" w:fill="E3EFF7"/>
        <w:spacing w:line="270" w:lineRule="atLeast"/>
        <w:jc w:val="center"/>
        <w:textAlignment w:val="baseline"/>
        <w:rPr>
          <w:rFonts w:ascii="Calibri" w:eastAsia="Times New Roman" w:hAnsi="Calibri" w:cs="Times New Roman"/>
          <w:b/>
          <w:color w:val="555555"/>
          <w:sz w:val="23"/>
          <w:szCs w:val="23"/>
        </w:rPr>
      </w:pPr>
      <w:r>
        <w:rPr>
          <w:rFonts w:ascii="MathJax_Math" w:eastAsia="Times New Roman" w:hAnsi="MathJax_Math" w:cs="Times New Roman"/>
          <w:b/>
          <w:i/>
          <w:iCs/>
          <w:color w:val="555555"/>
          <w:sz w:val="18"/>
          <w:szCs w:val="18"/>
        </w:rPr>
        <w:t>F</w:t>
      </w:r>
      <w:r>
        <w:rPr>
          <w:rFonts w:ascii="MathJax_Main" w:eastAsia="Times New Roman" w:hAnsi="MathJax_Main" w:cs="Times New Roman"/>
          <w:b/>
          <w:color w:val="555555"/>
          <w:sz w:val="18"/>
          <w:szCs w:val="18"/>
        </w:rPr>
        <w:t>={5}</w:t>
      </w:r>
      <w:r>
        <w:rPr>
          <w:rFonts w:ascii="MathJax_Main" w:eastAsia="Times New Roman" w:hAnsi="MathJax_Main" w:cs="Times New Roman"/>
          <w:b/>
          <w:color w:val="555555"/>
          <w:sz w:val="18"/>
          <w:szCs w:val="18"/>
        </w:rPr>
        <w:t> </w:t>
      </w:r>
      <w:r>
        <w:rPr>
          <w:rFonts w:ascii="MathJax_Main" w:eastAsia="Times New Roman" w:hAnsi="MathJax_Main" w:cs="Times New Roman"/>
          <w:b/>
          <w:color w:val="555555"/>
          <w:sz w:val="18"/>
          <w:szCs w:val="18"/>
        </w:rPr>
        <w:t>and</w:t>
      </w:r>
      <w:r>
        <w:rPr>
          <w:rFonts w:ascii="MathJax_Main" w:eastAsia="Times New Roman" w:hAnsi="MathJax_Main" w:cs="Times New Roman"/>
          <w:b/>
          <w:color w:val="555555"/>
          <w:sz w:val="18"/>
          <w:szCs w:val="18"/>
        </w:rPr>
        <w:t> </w:t>
      </w:r>
      <w:r>
        <w:rPr>
          <w:rFonts w:ascii="MathJax_Math" w:eastAsia="Times New Roman" w:hAnsi="MathJax_Math" w:cs="Times New Roman"/>
          <w:b/>
          <w:i/>
          <w:iCs/>
          <w:color w:val="555555"/>
          <w:sz w:val="18"/>
          <w:szCs w:val="18"/>
        </w:rPr>
        <w:t>O</w:t>
      </w:r>
      <w:r>
        <w:rPr>
          <w:rFonts w:ascii="MathJax_Main" w:eastAsia="Times New Roman" w:hAnsi="MathJax_Main" w:cs="Times New Roman"/>
          <w:b/>
          <w:color w:val="555555"/>
          <w:sz w:val="18"/>
          <w:szCs w:val="18"/>
        </w:rPr>
        <w:t>={1,3,5}</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0"/>
          <w:szCs w:val="20"/>
        </w:rPr>
      </w:pPr>
    </w:p>
    <w:p w:rsidR="00AD77BB" w:rsidRDefault="00B45BA0">
      <w:pPr>
        <w:pStyle w:val="para"/>
        <w:shd w:val="clear" w:color="auto" w:fill="FFFFFF" w:themeFill="background1"/>
        <w:spacing w:before="0" w:beforeAutospacing="0" w:after="0" w:afterAutospacing="0" w:line="360" w:lineRule="auto"/>
        <w:ind w:left="446"/>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53FEDA2A" wp14:editId="7304707F">
            <wp:extent cx="5715000" cy="7000875"/>
            <wp:effectExtent l="0" t="0" r="0" b="9525"/>
            <wp:docPr id="97"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15000" cy="7000875"/>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360" w:lineRule="auto"/>
        <w:ind w:left="446"/>
        <w:textAlignment w:val="baseline"/>
        <w:rPr>
          <w:rFonts w:ascii="Calibri" w:hAnsi="Calibri"/>
          <w:color w:val="333333"/>
          <w:sz w:val="20"/>
          <w:szCs w:val="20"/>
        </w:rPr>
      </w:pPr>
      <w:r>
        <w:rPr>
          <w:rFonts w:ascii="Calibri" w:hAnsi="Calibri"/>
          <w:noProof/>
          <w:color w:val="333333"/>
          <w:sz w:val="20"/>
          <w:szCs w:val="20"/>
        </w:rPr>
        <w:drawing>
          <wp:inline distT="0" distB="0" distL="0" distR="0" wp14:anchorId="0C5C9FEA" wp14:editId="586F9D83">
            <wp:extent cx="5810250" cy="1000125"/>
            <wp:effectExtent l="0" t="0" r="0" b="9525"/>
            <wp:docPr id="98"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10250" cy="1000125"/>
                    </a:xfrm>
                    <a:prstGeom prst="rect">
                      <a:avLst/>
                    </a:prstGeom>
                    <a:noFill/>
                    <a:ln>
                      <a:noFill/>
                    </a:ln>
                  </pic:spPr>
                </pic:pic>
              </a:graphicData>
            </a:graphic>
          </wp:inline>
        </w:drawing>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Just as we did not need the computational formula in this example, we do not need it when the information is presented in a two-way classification table, as in the next example.</w:t>
      </w:r>
    </w:p>
    <w:p w:rsidR="00AD77BB" w:rsidRDefault="00AD77BB">
      <w:pPr>
        <w:shd w:val="clear" w:color="auto" w:fill="FFFFFF"/>
        <w:spacing w:after="0" w:line="439" w:lineRule="atLeast"/>
        <w:textAlignment w:val="baseline"/>
        <w:rPr>
          <w:rFonts w:ascii="Georgia" w:eastAsia="Times New Roman" w:hAnsi="Georgia" w:cs="Times New Roman"/>
          <w:color w:val="333333"/>
          <w:sz w:val="21"/>
          <w:szCs w:val="21"/>
        </w:rPr>
      </w:pP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EXAMPLE 21</w:t>
      </w:r>
    </w:p>
    <w:p w:rsidR="00AD77BB" w:rsidRDefault="00B45BA0">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a sample of 902 individuals under 40 who were or had previously been married, each person was classified according to gender and age at first marriage. The results are summarized in the following two-way classification table, where the meaning of the labels is:</w:t>
      </w:r>
    </w:p>
    <w:p w:rsidR="00AD77BB" w:rsidRDefault="00AD77BB">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p>
    <w:p w:rsidR="00AD77BB" w:rsidRDefault="00B45BA0">
      <w:pPr>
        <w:numPr>
          <w:ilvl w:val="0"/>
          <w:numId w:val="68"/>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M</w:t>
      </w:r>
      <w:r>
        <w:rPr>
          <w:rFonts w:ascii="Calibri" w:eastAsia="Times New Roman" w:hAnsi="Calibri" w:cs="Times New Roman"/>
          <w:color w:val="333333"/>
          <w:sz w:val="20"/>
          <w:szCs w:val="20"/>
        </w:rPr>
        <w:t>: male</w:t>
      </w:r>
    </w:p>
    <w:p w:rsidR="00AD77BB" w:rsidRDefault="00B45BA0">
      <w:pPr>
        <w:numPr>
          <w:ilvl w:val="0"/>
          <w:numId w:val="68"/>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F</w:t>
      </w:r>
      <w:r>
        <w:rPr>
          <w:rFonts w:ascii="Calibri" w:eastAsia="Times New Roman" w:hAnsi="Calibri" w:cs="Times New Roman"/>
          <w:color w:val="333333"/>
          <w:sz w:val="20"/>
          <w:szCs w:val="20"/>
        </w:rPr>
        <w:t>: female</w:t>
      </w:r>
    </w:p>
    <w:p w:rsidR="00AD77BB" w:rsidRDefault="00B45BA0">
      <w:pPr>
        <w:numPr>
          <w:ilvl w:val="0"/>
          <w:numId w:val="68"/>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a teenager when first married</w:t>
      </w:r>
    </w:p>
    <w:p w:rsidR="00AD77BB" w:rsidRDefault="00B45BA0">
      <w:pPr>
        <w:numPr>
          <w:ilvl w:val="0"/>
          <w:numId w:val="68"/>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W</w:t>
      </w:r>
      <w:r>
        <w:rPr>
          <w:rFonts w:ascii="Calibri" w:eastAsia="Times New Roman" w:hAnsi="Calibri" w:cs="Times New Roman"/>
          <w:color w:val="333333"/>
          <w:sz w:val="20"/>
          <w:szCs w:val="20"/>
        </w:rPr>
        <w:t>: in one’s twenties when first married</w:t>
      </w:r>
    </w:p>
    <w:p w:rsidR="00AD77BB" w:rsidRDefault="00B45BA0">
      <w:pPr>
        <w:numPr>
          <w:ilvl w:val="0"/>
          <w:numId w:val="68"/>
        </w:numPr>
        <w:shd w:val="clear" w:color="auto" w:fill="E3EFF7"/>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H</w:t>
      </w:r>
      <w:r>
        <w:rPr>
          <w:rFonts w:ascii="Calibri" w:eastAsia="Times New Roman" w:hAnsi="Calibri" w:cs="Times New Roman"/>
          <w:color w:val="333333"/>
          <w:sz w:val="20"/>
          <w:szCs w:val="20"/>
        </w:rPr>
        <w:t>: in one’s thirties when first married</w:t>
      </w:r>
    </w:p>
    <w:tbl>
      <w:tblPr>
        <w:tblW w:w="0" w:type="auto"/>
        <w:tblCellMar>
          <w:left w:w="0" w:type="dxa"/>
          <w:right w:w="0" w:type="dxa"/>
        </w:tblCellMar>
        <w:tblLook w:val="04A0" w:firstRow="1" w:lastRow="0" w:firstColumn="1" w:lastColumn="0" w:noHBand="0" w:noVBand="1"/>
      </w:tblPr>
      <w:tblGrid>
        <w:gridCol w:w="594"/>
        <w:gridCol w:w="465"/>
        <w:gridCol w:w="465"/>
        <w:gridCol w:w="465"/>
        <w:gridCol w:w="629"/>
      </w:tblGrid>
      <w:tr w:rsidR="00AD77BB">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i/>
                <w:iCs/>
                <w:color w:val="F48800"/>
                <w:sz w:val="21"/>
                <w:szCs w:val="21"/>
              </w:rPr>
              <w:t>E</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i/>
                <w:iCs/>
                <w:color w:val="F48800"/>
                <w:sz w:val="21"/>
                <w:szCs w:val="21"/>
              </w:rPr>
              <w:t>W</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i/>
                <w:iCs/>
                <w:color w:val="F48800"/>
                <w:sz w:val="21"/>
                <w:szCs w:val="21"/>
              </w:rPr>
              <w:t>H</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Total</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1"/>
                <w:szCs w:val="21"/>
              </w:rPr>
            </w:pPr>
            <w:r>
              <w:rPr>
                <w:rFonts w:ascii="Times New Roman" w:eastAsia="Times New Roman" w:hAnsi="Times New Roman" w:cs="Times New Roman"/>
                <w:i/>
                <w:iCs/>
                <w:sz w:val="21"/>
                <w:szCs w:val="21"/>
              </w:rPr>
              <w:t>M</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43</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293</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114</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450</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1"/>
                <w:szCs w:val="21"/>
              </w:rPr>
            </w:pPr>
            <w:r>
              <w:rPr>
                <w:rFonts w:ascii="Times New Roman" w:eastAsia="Times New Roman" w:hAnsi="Times New Roman" w:cs="Times New Roman"/>
                <w:i/>
                <w:iCs/>
                <w:sz w:val="21"/>
                <w:szCs w:val="21"/>
              </w:rPr>
              <w:t>F</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82</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299</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71</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452</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Total</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125</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592</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185</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902</w:t>
            </w:r>
          </w:p>
        </w:tc>
      </w:tr>
    </w:tbl>
    <w:p w:rsidR="00AD77BB" w:rsidRDefault="00B45BA0">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numbers in the first row mean that 43 people in the sample were men who were first married in their teens, 293 were men who were first married in their twenties, 114 men who were first married in their thirties, and a total of 450 people in the sample were men. Similarly for the numbers in the second row. The numbers in the last row mean that, irrespective of gender, 125 people in the sample were married in their teens, 592 in their twenties, 185 in their thirties, and that there were 902 people in the sample in all. Suppose that the proportions in the sample accurately reflect those in the population of all individuals in the population who are under 40 and who are or have previously been married. Suppose such a person is selected at random.</w:t>
      </w:r>
    </w:p>
    <w:p w:rsidR="00AD77BB" w:rsidRDefault="00AD77BB">
      <w:pPr>
        <w:shd w:val="clear" w:color="auto" w:fill="E3EFF7"/>
        <w:spacing w:after="0" w:line="439" w:lineRule="atLeast"/>
        <w:ind w:right="375"/>
        <w:textAlignment w:val="baseline"/>
        <w:rPr>
          <w:rFonts w:ascii="Calibri" w:eastAsia="Times New Roman" w:hAnsi="Calibri" w:cs="Times New Roman"/>
          <w:color w:val="333333"/>
          <w:sz w:val="20"/>
          <w:szCs w:val="20"/>
        </w:rPr>
      </w:pPr>
    </w:p>
    <w:p w:rsidR="00AD77BB" w:rsidRDefault="00AD77BB">
      <w:pPr>
        <w:shd w:val="clear" w:color="auto" w:fill="E3EFF7"/>
        <w:spacing w:after="0" w:line="439" w:lineRule="atLeast"/>
        <w:ind w:right="375"/>
        <w:textAlignment w:val="baseline"/>
        <w:rPr>
          <w:rFonts w:ascii="Calibri" w:eastAsia="Times New Roman" w:hAnsi="Calibri" w:cs="Times New Roman"/>
          <w:color w:val="333333"/>
          <w:sz w:val="20"/>
          <w:szCs w:val="20"/>
        </w:rPr>
      </w:pPr>
    </w:p>
    <w:p w:rsidR="00AD77BB" w:rsidRDefault="00B45BA0">
      <w:pPr>
        <w:pStyle w:val="ListParagraph"/>
        <w:numPr>
          <w:ilvl w:val="0"/>
          <w:numId w:val="69"/>
        </w:numPr>
        <w:shd w:val="clear" w:color="auto" w:fill="E3EFF7"/>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Find the probability that the individual selected was a teenager at first marriage.</w:t>
      </w:r>
    </w:p>
    <w:p w:rsidR="00AD77BB" w:rsidRDefault="00B45BA0">
      <w:pPr>
        <w:pStyle w:val="ListParagraph"/>
        <w:numPr>
          <w:ilvl w:val="0"/>
          <w:numId w:val="69"/>
        </w:numPr>
        <w:shd w:val="clear" w:color="auto" w:fill="E3EFF7"/>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Find the probability that the individual selected was a teenager at first marriage, given that the person is male.</w:t>
      </w:r>
    </w:p>
    <w:p w:rsidR="00AD77BB" w:rsidRDefault="00AD77BB">
      <w:pPr>
        <w:pStyle w:val="ListParagraph"/>
        <w:shd w:val="clear" w:color="auto" w:fill="E3EFF7"/>
        <w:spacing w:after="0" w:line="360" w:lineRule="auto"/>
        <w:ind w:left="0" w:right="375"/>
        <w:textAlignment w:val="baseline"/>
        <w:rPr>
          <w:rFonts w:ascii="Calibri" w:eastAsia="Times New Roman" w:hAnsi="Calibri" w:cs="Times New Roman"/>
          <w:color w:val="333333"/>
          <w:sz w:val="20"/>
          <w:szCs w:val="20"/>
        </w:rPr>
      </w:pPr>
    </w:p>
    <w:p w:rsidR="00AD77BB" w:rsidRDefault="00B45BA0">
      <w:pPr>
        <w:shd w:val="clear" w:color="auto" w:fill="E3EFF7"/>
        <w:spacing w:after="0" w:line="360" w:lineRule="auto"/>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Solution:</w:t>
      </w:r>
    </w:p>
    <w:p w:rsidR="00AD77BB" w:rsidRDefault="00AD77BB">
      <w:pPr>
        <w:shd w:val="clear" w:color="auto" w:fill="E3EFF7"/>
        <w:spacing w:after="0" w:line="360" w:lineRule="auto"/>
        <w:ind w:left="300" w:right="375"/>
        <w:textAlignment w:val="baseline"/>
        <w:rPr>
          <w:rFonts w:ascii="Calibri" w:eastAsia="Times New Roman" w:hAnsi="Calibri" w:cs="Times New Roman"/>
          <w:color w:val="333333"/>
          <w:sz w:val="20"/>
          <w:szCs w:val="20"/>
        </w:rPr>
      </w:pPr>
    </w:p>
    <w:p w:rsidR="00AD77BB" w:rsidRDefault="00B45BA0">
      <w:pPr>
        <w:shd w:val="clear" w:color="auto" w:fill="E3EFF7"/>
        <w:spacing w:after="0" w:line="360" w:lineRule="auto"/>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It is natural to let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also denote the event that the person selected was a teenager at first marriage and to let </w:t>
      </w:r>
      <w:r>
        <w:rPr>
          <w:rFonts w:ascii="Calibri" w:eastAsia="Times New Roman" w:hAnsi="Calibri" w:cs="Times New Roman"/>
          <w:i/>
          <w:iCs/>
          <w:color w:val="333333"/>
          <w:sz w:val="20"/>
          <w:szCs w:val="20"/>
        </w:rPr>
        <w:t>M</w:t>
      </w:r>
      <w:r>
        <w:rPr>
          <w:rFonts w:ascii="Calibri" w:eastAsia="Times New Roman" w:hAnsi="Calibri" w:cs="Times New Roman"/>
          <w:color w:val="333333"/>
          <w:sz w:val="20"/>
          <w:szCs w:val="20"/>
        </w:rPr>
        <w:t> denote the event that the person selected is male.</w:t>
      </w:r>
    </w:p>
    <w:p w:rsidR="00AD77BB" w:rsidRDefault="00AD77BB">
      <w:pPr>
        <w:shd w:val="clear" w:color="auto" w:fill="E3EFF7"/>
        <w:spacing w:after="0" w:line="360" w:lineRule="auto"/>
        <w:ind w:left="300" w:right="375"/>
        <w:textAlignment w:val="baseline"/>
        <w:rPr>
          <w:rFonts w:ascii="Calibri" w:eastAsia="Times New Roman" w:hAnsi="Calibri" w:cs="Times New Roman"/>
          <w:color w:val="333333"/>
          <w:sz w:val="20"/>
          <w:szCs w:val="20"/>
        </w:rPr>
      </w:pPr>
    </w:p>
    <w:p w:rsidR="00AD77BB" w:rsidRDefault="00B45BA0">
      <w:pPr>
        <w:numPr>
          <w:ilvl w:val="0"/>
          <w:numId w:val="70"/>
        </w:numPr>
        <w:shd w:val="clear" w:color="auto" w:fill="E3EFF7"/>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According to the table the proportion of individuals in the sample who were in their teens at their first marriage is 125/902. This is the relative frequency of such people in the population, hence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E</w:t>
      </w:r>
      <w:r>
        <w:rPr>
          <w:rFonts w:ascii="MathJax_Main" w:eastAsia="Times New Roman" w:hAnsi="MathJax_Main" w:cs="Times New Roman"/>
          <w:b/>
          <w:color w:val="333333"/>
          <w:sz w:val="15"/>
          <w:szCs w:val="15"/>
        </w:rPr>
        <w:t>)=125/902≈0.139</w:t>
      </w:r>
      <w:r>
        <w:rPr>
          <w:rFonts w:ascii="Calibri" w:eastAsia="Times New Roman" w:hAnsi="Calibri" w:cs="Times New Roman"/>
          <w:b/>
          <w:color w:val="333333"/>
          <w:sz w:val="20"/>
          <w:szCs w:val="20"/>
        </w:rPr>
        <w:t> </w:t>
      </w:r>
      <w:r>
        <w:rPr>
          <w:rFonts w:ascii="Calibri" w:eastAsia="Times New Roman" w:hAnsi="Calibri" w:cs="Times New Roman"/>
          <w:color w:val="333333"/>
          <w:sz w:val="20"/>
          <w:szCs w:val="20"/>
        </w:rPr>
        <w:t>or about 14%.</w:t>
      </w:r>
    </w:p>
    <w:p w:rsidR="00AD77BB" w:rsidRDefault="00B45BA0">
      <w:pPr>
        <w:shd w:val="clear" w:color="auto" w:fill="E3EFF7"/>
        <w:spacing w:before="150" w:line="360" w:lineRule="auto"/>
        <w:ind w:left="72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Since it is known that the person selected is male, all the females may be removed from consideration, so that only the row in the table corresponding to men in the sample applies:</w:t>
      </w:r>
    </w:p>
    <w:tbl>
      <w:tblPr>
        <w:tblW w:w="0" w:type="auto"/>
        <w:tblInd w:w="300" w:type="dxa"/>
        <w:tblCellMar>
          <w:left w:w="0" w:type="dxa"/>
          <w:right w:w="0" w:type="dxa"/>
        </w:tblCellMar>
        <w:tblLook w:val="04A0" w:firstRow="1" w:lastRow="0" w:firstColumn="1" w:lastColumn="0" w:noHBand="0" w:noVBand="1"/>
      </w:tblPr>
      <w:tblGrid>
        <w:gridCol w:w="300"/>
        <w:gridCol w:w="330"/>
        <w:gridCol w:w="420"/>
        <w:gridCol w:w="420"/>
        <w:gridCol w:w="561"/>
      </w:tblGrid>
      <w:tr w:rsidR="00AD77BB">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i/>
                <w:iCs/>
                <w:color w:val="F48800"/>
                <w:sz w:val="18"/>
                <w:szCs w:val="18"/>
              </w:rPr>
              <w:t>E</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i/>
                <w:iCs/>
                <w:color w:val="F48800"/>
                <w:sz w:val="18"/>
                <w:szCs w:val="18"/>
              </w:rPr>
              <w:t>W</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i/>
                <w:iCs/>
                <w:color w:val="F48800"/>
                <w:sz w:val="18"/>
                <w:szCs w:val="18"/>
              </w:rPr>
              <w:t>H</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Total</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18"/>
                <w:szCs w:val="18"/>
              </w:rPr>
            </w:pPr>
            <w:r>
              <w:rPr>
                <w:rFonts w:ascii="Times New Roman" w:eastAsia="Times New Roman" w:hAnsi="Times New Roman" w:cs="Times New Roman"/>
                <w:i/>
                <w:iCs/>
                <w:sz w:val="18"/>
                <w:szCs w:val="18"/>
              </w:rPr>
              <w:t>M</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43</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293</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114</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450</w:t>
            </w:r>
          </w:p>
        </w:tc>
      </w:tr>
    </w:tbl>
    <w:p w:rsidR="00AD77BB" w:rsidRDefault="00B45BA0">
      <w:pPr>
        <w:shd w:val="clear" w:color="auto" w:fill="E3EFF7"/>
        <w:spacing w:line="360" w:lineRule="auto"/>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proportion of males in the sample who were in their teens at their first marriage is 43/450. This is the relative frequency of such people in the population of males, hence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E</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M</w:t>
      </w:r>
      <w:r>
        <w:rPr>
          <w:rFonts w:ascii="MathJax_Main" w:eastAsia="Times New Roman" w:hAnsi="MathJax_Main" w:cs="Times New Roman"/>
          <w:b/>
          <w:color w:val="333333"/>
          <w:sz w:val="15"/>
          <w:szCs w:val="15"/>
        </w:rPr>
        <w:t>)=43/450≈0.096</w:t>
      </w:r>
      <w:r>
        <w:rPr>
          <w:rFonts w:ascii="Calibri" w:eastAsia="Times New Roman" w:hAnsi="Calibri" w:cs="Times New Roman"/>
          <w:color w:val="333333"/>
          <w:sz w:val="20"/>
          <w:szCs w:val="20"/>
        </w:rPr>
        <w:t> or about 10%.</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In the next example, the computational formula in the definition must be used.</w:t>
      </w:r>
    </w:p>
    <w:p w:rsidR="00AD77BB" w:rsidRDefault="00AD77BB">
      <w:pPr>
        <w:pStyle w:val="ListParagraph"/>
        <w:shd w:val="clear" w:color="auto" w:fill="FFFFFF" w:themeFill="background1"/>
        <w:spacing w:after="0" w:line="439" w:lineRule="atLeast"/>
        <w:ind w:left="0" w:right="375"/>
        <w:textAlignment w:val="baseline"/>
        <w:rPr>
          <w:rFonts w:ascii="Calibri" w:eastAsia="Times New Roman" w:hAnsi="Calibri" w:cs="Times New Roman"/>
          <w:color w:val="333333"/>
          <w:sz w:val="20"/>
          <w:szCs w:val="20"/>
        </w:rPr>
      </w:pP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EXAMPLE 22</w:t>
      </w:r>
    </w:p>
    <w:p w:rsidR="00AD77BB" w:rsidRDefault="00B45BA0">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Suppose that in an adult population the proportion of people who are both overweight and suffer hypertension is 0.09; the proportion of people who are not overweight but suffer hypertension is 0.11; the proportion of people who are overweight but do not suffer hypertension is 0.02; and the proportion of people who are neither overweight nor suffer hypertension is 0.78. An adult is randomly selected from this population.</w:t>
      </w:r>
    </w:p>
    <w:p w:rsidR="00AD77BB" w:rsidRDefault="00AD77BB">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p>
    <w:p w:rsidR="00AD77BB" w:rsidRDefault="00B45BA0">
      <w:pPr>
        <w:numPr>
          <w:ilvl w:val="0"/>
          <w:numId w:val="71"/>
        </w:numPr>
        <w:shd w:val="clear" w:color="auto" w:fill="DAEEF3" w:themeFill="accent5" w:themeFillTint="33"/>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the person selected suffers hypertension given that he is overweight.</w:t>
      </w:r>
    </w:p>
    <w:p w:rsidR="00AD77BB" w:rsidRDefault="00B45BA0">
      <w:pPr>
        <w:numPr>
          <w:ilvl w:val="0"/>
          <w:numId w:val="71"/>
        </w:numPr>
        <w:shd w:val="clear" w:color="auto" w:fill="DAEEF3" w:themeFill="accent5" w:themeFillTint="33"/>
        <w:spacing w:after="0" w:line="439" w:lineRule="atLeast"/>
        <w:ind w:left="360" w:right="375"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the selected person suffers hypertension given that he is not overweight.</w:t>
      </w:r>
    </w:p>
    <w:p w:rsidR="00AD77BB" w:rsidRDefault="00B45BA0">
      <w:pPr>
        <w:numPr>
          <w:ilvl w:val="0"/>
          <w:numId w:val="71"/>
        </w:numPr>
        <w:shd w:val="clear" w:color="auto" w:fill="DAEEF3" w:themeFill="accent5" w:themeFillTint="33"/>
        <w:spacing w:after="0" w:line="439" w:lineRule="atLeast"/>
        <w:ind w:left="360" w:right="375"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Compare the two probabilities just found to give an answer to the question as to whether overweight people tend to suffer from hypertension.</w:t>
      </w:r>
    </w:p>
    <w:p w:rsidR="00AD77BB" w:rsidRDefault="00B45BA0">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Solution:</w:t>
      </w:r>
    </w:p>
    <w:p w:rsidR="00AD77BB" w:rsidRDefault="00AD77BB">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p>
    <w:p w:rsidR="00AD77BB" w:rsidRDefault="00B45BA0">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Let </w:t>
      </w:r>
      <w:r>
        <w:rPr>
          <w:rFonts w:ascii="Calibri" w:eastAsia="Times New Roman" w:hAnsi="Calibri" w:cs="Times New Roman"/>
          <w:i/>
          <w:iCs/>
          <w:color w:val="333333"/>
          <w:sz w:val="20"/>
          <w:szCs w:val="20"/>
        </w:rPr>
        <w:t>H</w:t>
      </w:r>
      <w:r>
        <w:rPr>
          <w:rFonts w:ascii="Calibri" w:eastAsia="Times New Roman" w:hAnsi="Calibri" w:cs="Times New Roman"/>
          <w:color w:val="333333"/>
          <w:sz w:val="21"/>
          <w:szCs w:val="21"/>
        </w:rPr>
        <w:t> denote the event “the person selected suffers hypertension.” Let </w:t>
      </w:r>
      <w:r>
        <w:rPr>
          <w:rFonts w:ascii="Calibri" w:eastAsia="Times New Roman" w:hAnsi="Calibri" w:cs="Times New Roman"/>
          <w:i/>
          <w:iCs/>
          <w:color w:val="333333"/>
          <w:sz w:val="20"/>
          <w:szCs w:val="20"/>
        </w:rPr>
        <w:t>O</w:t>
      </w:r>
      <w:r>
        <w:rPr>
          <w:rFonts w:ascii="Calibri" w:eastAsia="Times New Roman" w:hAnsi="Calibri" w:cs="Times New Roman"/>
          <w:color w:val="333333"/>
          <w:sz w:val="21"/>
          <w:szCs w:val="21"/>
        </w:rPr>
        <w:t> denote the event “the person selected is overweight.” The probability information given in the problem may be organized into the following contingency table:</w:t>
      </w:r>
    </w:p>
    <w:p w:rsidR="00AD77BB" w:rsidRDefault="00AD77BB">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p>
    <w:tbl>
      <w:tblPr>
        <w:tblW w:w="0" w:type="auto"/>
        <w:tblCellMar>
          <w:left w:w="0" w:type="dxa"/>
          <w:right w:w="0" w:type="dxa"/>
        </w:tblCellMar>
        <w:tblLook w:val="04A0" w:firstRow="1" w:lastRow="0" w:firstColumn="1" w:lastColumn="0" w:noHBand="0" w:noVBand="1"/>
      </w:tblPr>
      <w:tblGrid>
        <w:gridCol w:w="347"/>
        <w:gridCol w:w="518"/>
        <w:gridCol w:w="518"/>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i/>
                <w:iCs/>
                <w:color w:val="F48800"/>
                <w:sz w:val="21"/>
                <w:szCs w:val="21"/>
              </w:rPr>
              <w:t>O</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i/>
                <w:iCs/>
                <w:color w:val="F48800"/>
                <w:sz w:val="21"/>
                <w:szCs w:val="21"/>
              </w:rPr>
              <w:t>O</w:t>
            </w:r>
            <w:r>
              <w:rPr>
                <w:rFonts w:ascii="Times New Roman" w:eastAsia="Times New Roman" w:hAnsi="Times New Roman" w:cs="Times New Roman"/>
                <w:b/>
                <w:bCs/>
                <w:i/>
                <w:iCs/>
                <w:color w:val="F48800"/>
                <w:sz w:val="15"/>
                <w:szCs w:val="15"/>
                <w:vertAlign w:val="superscript"/>
              </w:rPr>
              <w:t>c</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1"/>
                <w:szCs w:val="21"/>
              </w:rPr>
            </w:pPr>
            <w:r>
              <w:rPr>
                <w:rFonts w:ascii="Times New Roman" w:eastAsia="Times New Roman" w:hAnsi="Times New Roman" w:cs="Times New Roman"/>
                <w:i/>
                <w:iCs/>
                <w:sz w:val="21"/>
                <w:szCs w:val="21"/>
              </w:rPr>
              <w: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0.11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1"/>
                <w:szCs w:val="21"/>
              </w:rPr>
            </w:pPr>
            <w:r>
              <w:rPr>
                <w:rFonts w:ascii="Times New Roman" w:eastAsia="Times New Roman" w:hAnsi="Times New Roman" w:cs="Times New Roman"/>
                <w:i/>
                <w:iCs/>
                <w:sz w:val="21"/>
                <w:szCs w:val="21"/>
              </w:rPr>
              <w:t>H</w:t>
            </w:r>
            <w:r>
              <w:rPr>
                <w:rFonts w:ascii="Times New Roman" w:eastAsia="Times New Roman" w:hAnsi="Times New Roman" w:cs="Times New Roman"/>
                <w:i/>
                <w:iCs/>
                <w:sz w:val="15"/>
                <w:szCs w:val="15"/>
                <w:vertAlign w:val="superscript"/>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0.78</w:t>
            </w:r>
          </w:p>
        </w:tc>
      </w:tr>
    </w:tbl>
    <w:p w:rsidR="00AD77BB" w:rsidRDefault="00B45BA0">
      <w:pPr>
        <w:pStyle w:val="para"/>
        <w:shd w:val="clear" w:color="auto" w:fill="FFFFFF" w:themeFill="background1"/>
        <w:spacing w:before="0" w:beforeAutospacing="0" w:after="0" w:afterAutospacing="0" w:line="360" w:lineRule="auto"/>
        <w:ind w:left="446"/>
        <w:textAlignment w:val="baseline"/>
        <w:rPr>
          <w:rFonts w:ascii="Calibri" w:hAnsi="Calibri"/>
          <w:color w:val="333333"/>
          <w:sz w:val="20"/>
          <w:szCs w:val="20"/>
        </w:rPr>
      </w:pPr>
      <w:r>
        <w:rPr>
          <w:rFonts w:ascii="Calibri" w:hAnsi="Calibri"/>
          <w:noProof/>
          <w:color w:val="333333"/>
          <w:sz w:val="20"/>
          <w:szCs w:val="20"/>
        </w:rPr>
        <w:drawing>
          <wp:inline distT="0" distB="0" distL="0" distR="0" wp14:anchorId="4CFA8BB2" wp14:editId="42CE1517">
            <wp:extent cx="5419725" cy="3390900"/>
            <wp:effectExtent l="0" t="0" r="9525" b="0"/>
            <wp:docPr id="99"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19725" cy="3390900"/>
                    </a:xfrm>
                    <a:prstGeom prst="rect">
                      <a:avLst/>
                    </a:prstGeom>
                    <a:noFill/>
                    <a:ln>
                      <a:noFill/>
                    </a:ln>
                  </pic:spPr>
                </pic:pic>
              </a:graphicData>
            </a:graphic>
          </wp:inline>
        </w:drawing>
      </w:r>
    </w:p>
    <w:p w:rsidR="00AD77BB" w:rsidRDefault="00AD77BB">
      <w:pPr>
        <w:pStyle w:val="Heading2"/>
        <w:shd w:val="clear" w:color="auto" w:fill="FFFFFF"/>
        <w:spacing w:before="0" w:line="360" w:lineRule="auto"/>
        <w:textAlignment w:val="baseline"/>
        <w:rPr>
          <w:rFonts w:ascii="Calibri" w:hAnsi="Calibri"/>
          <w:color w:val="333333"/>
          <w:sz w:val="29"/>
          <w:szCs w:val="29"/>
        </w:rPr>
      </w:pPr>
    </w:p>
    <w:p w:rsidR="00AD77BB" w:rsidRDefault="00B45BA0">
      <w:pPr>
        <w:pStyle w:val="Heading2"/>
        <w:shd w:val="clear" w:color="auto" w:fill="FFFFFF"/>
        <w:spacing w:before="0" w:line="360" w:lineRule="auto"/>
        <w:textAlignment w:val="baseline"/>
        <w:rPr>
          <w:rFonts w:ascii="Calibri" w:hAnsi="Calibri"/>
          <w:color w:val="333333"/>
          <w:sz w:val="29"/>
          <w:szCs w:val="29"/>
        </w:rPr>
      </w:pPr>
      <w:r>
        <w:rPr>
          <w:rFonts w:ascii="Calibri" w:hAnsi="Calibri"/>
          <w:color w:val="333333"/>
          <w:sz w:val="29"/>
          <w:szCs w:val="29"/>
        </w:rPr>
        <w:t>Independent Events</w:t>
      </w:r>
    </w:p>
    <w:p w:rsidR="00AD77BB" w:rsidRDefault="00AD77BB"/>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Although typically we expect the conditional probability</w:t>
      </w:r>
      <w:r>
        <w:rPr>
          <w:rStyle w:val="apple-converted-space"/>
          <w:rFonts w:ascii="Georgia" w:hAnsi="Georgia"/>
          <w:color w:val="333333"/>
          <w:sz w:val="21"/>
          <w:szCs w:val="21"/>
        </w:rPr>
        <w:t> </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A</w:t>
      </w:r>
      <w:r>
        <w:rPr>
          <w:rStyle w:val="mo"/>
          <w:rFonts w:ascii="MathJax_Main" w:hAnsi="MathJax_Main"/>
          <w:b/>
          <w:color w:val="333333"/>
          <w:sz w:val="18"/>
          <w:szCs w:val="18"/>
        </w:rPr>
        <w:t>|</w:t>
      </w:r>
      <w:r>
        <w:rPr>
          <w:rStyle w:val="mi"/>
          <w:rFonts w:ascii="MathJax_Math" w:hAnsi="MathJax_Math"/>
          <w:b/>
          <w:i/>
          <w:iCs/>
          <w:color w:val="333333"/>
          <w:sz w:val="18"/>
          <w:szCs w:val="18"/>
        </w:rPr>
        <w:t>B</w:t>
      </w:r>
      <w:r>
        <w:rPr>
          <w:rStyle w:val="mo"/>
          <w:rFonts w:ascii="MathJax_Main" w:hAnsi="MathJax_Main"/>
          <w:b/>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to be different from the probability</w:t>
      </w:r>
      <w:r>
        <w:rPr>
          <w:rStyle w:val="apple-converted-space"/>
          <w:rFonts w:ascii="Georgia" w:hAnsi="Georgia"/>
          <w:color w:val="333333"/>
          <w:sz w:val="21"/>
          <w:szCs w:val="21"/>
        </w:rPr>
        <w:t> </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A</w:t>
      </w:r>
      <w:r>
        <w:rPr>
          <w:rStyle w:val="mo"/>
          <w:rFonts w:ascii="MathJax_Main" w:hAnsi="MathJax_Main"/>
          <w:b/>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of</w:t>
      </w:r>
      <w:r>
        <w:rPr>
          <w:rStyle w:val="apple-converted-space"/>
          <w:rFonts w:ascii="Georgia" w:hAnsi="Georgia"/>
          <w:color w:val="333333"/>
          <w:sz w:val="21"/>
          <w:szCs w:val="21"/>
        </w:rPr>
        <w:t> </w:t>
      </w:r>
      <w:r>
        <w:rPr>
          <w:rStyle w:val="Emphasis"/>
          <w:rFonts w:ascii="Georgia" w:hAnsi="Georgia"/>
          <w:color w:val="333333"/>
          <w:sz w:val="20"/>
          <w:szCs w:val="20"/>
        </w:rPr>
        <w:t>A</w:t>
      </w:r>
      <w:r>
        <w:rPr>
          <w:rFonts w:ascii="Georgia" w:hAnsi="Georgia"/>
          <w:color w:val="333333"/>
          <w:sz w:val="21"/>
          <w:szCs w:val="21"/>
        </w:rPr>
        <w:t>, it does not have to be different from</w:t>
      </w:r>
      <w:r>
        <w:rPr>
          <w:rStyle w:val="apple-converted-space"/>
          <w:rFonts w:ascii="Georgia" w:hAnsi="Georgia"/>
          <w:color w:val="333333"/>
          <w:sz w:val="21"/>
          <w:szCs w:val="21"/>
        </w:rPr>
        <w:t> </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A</w:t>
      </w:r>
      <w:r>
        <w:rPr>
          <w:rStyle w:val="mo"/>
          <w:rFonts w:ascii="MathJax_Main" w:hAnsi="MathJax_Main"/>
          <w:b/>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When</w:t>
      </w:r>
      <w:r>
        <w:rPr>
          <w:rStyle w:val="apple-converted-space"/>
          <w:rFonts w:ascii="Georgia" w:hAnsi="Georgia"/>
          <w:color w:val="333333"/>
          <w:sz w:val="21"/>
          <w:szCs w:val="21"/>
        </w:rPr>
        <w:t> </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A</w:t>
      </w:r>
      <w:r>
        <w:rPr>
          <w:rStyle w:val="mo"/>
          <w:rFonts w:ascii="MathJax_Main" w:hAnsi="MathJax_Main"/>
          <w:b/>
          <w:color w:val="333333"/>
          <w:sz w:val="18"/>
          <w:szCs w:val="18"/>
        </w:rPr>
        <w:t>|</w:t>
      </w:r>
      <w:r>
        <w:rPr>
          <w:rStyle w:val="mi"/>
          <w:rFonts w:ascii="MathJax_Math" w:hAnsi="MathJax_Math"/>
          <w:b/>
          <w:i/>
          <w:iCs/>
          <w:color w:val="333333"/>
          <w:sz w:val="18"/>
          <w:szCs w:val="18"/>
        </w:rPr>
        <w:t>B</w:t>
      </w:r>
      <w:r>
        <w:rPr>
          <w:rStyle w:val="mo"/>
          <w:rFonts w:ascii="MathJax_Main" w:hAnsi="MathJax_Main"/>
          <w:b/>
          <w:color w:val="333333"/>
          <w:sz w:val="18"/>
          <w:szCs w:val="18"/>
        </w:rPr>
        <w:t>)=</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A</w:t>
      </w:r>
      <w:r>
        <w:rPr>
          <w:rStyle w:val="mo"/>
          <w:rFonts w:ascii="MathJax_Main" w:hAnsi="MathJax_Main"/>
          <w:b/>
          <w:color w:val="333333"/>
          <w:sz w:val="18"/>
          <w:szCs w:val="18"/>
        </w:rPr>
        <w:t>)</w:t>
      </w:r>
      <w:r>
        <w:rPr>
          <w:rFonts w:ascii="Georgia" w:hAnsi="Georgia"/>
          <w:b/>
          <w:color w:val="333333"/>
          <w:sz w:val="21"/>
          <w:szCs w:val="21"/>
        </w:rPr>
        <w:t>,</w:t>
      </w:r>
      <w:r>
        <w:rPr>
          <w:rFonts w:ascii="Georgia" w:hAnsi="Georgia"/>
          <w:color w:val="333333"/>
          <w:sz w:val="21"/>
          <w:szCs w:val="21"/>
        </w:rPr>
        <w:t xml:space="preserve"> the occurrence </w:t>
      </w:r>
      <w:r>
        <w:rPr>
          <w:rFonts w:ascii="Georgia" w:hAnsi="Georgia"/>
          <w:color w:val="333333"/>
          <w:sz w:val="21"/>
          <w:szCs w:val="21"/>
        </w:rPr>
        <w:lastRenderedPageBreak/>
        <w:t>of</w:t>
      </w:r>
      <w:r>
        <w:rPr>
          <w:rStyle w:val="apple-converted-space"/>
          <w:rFonts w:ascii="Georgia" w:hAnsi="Georgia"/>
          <w:color w:val="333333"/>
          <w:sz w:val="21"/>
          <w:szCs w:val="21"/>
        </w:rPr>
        <w:t> </w:t>
      </w:r>
      <w:r>
        <w:rPr>
          <w:rStyle w:val="Emphasis"/>
          <w:rFonts w:ascii="Georgia" w:hAnsi="Georgia"/>
          <w:color w:val="333333"/>
          <w:sz w:val="20"/>
          <w:szCs w:val="20"/>
        </w:rPr>
        <w:t>B</w:t>
      </w:r>
      <w:r>
        <w:rPr>
          <w:rStyle w:val="apple-converted-space"/>
          <w:rFonts w:ascii="Georgia" w:hAnsi="Georgia"/>
          <w:color w:val="333333"/>
          <w:sz w:val="21"/>
          <w:szCs w:val="21"/>
        </w:rPr>
        <w:t> </w:t>
      </w:r>
      <w:r>
        <w:rPr>
          <w:rFonts w:ascii="Georgia" w:hAnsi="Georgia"/>
          <w:color w:val="333333"/>
          <w:sz w:val="21"/>
          <w:szCs w:val="21"/>
        </w:rPr>
        <w:t>has no effect on the likelihood of</w:t>
      </w:r>
      <w:r>
        <w:rPr>
          <w:rStyle w:val="apple-converted-space"/>
          <w:rFonts w:ascii="Georgia" w:hAnsi="Georgia"/>
          <w:color w:val="333333"/>
          <w:sz w:val="21"/>
          <w:szCs w:val="21"/>
        </w:rPr>
        <w:t> </w:t>
      </w:r>
      <w:r>
        <w:rPr>
          <w:rStyle w:val="Emphasis"/>
          <w:rFonts w:ascii="Georgia" w:hAnsi="Georgia"/>
          <w:color w:val="333333"/>
          <w:sz w:val="20"/>
          <w:szCs w:val="20"/>
        </w:rPr>
        <w:t>A</w:t>
      </w:r>
      <w:r>
        <w:rPr>
          <w:rFonts w:ascii="Georgia" w:hAnsi="Georgia"/>
          <w:color w:val="333333"/>
          <w:sz w:val="21"/>
          <w:szCs w:val="21"/>
        </w:rPr>
        <w:t>. Whether or not the event</w:t>
      </w:r>
      <w:r>
        <w:rPr>
          <w:rStyle w:val="apple-converted-space"/>
          <w:rFonts w:ascii="Georgia" w:hAnsi="Georgia"/>
          <w:color w:val="333333"/>
          <w:sz w:val="21"/>
          <w:szCs w:val="21"/>
        </w:rPr>
        <w:t> </w:t>
      </w:r>
      <w:r>
        <w:rPr>
          <w:rStyle w:val="Emphasis"/>
          <w:rFonts w:ascii="Georgia" w:hAnsi="Georgia"/>
          <w:color w:val="333333"/>
          <w:sz w:val="20"/>
          <w:szCs w:val="20"/>
        </w:rPr>
        <w:t>A</w:t>
      </w:r>
      <w:r>
        <w:rPr>
          <w:rStyle w:val="apple-converted-space"/>
          <w:rFonts w:ascii="Georgia" w:hAnsi="Georgia"/>
          <w:color w:val="333333"/>
          <w:sz w:val="21"/>
          <w:szCs w:val="21"/>
        </w:rPr>
        <w:t> </w:t>
      </w:r>
      <w:r>
        <w:rPr>
          <w:rFonts w:ascii="Georgia" w:hAnsi="Georgia"/>
          <w:color w:val="333333"/>
          <w:sz w:val="21"/>
          <w:szCs w:val="21"/>
        </w:rPr>
        <w:t>has occurred is</w:t>
      </w:r>
      <w:r>
        <w:rPr>
          <w:rStyle w:val="apple-converted-space"/>
          <w:rFonts w:ascii="Georgia" w:hAnsi="Georgia"/>
          <w:color w:val="333333"/>
          <w:sz w:val="21"/>
          <w:szCs w:val="21"/>
        </w:rPr>
        <w:t> </w:t>
      </w:r>
      <w:r>
        <w:rPr>
          <w:rStyle w:val="Emphasis"/>
          <w:rFonts w:ascii="Georgia" w:hAnsi="Georgia"/>
          <w:color w:val="333333"/>
          <w:sz w:val="20"/>
          <w:szCs w:val="20"/>
        </w:rPr>
        <w:t>independent</w:t>
      </w:r>
      <w:r>
        <w:rPr>
          <w:rStyle w:val="apple-converted-space"/>
          <w:rFonts w:ascii="Georgia" w:hAnsi="Georgia"/>
          <w:color w:val="333333"/>
          <w:sz w:val="21"/>
          <w:szCs w:val="21"/>
        </w:rPr>
        <w:t> </w:t>
      </w:r>
      <w:r>
        <w:rPr>
          <w:rFonts w:ascii="Georgia" w:hAnsi="Georgia"/>
          <w:color w:val="333333"/>
          <w:sz w:val="21"/>
          <w:szCs w:val="21"/>
        </w:rPr>
        <w:t>of the event</w:t>
      </w:r>
      <w:r>
        <w:rPr>
          <w:rStyle w:val="apple-converted-space"/>
          <w:rFonts w:ascii="Georgia" w:hAnsi="Georgia"/>
          <w:color w:val="333333"/>
          <w:sz w:val="21"/>
          <w:szCs w:val="21"/>
        </w:rPr>
        <w:t> </w:t>
      </w:r>
      <w:r>
        <w:rPr>
          <w:rStyle w:val="Emphasis"/>
          <w:rFonts w:ascii="Georgia" w:hAnsi="Georgia"/>
          <w:color w:val="333333"/>
          <w:sz w:val="20"/>
          <w:szCs w:val="20"/>
        </w:rPr>
        <w:t>B</w:t>
      </w:r>
      <w:r>
        <w:rPr>
          <w:rFonts w:ascii="Georgia" w:hAnsi="Georgia"/>
          <w:color w:val="333333"/>
          <w:sz w:val="21"/>
          <w:szCs w:val="21"/>
        </w:rPr>
        <w:t>.</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Using algebra it can be shown that the equality</w:t>
      </w:r>
      <w:r>
        <w:rPr>
          <w:rStyle w:val="apple-converted-space"/>
          <w:rFonts w:ascii="Georgia" w:hAnsi="Georgia"/>
          <w:color w:val="333333"/>
          <w:sz w:val="21"/>
          <w:szCs w:val="21"/>
        </w:rPr>
        <w:t> </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A</w:t>
      </w:r>
      <w:r>
        <w:rPr>
          <w:rStyle w:val="mo"/>
          <w:rFonts w:ascii="MathJax_Main" w:hAnsi="MathJax_Main"/>
          <w:b/>
          <w:color w:val="333333"/>
          <w:sz w:val="18"/>
          <w:szCs w:val="18"/>
        </w:rPr>
        <w:t>|</w:t>
      </w:r>
      <w:r>
        <w:rPr>
          <w:rStyle w:val="mi"/>
          <w:rFonts w:ascii="MathJax_Math" w:hAnsi="MathJax_Math"/>
          <w:b/>
          <w:i/>
          <w:iCs/>
          <w:color w:val="333333"/>
          <w:sz w:val="18"/>
          <w:szCs w:val="18"/>
        </w:rPr>
        <w:t>B</w:t>
      </w:r>
      <w:r>
        <w:rPr>
          <w:rStyle w:val="mo"/>
          <w:rFonts w:ascii="MathJax_Main" w:hAnsi="MathJax_Main"/>
          <w:b/>
          <w:color w:val="333333"/>
          <w:sz w:val="18"/>
          <w:szCs w:val="18"/>
        </w:rPr>
        <w:t>)=</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A</w:t>
      </w:r>
      <w:r>
        <w:rPr>
          <w:rStyle w:val="mo"/>
          <w:rFonts w:ascii="MathJax_Main" w:hAnsi="MathJax_Main"/>
          <w:b/>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holds if and only if the equality</w:t>
      </w:r>
      <w:r>
        <w:rPr>
          <w:rStyle w:val="apple-converted-space"/>
          <w:rFonts w:ascii="Georgia" w:hAnsi="Georgia"/>
          <w:color w:val="333333"/>
          <w:sz w:val="21"/>
          <w:szCs w:val="21"/>
        </w:rPr>
        <w:t> </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 xml:space="preserve">A </w:t>
      </w:r>
      <w:r>
        <w:rPr>
          <w:rStyle w:val="mo"/>
          <w:rFonts w:ascii="MathJax_Main" w:hAnsi="MathJax_Main"/>
          <w:b/>
          <w:color w:val="333333"/>
          <w:sz w:val="18"/>
          <w:szCs w:val="18"/>
        </w:rPr>
        <w:t xml:space="preserve">∩ </w:t>
      </w:r>
      <w:r>
        <w:rPr>
          <w:rStyle w:val="mi"/>
          <w:rFonts w:ascii="MathJax_Math" w:hAnsi="MathJax_Math"/>
          <w:b/>
          <w:i/>
          <w:iCs/>
          <w:color w:val="333333"/>
          <w:sz w:val="18"/>
          <w:szCs w:val="18"/>
        </w:rPr>
        <w:t>B</w:t>
      </w:r>
      <w:r>
        <w:rPr>
          <w:rStyle w:val="mo"/>
          <w:rFonts w:ascii="MathJax_Main" w:hAnsi="MathJax_Main"/>
          <w:b/>
          <w:color w:val="333333"/>
          <w:sz w:val="18"/>
          <w:szCs w:val="18"/>
        </w:rPr>
        <w:t>)=</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A</w:t>
      </w:r>
      <w:r>
        <w:rPr>
          <w:rStyle w:val="mo"/>
          <w:rFonts w:ascii="MathJax_Main" w:hAnsi="MathJax_Main"/>
          <w:b/>
          <w:color w:val="333333"/>
          <w:sz w:val="18"/>
          <w:szCs w:val="18"/>
        </w:rPr>
        <w:t>)</w:t>
      </w:r>
      <w:r>
        <w:rPr>
          <w:rStyle w:val="mo"/>
          <w:rFonts w:ascii="Cambria Math" w:hAnsi="Cambria Math" w:cs="Cambria Math"/>
          <w:b/>
          <w:color w:val="333333"/>
          <w:sz w:val="18"/>
          <w:szCs w:val="18"/>
        </w:rPr>
        <w:t>⋅</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B</w:t>
      </w:r>
      <w:r>
        <w:rPr>
          <w:rStyle w:val="mo"/>
          <w:rFonts w:ascii="MathJax_Main" w:hAnsi="MathJax_Main"/>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holds, which in turn is true if and only if</w:t>
      </w:r>
      <w:r>
        <w:rPr>
          <w:rStyle w:val="apple-converted-space"/>
          <w:rFonts w:ascii="Georgia" w:hAnsi="Georgia"/>
          <w:color w:val="333333"/>
          <w:sz w:val="21"/>
          <w:szCs w:val="21"/>
        </w:rPr>
        <w:t> </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B</w:t>
      </w:r>
      <w:r>
        <w:rPr>
          <w:rStyle w:val="mo"/>
          <w:rFonts w:ascii="MathJax_Main" w:hAnsi="MathJax_Main"/>
          <w:b/>
          <w:color w:val="333333"/>
          <w:sz w:val="18"/>
          <w:szCs w:val="18"/>
        </w:rPr>
        <w:t>|</w:t>
      </w:r>
      <w:r>
        <w:rPr>
          <w:rStyle w:val="mi"/>
          <w:rFonts w:ascii="MathJax_Math" w:hAnsi="MathJax_Math"/>
          <w:b/>
          <w:i/>
          <w:iCs/>
          <w:color w:val="333333"/>
          <w:sz w:val="18"/>
          <w:szCs w:val="18"/>
        </w:rPr>
        <w:t>A</w:t>
      </w:r>
      <w:r>
        <w:rPr>
          <w:rStyle w:val="mo"/>
          <w:rFonts w:ascii="MathJax_Main" w:hAnsi="MathJax_Main"/>
          <w:b/>
          <w:color w:val="333333"/>
          <w:sz w:val="18"/>
          <w:szCs w:val="18"/>
        </w:rPr>
        <w:t>)=</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B</w:t>
      </w:r>
      <w:r>
        <w:rPr>
          <w:rStyle w:val="mo"/>
          <w:rFonts w:ascii="MathJax_Main" w:hAnsi="MathJax_Main"/>
          <w:b/>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This is the basis for the following definition.</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Definition</w:t>
      </w:r>
    </w:p>
    <w:p w:rsidR="00AD77BB" w:rsidRDefault="00B45BA0">
      <w:pPr>
        <w:shd w:val="clear" w:color="auto" w:fill="F4F4F4"/>
        <w:spacing w:after="0" w:line="439" w:lineRule="atLeast"/>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Events</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A</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and</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B</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are</w:t>
      </w:r>
      <w:r>
        <w:rPr>
          <w:rFonts w:ascii="Georgia" w:eastAsia="Times New Roman" w:hAnsi="Georgia" w:cs="Times New Roman"/>
          <w:color w:val="333333"/>
          <w:sz w:val="20"/>
          <w:szCs w:val="20"/>
        </w:rPr>
        <w:t> </w:t>
      </w:r>
      <w:r>
        <w:rPr>
          <w:rFonts w:ascii="Georgia" w:eastAsia="Times New Roman" w:hAnsi="Georgia" w:cs="Times New Roman"/>
          <w:b/>
          <w:color w:val="333333"/>
          <w:sz w:val="20"/>
          <w:szCs w:val="20"/>
        </w:rPr>
        <w:t>independent</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if</w:t>
      </w:r>
    </w:p>
    <w:p w:rsidR="00AD77BB" w:rsidRDefault="00AD77BB">
      <w:pPr>
        <w:shd w:val="clear" w:color="auto" w:fill="F4F4F4"/>
        <w:spacing w:after="0" w:line="439" w:lineRule="atLeast"/>
        <w:textAlignment w:val="baseline"/>
        <w:rPr>
          <w:rFonts w:ascii="Georgia" w:eastAsia="Times New Roman" w:hAnsi="Georgia" w:cs="Times New Roman"/>
          <w:color w:val="333333"/>
          <w:sz w:val="20"/>
          <w:szCs w:val="20"/>
        </w:rPr>
      </w:pPr>
    </w:p>
    <w:p w:rsidR="00AD77BB" w:rsidRDefault="00B45BA0">
      <w:pPr>
        <w:shd w:val="clear" w:color="auto" w:fill="F4F4F4"/>
        <w:spacing w:line="270" w:lineRule="atLeast"/>
        <w:jc w:val="center"/>
        <w:textAlignment w:val="baseline"/>
        <w:rPr>
          <w:rFonts w:ascii="Calibri" w:eastAsia="Times New Roman" w:hAnsi="Calibri" w:cs="Times New Roman"/>
          <w:b/>
          <w:color w:val="555555"/>
          <w:sz w:val="23"/>
          <w:szCs w:val="23"/>
        </w:rPr>
      </w:pPr>
      <w:r>
        <w:rPr>
          <w:rFonts w:ascii="MathJax_Math" w:eastAsia="Times New Roman" w:hAnsi="MathJax_Math" w:cs="Times New Roman"/>
          <w:b/>
          <w:i/>
          <w:iCs/>
          <w:color w:val="555555"/>
          <w:sz w:val="18"/>
          <w:szCs w:val="18"/>
        </w:rPr>
        <w:t>P</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A</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B</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P</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A</w:t>
      </w:r>
      <w:r>
        <w:rPr>
          <w:rFonts w:ascii="MathJax_Main" w:eastAsia="Times New Roman" w:hAnsi="MathJax_Main" w:cs="Times New Roman"/>
          <w:b/>
          <w:color w:val="555555"/>
          <w:sz w:val="18"/>
          <w:szCs w:val="18"/>
        </w:rPr>
        <w:t>)</w:t>
      </w:r>
      <w:r>
        <w:rPr>
          <w:rFonts w:ascii="Cambria Math" w:eastAsia="Times New Roman" w:hAnsi="Cambria Math" w:cs="Cambria Math"/>
          <w:b/>
          <w:color w:val="555555"/>
          <w:sz w:val="18"/>
          <w:szCs w:val="18"/>
        </w:rPr>
        <w:t>⋅</w:t>
      </w:r>
      <w:r>
        <w:rPr>
          <w:rFonts w:ascii="MathJax_Math" w:eastAsia="Times New Roman" w:hAnsi="MathJax_Math" w:cs="Times New Roman"/>
          <w:b/>
          <w:i/>
          <w:iCs/>
          <w:color w:val="555555"/>
          <w:sz w:val="18"/>
          <w:szCs w:val="18"/>
        </w:rPr>
        <w:t>P</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B</w:t>
      </w:r>
      <w:r>
        <w:rPr>
          <w:rFonts w:ascii="MathJax_Main" w:eastAsia="Times New Roman" w:hAnsi="MathJax_Main" w:cs="Times New Roman"/>
          <w:b/>
          <w:color w:val="555555"/>
          <w:sz w:val="18"/>
          <w:szCs w:val="18"/>
        </w:rPr>
        <w:t>)</w:t>
      </w:r>
    </w:p>
    <w:p w:rsidR="00AD77BB" w:rsidRDefault="00B45BA0">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If</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A</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and</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B</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are not independent then they are</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dependent</w:t>
      </w:r>
      <w:r>
        <w:rPr>
          <w:rFonts w:ascii="Georgia" w:eastAsia="Times New Roman" w:hAnsi="Georgia" w:cs="Times New Roman"/>
          <w:color w:val="333333"/>
          <w:sz w:val="20"/>
          <w:szCs w:val="20"/>
        </w:rPr>
        <w:t>.</w:t>
      </w:r>
    </w:p>
    <w:p w:rsidR="00AD77BB" w:rsidRDefault="00B45BA0">
      <w:pPr>
        <w:shd w:val="clear" w:color="auto" w:fill="FFFFFF"/>
        <w:spacing w:after="0"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formula in the definition has two practical but exactly opposite uses:</w:t>
      </w:r>
    </w:p>
    <w:p w:rsidR="00AD77BB" w:rsidRDefault="00AD77BB">
      <w:pPr>
        <w:shd w:val="clear" w:color="auto" w:fill="FFFFFF"/>
        <w:spacing w:after="0" w:line="439" w:lineRule="atLeast"/>
        <w:textAlignment w:val="baseline"/>
        <w:rPr>
          <w:rFonts w:ascii="Georgia" w:eastAsia="Times New Roman" w:hAnsi="Georgia" w:cs="Times New Roman"/>
          <w:color w:val="333333"/>
          <w:sz w:val="21"/>
          <w:szCs w:val="21"/>
        </w:rPr>
      </w:pPr>
    </w:p>
    <w:p w:rsidR="00AD77BB" w:rsidRDefault="00B45BA0">
      <w:pPr>
        <w:numPr>
          <w:ilvl w:val="0"/>
          <w:numId w:val="72"/>
        </w:numPr>
        <w:shd w:val="clear" w:color="auto" w:fill="FFFFFF"/>
        <w:spacing w:after="0"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a situation in which we can compute all three probabilities </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A</w:t>
      </w:r>
      <w:r>
        <w:rPr>
          <w:rFonts w:ascii="MathJax_Main" w:eastAsia="Times New Roman" w:hAnsi="MathJax_Main" w:cs="Times New Roman"/>
          <w:b/>
          <w:color w:val="333333"/>
          <w:sz w:val="18"/>
          <w:szCs w:val="18"/>
        </w:rPr>
        <w:t>)</w:t>
      </w:r>
      <w:r>
        <w:rPr>
          <w:rFonts w:ascii="Georgia" w:eastAsia="Times New Roman" w:hAnsi="Georgia" w:cs="Times New Roman"/>
          <w:b/>
          <w:color w:val="333333"/>
          <w:sz w:val="20"/>
          <w:szCs w:val="20"/>
        </w:rPr>
        <w:t>, </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B</w:t>
      </w:r>
      <w:r>
        <w:rPr>
          <w:rFonts w:ascii="MathJax_Main" w:eastAsia="Times New Roman" w:hAnsi="MathJax_Main" w:cs="Times New Roman"/>
          <w:b/>
          <w:color w:val="333333"/>
          <w:sz w:val="18"/>
          <w:szCs w:val="18"/>
        </w:rPr>
        <w:t>)</w:t>
      </w:r>
      <w:r>
        <w:rPr>
          <w:rFonts w:ascii="Georgia" w:eastAsia="Times New Roman" w:hAnsi="Georgia" w:cs="Times New Roman"/>
          <w:b/>
          <w:color w:val="333333"/>
          <w:sz w:val="20"/>
          <w:szCs w:val="20"/>
        </w:rPr>
        <w:t>,</w:t>
      </w:r>
      <w:r>
        <w:rPr>
          <w:rFonts w:ascii="Georgia" w:eastAsia="Times New Roman" w:hAnsi="Georgia" w:cs="Times New Roman"/>
          <w:color w:val="333333"/>
          <w:sz w:val="20"/>
          <w:szCs w:val="20"/>
        </w:rPr>
        <w:t xml:space="preserve"> and </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A</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B</w:t>
      </w:r>
      <w:r>
        <w:rPr>
          <w:rFonts w:ascii="MathJax_Main" w:eastAsia="Times New Roman" w:hAnsi="MathJax_Main" w:cs="Times New Roman"/>
          <w:b/>
          <w:color w:val="333333"/>
          <w:sz w:val="18"/>
          <w:szCs w:val="18"/>
        </w:rPr>
        <w:t>)</w:t>
      </w:r>
      <w:r>
        <w:rPr>
          <w:rFonts w:ascii="Georgia" w:eastAsia="Times New Roman" w:hAnsi="Georgia" w:cs="Times New Roman"/>
          <w:b/>
          <w:color w:val="333333"/>
          <w:sz w:val="20"/>
          <w:szCs w:val="20"/>
        </w:rPr>
        <w:t>,</w:t>
      </w:r>
      <w:r>
        <w:rPr>
          <w:rFonts w:ascii="Georgia" w:eastAsia="Times New Roman" w:hAnsi="Georgia" w:cs="Times New Roman"/>
          <w:color w:val="333333"/>
          <w:sz w:val="20"/>
          <w:szCs w:val="20"/>
        </w:rPr>
        <w:t xml:space="preserve"> it is used to check whether or not the events </w:t>
      </w:r>
      <w:r>
        <w:rPr>
          <w:rFonts w:ascii="Georgia" w:eastAsia="Times New Roman" w:hAnsi="Georgia" w:cs="Times New Roman"/>
          <w:i/>
          <w:iCs/>
          <w:color w:val="333333"/>
          <w:sz w:val="20"/>
          <w:szCs w:val="20"/>
        </w:rPr>
        <w:t>A</w:t>
      </w:r>
      <w:r>
        <w:rPr>
          <w:rFonts w:ascii="Georgia" w:eastAsia="Times New Roman" w:hAnsi="Georgia" w:cs="Times New Roman"/>
          <w:color w:val="333333"/>
          <w:sz w:val="20"/>
          <w:szCs w:val="20"/>
        </w:rPr>
        <w:t> and </w:t>
      </w:r>
      <w:r>
        <w:rPr>
          <w:rFonts w:ascii="Georgia" w:eastAsia="Times New Roman" w:hAnsi="Georgia" w:cs="Times New Roman"/>
          <w:i/>
          <w:iCs/>
          <w:color w:val="333333"/>
          <w:sz w:val="20"/>
          <w:szCs w:val="20"/>
        </w:rPr>
        <w:t>B</w:t>
      </w:r>
      <w:r>
        <w:rPr>
          <w:rFonts w:ascii="Georgia" w:eastAsia="Times New Roman" w:hAnsi="Georgia" w:cs="Times New Roman"/>
          <w:color w:val="333333"/>
          <w:sz w:val="20"/>
          <w:szCs w:val="20"/>
        </w:rPr>
        <w:t> are independent:</w:t>
      </w:r>
    </w:p>
    <w:p w:rsidR="00AD77BB" w:rsidRDefault="00B45BA0">
      <w:pPr>
        <w:numPr>
          <w:ilvl w:val="1"/>
          <w:numId w:val="72"/>
        </w:numPr>
        <w:shd w:val="clear" w:color="auto" w:fill="FFFFFF"/>
        <w:spacing w:after="0"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If </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A</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B</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A</w:t>
      </w:r>
      <w:r>
        <w:rPr>
          <w:rFonts w:ascii="MathJax_Main" w:eastAsia="Times New Roman" w:hAnsi="MathJax_Main" w:cs="Times New Roman"/>
          <w:b/>
          <w:color w:val="333333"/>
          <w:sz w:val="18"/>
          <w:szCs w:val="18"/>
        </w:rPr>
        <w:t>)</w:t>
      </w:r>
      <w:r>
        <w:rPr>
          <w:rFonts w:ascii="Cambria Math" w:eastAsia="Times New Roman" w:hAnsi="Cambria Math" w:cs="Cambria Math"/>
          <w:b/>
          <w:color w:val="333333"/>
          <w:sz w:val="18"/>
          <w:szCs w:val="18"/>
        </w:rPr>
        <w:t>⋅</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B</w:t>
      </w:r>
      <w:r>
        <w:rPr>
          <w:rFonts w:ascii="MathJax_Main" w:eastAsia="Times New Roman" w:hAnsi="MathJax_Main" w:cs="Times New Roman"/>
          <w:b/>
          <w:color w:val="333333"/>
          <w:sz w:val="18"/>
          <w:szCs w:val="18"/>
        </w:rPr>
        <w:t>)</w:t>
      </w:r>
      <w:r>
        <w:rPr>
          <w:rFonts w:ascii="Georgia" w:eastAsia="Times New Roman" w:hAnsi="Georgia" w:cs="Times New Roman"/>
          <w:b/>
          <w:color w:val="333333"/>
          <w:sz w:val="20"/>
          <w:szCs w:val="20"/>
        </w:rPr>
        <w:t>,</w:t>
      </w:r>
      <w:r>
        <w:rPr>
          <w:rFonts w:ascii="Georgia" w:eastAsia="Times New Roman" w:hAnsi="Georgia" w:cs="Times New Roman"/>
          <w:color w:val="333333"/>
          <w:sz w:val="20"/>
          <w:szCs w:val="20"/>
        </w:rPr>
        <w:t xml:space="preserve"> then </w:t>
      </w:r>
      <w:r>
        <w:rPr>
          <w:rFonts w:ascii="Georgia" w:eastAsia="Times New Roman" w:hAnsi="Georgia" w:cs="Times New Roman"/>
          <w:i/>
          <w:iCs/>
          <w:color w:val="333333"/>
          <w:sz w:val="20"/>
          <w:szCs w:val="20"/>
        </w:rPr>
        <w:t>A</w:t>
      </w:r>
      <w:r>
        <w:rPr>
          <w:rFonts w:ascii="Georgia" w:eastAsia="Times New Roman" w:hAnsi="Georgia" w:cs="Times New Roman"/>
          <w:color w:val="333333"/>
          <w:sz w:val="20"/>
          <w:szCs w:val="20"/>
        </w:rPr>
        <w:t> and </w:t>
      </w:r>
      <w:r>
        <w:rPr>
          <w:rFonts w:ascii="Georgia" w:eastAsia="Times New Roman" w:hAnsi="Georgia" w:cs="Times New Roman"/>
          <w:i/>
          <w:iCs/>
          <w:color w:val="333333"/>
          <w:sz w:val="20"/>
          <w:szCs w:val="20"/>
        </w:rPr>
        <w:t>B</w:t>
      </w:r>
      <w:r>
        <w:rPr>
          <w:rFonts w:ascii="Georgia" w:eastAsia="Times New Roman" w:hAnsi="Georgia" w:cs="Times New Roman"/>
          <w:color w:val="333333"/>
          <w:sz w:val="20"/>
          <w:szCs w:val="20"/>
        </w:rPr>
        <w:t> are independent.</w:t>
      </w:r>
    </w:p>
    <w:p w:rsidR="00AD77BB" w:rsidRDefault="00B45BA0">
      <w:pPr>
        <w:numPr>
          <w:ilvl w:val="1"/>
          <w:numId w:val="72"/>
        </w:numPr>
        <w:shd w:val="clear" w:color="auto" w:fill="FFFFFF"/>
        <w:spacing w:after="0"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If </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A</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B</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A</w:t>
      </w:r>
      <w:r>
        <w:rPr>
          <w:rFonts w:ascii="MathJax_Main" w:eastAsia="Times New Roman" w:hAnsi="MathJax_Main" w:cs="Times New Roman"/>
          <w:b/>
          <w:color w:val="333333"/>
          <w:sz w:val="18"/>
          <w:szCs w:val="18"/>
        </w:rPr>
        <w:t>)</w:t>
      </w:r>
      <w:r>
        <w:rPr>
          <w:rFonts w:ascii="Cambria Math" w:eastAsia="Times New Roman" w:hAnsi="Cambria Math" w:cs="Cambria Math"/>
          <w:b/>
          <w:color w:val="333333"/>
          <w:sz w:val="18"/>
          <w:szCs w:val="18"/>
        </w:rPr>
        <w:t>⋅</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B</w:t>
      </w:r>
      <w:r>
        <w:rPr>
          <w:rFonts w:ascii="MathJax_Main" w:eastAsia="Times New Roman" w:hAnsi="MathJax_Main" w:cs="Times New Roman"/>
          <w:b/>
          <w:color w:val="333333"/>
          <w:sz w:val="18"/>
          <w:szCs w:val="18"/>
        </w:rPr>
        <w:t>)</w:t>
      </w:r>
      <w:r>
        <w:rPr>
          <w:rFonts w:ascii="Georgia" w:eastAsia="Times New Roman" w:hAnsi="Georgia" w:cs="Times New Roman"/>
          <w:b/>
          <w:color w:val="333333"/>
          <w:sz w:val="20"/>
          <w:szCs w:val="20"/>
        </w:rPr>
        <w:t>,</w:t>
      </w:r>
      <w:r>
        <w:rPr>
          <w:rFonts w:ascii="Georgia" w:eastAsia="Times New Roman" w:hAnsi="Georgia" w:cs="Times New Roman"/>
          <w:color w:val="333333"/>
          <w:sz w:val="20"/>
          <w:szCs w:val="20"/>
        </w:rPr>
        <w:t xml:space="preserve"> then </w:t>
      </w:r>
      <w:r>
        <w:rPr>
          <w:rFonts w:ascii="Georgia" w:eastAsia="Times New Roman" w:hAnsi="Georgia" w:cs="Times New Roman"/>
          <w:i/>
          <w:iCs/>
          <w:color w:val="333333"/>
          <w:sz w:val="20"/>
          <w:szCs w:val="20"/>
        </w:rPr>
        <w:t>A</w:t>
      </w:r>
      <w:r>
        <w:rPr>
          <w:rFonts w:ascii="Georgia" w:eastAsia="Times New Roman" w:hAnsi="Georgia" w:cs="Times New Roman"/>
          <w:color w:val="333333"/>
          <w:sz w:val="20"/>
          <w:szCs w:val="20"/>
        </w:rPr>
        <w:t> and </w:t>
      </w:r>
      <w:r>
        <w:rPr>
          <w:rFonts w:ascii="Georgia" w:eastAsia="Times New Roman" w:hAnsi="Georgia" w:cs="Times New Roman"/>
          <w:i/>
          <w:iCs/>
          <w:color w:val="333333"/>
          <w:sz w:val="20"/>
          <w:szCs w:val="20"/>
        </w:rPr>
        <w:t>B</w:t>
      </w:r>
      <w:r>
        <w:rPr>
          <w:rFonts w:ascii="Georgia" w:eastAsia="Times New Roman" w:hAnsi="Georgia" w:cs="Times New Roman"/>
          <w:color w:val="333333"/>
          <w:sz w:val="20"/>
          <w:szCs w:val="20"/>
        </w:rPr>
        <w:t> are not independent.</w:t>
      </w:r>
    </w:p>
    <w:p w:rsidR="00AD77BB" w:rsidRDefault="00AD77BB">
      <w:pPr>
        <w:shd w:val="clear" w:color="auto" w:fill="FFFFFF"/>
        <w:spacing w:after="0" w:line="360" w:lineRule="auto"/>
        <w:textAlignment w:val="baseline"/>
        <w:rPr>
          <w:rFonts w:ascii="Georgia" w:eastAsia="Times New Roman" w:hAnsi="Georgia" w:cs="Times New Roman"/>
          <w:color w:val="333333"/>
          <w:sz w:val="20"/>
          <w:szCs w:val="20"/>
        </w:rPr>
      </w:pPr>
    </w:p>
    <w:p w:rsidR="00AD77BB" w:rsidRDefault="00B45BA0">
      <w:pPr>
        <w:numPr>
          <w:ilvl w:val="0"/>
          <w:numId w:val="72"/>
        </w:numPr>
        <w:shd w:val="clear" w:color="auto" w:fill="FFFFFF"/>
        <w:spacing w:after="0"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a situation in which each of </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A</w:t>
      </w:r>
      <w:r>
        <w:rPr>
          <w:rFonts w:ascii="MathJax_Main" w:eastAsia="Times New Roman" w:hAnsi="MathJax_Main" w:cs="Times New Roman"/>
          <w:b/>
          <w:color w:val="333333"/>
          <w:sz w:val="18"/>
          <w:szCs w:val="18"/>
        </w:rPr>
        <w:t>)</w:t>
      </w:r>
      <w:r>
        <w:rPr>
          <w:rFonts w:ascii="Georgia" w:eastAsia="Times New Roman" w:hAnsi="Georgia" w:cs="Times New Roman"/>
          <w:color w:val="333333"/>
          <w:sz w:val="20"/>
          <w:szCs w:val="20"/>
        </w:rPr>
        <w:t> and </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B</w:t>
      </w:r>
      <w:r>
        <w:rPr>
          <w:rFonts w:ascii="MathJax_Main" w:eastAsia="Times New Roman" w:hAnsi="MathJax_Main" w:cs="Times New Roman"/>
          <w:b/>
          <w:color w:val="333333"/>
          <w:sz w:val="18"/>
          <w:szCs w:val="18"/>
        </w:rPr>
        <w:t>)</w:t>
      </w:r>
      <w:r>
        <w:rPr>
          <w:rFonts w:ascii="Georgia" w:eastAsia="Times New Roman" w:hAnsi="Georgia" w:cs="Times New Roman"/>
          <w:color w:val="333333"/>
          <w:sz w:val="20"/>
          <w:szCs w:val="20"/>
        </w:rPr>
        <w:t> can be computed and it is known that </w:t>
      </w:r>
      <w:r>
        <w:rPr>
          <w:rFonts w:ascii="Georgia" w:eastAsia="Times New Roman" w:hAnsi="Georgia" w:cs="Times New Roman"/>
          <w:i/>
          <w:iCs/>
          <w:color w:val="333333"/>
          <w:sz w:val="20"/>
          <w:szCs w:val="20"/>
        </w:rPr>
        <w:t>A</w:t>
      </w:r>
      <w:r>
        <w:rPr>
          <w:rFonts w:ascii="Georgia" w:eastAsia="Times New Roman" w:hAnsi="Georgia" w:cs="Times New Roman"/>
          <w:color w:val="333333"/>
          <w:sz w:val="20"/>
          <w:szCs w:val="20"/>
        </w:rPr>
        <w:t> and </w:t>
      </w:r>
      <w:r>
        <w:rPr>
          <w:rFonts w:ascii="Georgia" w:eastAsia="Times New Roman" w:hAnsi="Georgia" w:cs="Times New Roman"/>
          <w:i/>
          <w:iCs/>
          <w:color w:val="333333"/>
          <w:sz w:val="20"/>
          <w:szCs w:val="20"/>
        </w:rPr>
        <w:t>B</w:t>
      </w:r>
      <w:r>
        <w:rPr>
          <w:rFonts w:ascii="Georgia" w:eastAsia="Times New Roman" w:hAnsi="Georgia" w:cs="Times New Roman"/>
          <w:color w:val="333333"/>
          <w:sz w:val="20"/>
          <w:szCs w:val="20"/>
        </w:rPr>
        <w:t> are independent, then we can compute </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A</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B</w:t>
      </w:r>
      <w:r>
        <w:rPr>
          <w:rFonts w:ascii="MathJax_Main" w:eastAsia="Times New Roman" w:hAnsi="MathJax_Main" w:cs="Times New Roman"/>
          <w:b/>
          <w:color w:val="333333"/>
          <w:sz w:val="18"/>
          <w:szCs w:val="18"/>
        </w:rPr>
        <w:t>)</w:t>
      </w:r>
      <w:r>
        <w:rPr>
          <w:rFonts w:ascii="Georgia" w:eastAsia="Times New Roman" w:hAnsi="Georgia" w:cs="Times New Roman"/>
          <w:color w:val="333333"/>
          <w:sz w:val="20"/>
          <w:szCs w:val="20"/>
        </w:rPr>
        <w:t> by multiplying together </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A</w:t>
      </w:r>
      <w:r>
        <w:rPr>
          <w:rFonts w:ascii="MathJax_Main" w:eastAsia="Times New Roman" w:hAnsi="MathJax_Main" w:cs="Times New Roman"/>
          <w:b/>
          <w:color w:val="333333"/>
          <w:sz w:val="18"/>
          <w:szCs w:val="18"/>
        </w:rPr>
        <w:t>)</w:t>
      </w:r>
      <w:r>
        <w:rPr>
          <w:rFonts w:ascii="Georgia" w:eastAsia="Times New Roman" w:hAnsi="Georgia" w:cs="Times New Roman"/>
          <w:color w:val="333333"/>
          <w:sz w:val="20"/>
          <w:szCs w:val="20"/>
        </w:rPr>
        <w:t> and </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B</w:t>
      </w:r>
      <w:r>
        <w:rPr>
          <w:rFonts w:ascii="MathJax_Main" w:eastAsia="Times New Roman" w:hAnsi="MathJax_Main" w:cs="Times New Roman"/>
          <w:b/>
          <w:color w:val="333333"/>
          <w:sz w:val="18"/>
          <w:szCs w:val="18"/>
        </w:rPr>
        <w:t>)</w:t>
      </w:r>
      <w:r>
        <w:rPr>
          <w:rFonts w:ascii="Georgia" w:eastAsia="Times New Roman" w:hAnsi="Georgia" w:cs="Times New Roman"/>
          <w:b/>
          <w:color w:val="333333"/>
          <w:sz w:val="20"/>
          <w:szCs w:val="20"/>
        </w:rPr>
        <w:t>: </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A</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B</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A</w:t>
      </w:r>
      <w:r>
        <w:rPr>
          <w:rFonts w:ascii="MathJax_Main" w:eastAsia="Times New Roman" w:hAnsi="MathJax_Main" w:cs="Times New Roman"/>
          <w:b/>
          <w:color w:val="333333"/>
          <w:sz w:val="18"/>
          <w:szCs w:val="18"/>
        </w:rPr>
        <w:t>)</w:t>
      </w:r>
      <w:r>
        <w:rPr>
          <w:rFonts w:ascii="Cambria Math" w:eastAsia="Times New Roman" w:hAnsi="Cambria Math" w:cs="Cambria Math"/>
          <w:b/>
          <w:color w:val="333333"/>
          <w:sz w:val="18"/>
          <w:szCs w:val="18"/>
        </w:rPr>
        <w:t>⋅</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B</w:t>
      </w:r>
      <w:r>
        <w:rPr>
          <w:rFonts w:ascii="MathJax_Main" w:eastAsia="Times New Roman" w:hAnsi="MathJax_Main" w:cs="Times New Roman"/>
          <w:b/>
          <w:color w:val="333333"/>
          <w:sz w:val="18"/>
          <w:szCs w:val="18"/>
        </w:rPr>
        <w:t>).</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EXAMPLE 23</w:t>
      </w:r>
    </w:p>
    <w:p w:rsidR="00AD77BB" w:rsidRDefault="00B45BA0">
      <w:pPr>
        <w:shd w:val="clear" w:color="auto" w:fill="E3EFF7"/>
        <w:spacing w:after="0" w:line="360" w:lineRule="auto"/>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single fair die is rolled. Let </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5"/>
          <w:szCs w:val="15"/>
        </w:rPr>
        <w:t>={3}</w:t>
      </w:r>
      <w:r>
        <w:rPr>
          <w:rFonts w:ascii="Calibri" w:eastAsia="Times New Roman" w:hAnsi="Calibri" w:cs="Times New Roman"/>
          <w:color w:val="333333"/>
          <w:sz w:val="20"/>
          <w:szCs w:val="20"/>
        </w:rPr>
        <w:t> and </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={1,3,5}.</w:t>
      </w:r>
      <w:r>
        <w:rPr>
          <w:rFonts w:ascii="Calibri" w:eastAsia="Times New Roman" w:hAnsi="Calibri" w:cs="Times New Roman"/>
          <w:color w:val="333333"/>
          <w:sz w:val="20"/>
          <w:szCs w:val="20"/>
        </w:rPr>
        <w:t> Are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independent?</w:t>
      </w:r>
    </w:p>
    <w:p w:rsidR="00AD77BB" w:rsidRDefault="00B45BA0">
      <w:pPr>
        <w:shd w:val="clear" w:color="auto" w:fill="E3EFF7"/>
        <w:spacing w:before="150" w:after="0" w:line="360" w:lineRule="auto"/>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Solution:</w:t>
      </w:r>
    </w:p>
    <w:p w:rsidR="00AD77BB" w:rsidRDefault="00B45BA0">
      <w:pPr>
        <w:shd w:val="clear" w:color="auto" w:fill="E3EFF7"/>
        <w:spacing w:line="360" w:lineRule="auto"/>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this example we can compute all three probabilities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5"/>
          <w:szCs w:val="15"/>
        </w:rPr>
        <w:t>)=1/6</w:t>
      </w:r>
      <w:r>
        <w:rPr>
          <w:rFonts w:ascii="Calibri" w:eastAsia="Times New Roman" w:hAnsi="Calibri" w:cs="Times New Roman"/>
          <w:b/>
          <w:color w:val="333333"/>
          <w:sz w:val="20"/>
          <w:szCs w:val="20"/>
        </w:rPr>
        <w: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)=1/2</w:t>
      </w:r>
      <w:r>
        <w:rPr>
          <w:rFonts w:ascii="Calibri" w:eastAsia="Times New Roman" w:hAnsi="Calibri" w:cs="Times New Roman"/>
          <w:color w:val="333333"/>
          <w:sz w:val="20"/>
          <w:szCs w:val="20"/>
        </w:rPr>
        <w:t>, and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 xml:space="preserve">A </w:t>
      </w:r>
      <w:r>
        <w:rPr>
          <w:rFonts w:ascii="MathJax_Main" w:eastAsia="Times New Roman" w:hAnsi="MathJax_Main" w:cs="Times New Roman"/>
          <w:b/>
          <w:color w:val="333333"/>
          <w:sz w:val="15"/>
          <w:szCs w:val="15"/>
        </w:rPr>
        <w:t xml:space="preserve">∩ </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({3})=1/6</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Since the product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5"/>
          <w:szCs w:val="15"/>
        </w:rPr>
        <w:t>)</w:t>
      </w:r>
      <w:r>
        <w:rPr>
          <w:rFonts w:ascii="Cambria Math" w:eastAsia="Times New Roman" w:hAnsi="Cambria Math" w:cs="Cambria Math"/>
          <w:b/>
          <w:color w:val="333333"/>
          <w:sz w:val="15"/>
          <w:szCs w:val="15"/>
        </w:rPr>
        <w:t>⋅</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)=(1/6)(1/2)=1/12</w:t>
      </w:r>
      <w:r>
        <w:rPr>
          <w:rFonts w:ascii="Calibri" w:eastAsia="Times New Roman" w:hAnsi="Calibri" w:cs="Times New Roman"/>
          <w:color w:val="333333"/>
          <w:sz w:val="20"/>
          <w:szCs w:val="20"/>
        </w:rPr>
        <w:t> is not the same number as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 xml:space="preserve">( </w:t>
      </w:r>
      <w:r>
        <w:rPr>
          <w:rFonts w:ascii="MathJax_Math" w:eastAsia="Times New Roman" w:hAnsi="MathJax_Math" w:cs="Times New Roman"/>
          <w:b/>
          <w:i/>
          <w:iCs/>
          <w:color w:val="333333"/>
          <w:sz w:val="15"/>
          <w:szCs w:val="15"/>
        </w:rPr>
        <w:t xml:space="preserve">A </w:t>
      </w:r>
      <w:r>
        <w:rPr>
          <w:rFonts w:ascii="MathJax_Main" w:eastAsia="Times New Roman" w:hAnsi="MathJax_Main" w:cs="Times New Roman"/>
          <w:b/>
          <w:color w:val="333333"/>
          <w:sz w:val="15"/>
          <w:szCs w:val="15"/>
        </w:rPr>
        <w:t xml:space="preserve">∩ </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)=1/6</w:t>
      </w:r>
      <w:r>
        <w:rPr>
          <w:rFonts w:ascii="Calibri" w:eastAsia="Times New Roman" w:hAnsi="Calibri" w:cs="Times New Roman"/>
          <w:color w:val="333333"/>
          <w:sz w:val="20"/>
          <w:szCs w:val="20"/>
        </w:rPr>
        <w:t>, the events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are not independent.</w:t>
      </w:r>
    </w:p>
    <w:p w:rsidR="00AD77BB" w:rsidRDefault="00B45BA0">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EXAMPLE 24</w:t>
      </w:r>
    </w:p>
    <w:p w:rsidR="00AD77BB" w:rsidRDefault="00B45BA0">
      <w:pPr>
        <w:shd w:val="clear" w:color="auto" w:fill="E3EFF7"/>
        <w:spacing w:line="360" w:lineRule="auto"/>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two-way classification of married or previously married adults under 40 according to gender and age at first marriage in </w:t>
      </w:r>
      <w:r>
        <w:rPr>
          <w:rFonts w:ascii="Calibri" w:eastAsia="Times New Roman" w:hAnsi="Calibri" w:cs="Times New Roman"/>
          <w:color w:val="2689C6"/>
          <w:sz w:val="20"/>
          <w:szCs w:val="20"/>
        </w:rPr>
        <w:t>Note 3.48 "Example 21"</w:t>
      </w:r>
      <w:r>
        <w:rPr>
          <w:rFonts w:ascii="Calibri" w:eastAsia="Times New Roman" w:hAnsi="Calibri" w:cs="Times New Roman"/>
          <w:color w:val="333333"/>
          <w:sz w:val="20"/>
          <w:szCs w:val="20"/>
        </w:rPr>
        <w:t> produced the table</w:t>
      </w:r>
    </w:p>
    <w:tbl>
      <w:tblPr>
        <w:tblW w:w="0" w:type="auto"/>
        <w:tblCellMar>
          <w:left w:w="0" w:type="dxa"/>
          <w:right w:w="0" w:type="dxa"/>
        </w:tblCellMar>
        <w:tblLook w:val="04A0" w:firstRow="1" w:lastRow="0" w:firstColumn="1" w:lastColumn="0" w:noHBand="0" w:noVBand="1"/>
      </w:tblPr>
      <w:tblGrid>
        <w:gridCol w:w="594"/>
        <w:gridCol w:w="465"/>
        <w:gridCol w:w="465"/>
        <w:gridCol w:w="465"/>
        <w:gridCol w:w="629"/>
      </w:tblGrid>
      <w:tr w:rsidR="00AD77BB">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i/>
                <w:iCs/>
                <w:color w:val="F48800"/>
                <w:sz w:val="21"/>
                <w:szCs w:val="21"/>
              </w:rPr>
              <w:t>E</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i/>
                <w:iCs/>
                <w:color w:val="F48800"/>
                <w:sz w:val="21"/>
                <w:szCs w:val="21"/>
              </w:rPr>
              <w:t>W</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i/>
                <w:iCs/>
                <w:color w:val="F48800"/>
                <w:sz w:val="21"/>
                <w:szCs w:val="21"/>
              </w:rPr>
              <w:t>H</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Total</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i/>
                <w:iCs/>
                <w:sz w:val="21"/>
                <w:szCs w:val="21"/>
              </w:rPr>
              <w:t>M</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43</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293</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114</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450</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i/>
                <w:iCs/>
                <w:sz w:val="21"/>
                <w:szCs w:val="21"/>
              </w:rPr>
              <w:t>F</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82</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299</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71</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452</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Total</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125</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592</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185</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902</w:t>
            </w:r>
          </w:p>
        </w:tc>
      </w:tr>
    </w:tbl>
    <w:p w:rsidR="00AD77BB" w:rsidRDefault="00AD77BB">
      <w:pPr>
        <w:shd w:val="clear" w:color="auto" w:fill="E3EFF7"/>
        <w:spacing w:line="360" w:lineRule="auto"/>
        <w:ind w:left="300" w:right="375"/>
        <w:textAlignment w:val="baseline"/>
        <w:rPr>
          <w:rFonts w:ascii="Calibri" w:eastAsia="Times New Roman" w:hAnsi="Calibri" w:cs="Times New Roman"/>
          <w:color w:val="333333"/>
          <w:sz w:val="20"/>
          <w:szCs w:val="20"/>
        </w:rPr>
      </w:pPr>
    </w:p>
    <w:p w:rsidR="00AD77BB" w:rsidRDefault="00B45BA0">
      <w:pPr>
        <w:shd w:val="clear" w:color="auto" w:fill="E3EFF7"/>
        <w:spacing w:line="360" w:lineRule="auto"/>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Determine whether or not the events </w:t>
      </w:r>
      <w:r>
        <w:rPr>
          <w:rFonts w:ascii="Calibri" w:eastAsia="Times New Roman" w:hAnsi="Calibri" w:cs="Times New Roman"/>
          <w:i/>
          <w:iCs/>
          <w:color w:val="333333"/>
          <w:sz w:val="20"/>
          <w:szCs w:val="20"/>
        </w:rPr>
        <w:t>F</w:t>
      </w:r>
      <w:r>
        <w:rPr>
          <w:rFonts w:ascii="Calibri" w:eastAsia="Times New Roman" w:hAnsi="Calibri" w:cs="Times New Roman"/>
          <w:color w:val="333333"/>
          <w:sz w:val="20"/>
          <w:szCs w:val="20"/>
        </w:rPr>
        <w:t>: “female” and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“was a teenager at first marriage” are independent.</w:t>
      </w:r>
    </w:p>
    <w:p w:rsidR="00AD77BB" w:rsidRDefault="00B45BA0">
      <w:pPr>
        <w:pStyle w:val="para"/>
        <w:shd w:val="clear" w:color="auto" w:fill="FFFFFF" w:themeFill="background1"/>
        <w:spacing w:before="0" w:beforeAutospacing="0" w:after="0" w:afterAutospacing="0" w:line="360" w:lineRule="auto"/>
        <w:ind w:left="446"/>
        <w:textAlignment w:val="baseline"/>
      </w:pPr>
      <w:r>
        <w:rPr>
          <w:noProof/>
        </w:rPr>
        <w:drawing>
          <wp:inline distT="0" distB="0" distL="0" distR="0" wp14:anchorId="770BDCA2" wp14:editId="1D1C256B">
            <wp:extent cx="5486400" cy="4552950"/>
            <wp:effectExtent l="0" t="0" r="0" b="0"/>
            <wp:docPr id="100"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86400" cy="4552950"/>
                    </a:xfrm>
                    <a:prstGeom prst="rect">
                      <a:avLst/>
                    </a:prstGeom>
                    <a:noFill/>
                    <a:ln>
                      <a:noFill/>
                    </a:ln>
                  </pic:spPr>
                </pic:pic>
              </a:graphicData>
            </a:graphic>
          </wp:inline>
        </w:drawing>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EXAMPLE 25</w:t>
      </w:r>
    </w:p>
    <w:p w:rsidR="00AD77BB" w:rsidRDefault="00B45BA0">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Many diagnostic tests for detecting diseases do not test for the disease directly but for a chemical or biological product of the disease, hence are not perfectly reliable. The </w:t>
      </w:r>
      <w:r>
        <w:rPr>
          <w:rFonts w:ascii="Calibri" w:eastAsia="Times New Roman" w:hAnsi="Calibri" w:cs="Times New Roman"/>
          <w:i/>
          <w:iCs/>
          <w:color w:val="333333"/>
          <w:sz w:val="20"/>
          <w:szCs w:val="20"/>
        </w:rPr>
        <w:t>sensitivity</w:t>
      </w:r>
      <w:r>
        <w:rPr>
          <w:rFonts w:ascii="Calibri" w:eastAsia="Times New Roman" w:hAnsi="Calibri" w:cs="Times New Roman"/>
          <w:color w:val="333333"/>
          <w:sz w:val="21"/>
          <w:szCs w:val="21"/>
        </w:rPr>
        <w:t> of a test is the probability that the test will be positive when administered to a person who has the disease. The higher the sensitivity, the greater the detection rate and the lower the false negative rate.</w:t>
      </w:r>
    </w:p>
    <w:p w:rsidR="00AD77BB" w:rsidRDefault="00B45BA0">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lastRenderedPageBreak/>
        <w:t>Suppose the sensitivity of a diagnostic procedure to test whether a person has a particular disease is 92%. A person who actually has the disease is tested for it using this procedure by two independent laboratories.</w:t>
      </w:r>
    </w:p>
    <w:p w:rsidR="00AD77BB" w:rsidRDefault="00AD77BB">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p>
    <w:p w:rsidR="00AD77BB" w:rsidRDefault="00B45BA0">
      <w:pPr>
        <w:numPr>
          <w:ilvl w:val="0"/>
          <w:numId w:val="73"/>
        </w:numPr>
        <w:shd w:val="clear" w:color="auto" w:fill="DAEEF3" w:themeFill="accent5" w:themeFillTint="33"/>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is the probability that both test results will be positive?</w:t>
      </w:r>
    </w:p>
    <w:p w:rsidR="00AD77BB" w:rsidRDefault="00B45BA0">
      <w:pPr>
        <w:numPr>
          <w:ilvl w:val="0"/>
          <w:numId w:val="73"/>
        </w:numPr>
        <w:shd w:val="clear" w:color="auto" w:fill="DAEEF3" w:themeFill="accent5" w:themeFillTint="33"/>
        <w:spacing w:after="0" w:line="360" w:lineRule="auto"/>
        <w:ind w:left="360" w:right="375"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is the probability that at least one of the two test results will be positive?</w:t>
      </w:r>
    </w:p>
    <w:p w:rsidR="00AD77BB" w:rsidRDefault="00AD77BB">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p>
    <w:p w:rsidR="00AD77BB" w:rsidRDefault="00B45BA0">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Solution:</w:t>
      </w:r>
    </w:p>
    <w:p w:rsidR="00AD77BB" w:rsidRDefault="00B45BA0">
      <w:pPr>
        <w:numPr>
          <w:ilvl w:val="0"/>
          <w:numId w:val="74"/>
        </w:numPr>
        <w:shd w:val="clear" w:color="auto" w:fill="DAEEF3" w:themeFill="accent5" w:themeFillTint="33"/>
        <w:spacing w:after="0" w:line="360" w:lineRule="auto"/>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Let </w:t>
      </w:r>
      <w:r>
        <w:rPr>
          <w:rFonts w:ascii="Calibri" w:eastAsia="Times New Roman" w:hAnsi="Calibri" w:cs="Times New Roman"/>
          <w:i/>
          <w:iCs/>
          <w:color w:val="333333"/>
          <w:sz w:val="20"/>
          <w:szCs w:val="20"/>
        </w:rPr>
        <w:t>A</w:t>
      </w:r>
      <w:r>
        <w:rPr>
          <w:rFonts w:ascii="Calibri" w:eastAsia="Times New Roman" w:hAnsi="Calibri" w:cs="Times New Roman"/>
          <w:color w:val="333333"/>
          <w:sz w:val="15"/>
          <w:szCs w:val="15"/>
          <w:vertAlign w:val="subscript"/>
        </w:rPr>
        <w:t>1</w:t>
      </w:r>
      <w:r>
        <w:rPr>
          <w:rFonts w:ascii="Calibri" w:eastAsia="Times New Roman" w:hAnsi="Calibri" w:cs="Times New Roman"/>
          <w:color w:val="333333"/>
          <w:sz w:val="20"/>
          <w:szCs w:val="20"/>
        </w:rPr>
        <w:t> denote the event “the test by the first laboratory is positive” and let </w:t>
      </w:r>
      <w:r>
        <w:rPr>
          <w:rFonts w:ascii="Calibri" w:eastAsia="Times New Roman" w:hAnsi="Calibri" w:cs="Times New Roman"/>
          <w:i/>
          <w:iCs/>
          <w:color w:val="333333"/>
          <w:sz w:val="20"/>
          <w:szCs w:val="20"/>
        </w:rPr>
        <w:t>A</w:t>
      </w:r>
      <w:r>
        <w:rPr>
          <w:rFonts w:ascii="Calibri" w:eastAsia="Times New Roman" w:hAnsi="Calibri" w:cs="Times New Roman"/>
          <w:color w:val="333333"/>
          <w:sz w:val="15"/>
          <w:szCs w:val="15"/>
          <w:vertAlign w:val="subscript"/>
        </w:rPr>
        <w:t>2</w:t>
      </w:r>
      <w:r>
        <w:rPr>
          <w:rFonts w:ascii="Calibri" w:eastAsia="Times New Roman" w:hAnsi="Calibri" w:cs="Times New Roman"/>
          <w:color w:val="333333"/>
          <w:sz w:val="20"/>
          <w:szCs w:val="20"/>
        </w:rPr>
        <w:t> denote the event “the test by the second laboratory is positive.” Since </w:t>
      </w:r>
      <w:r>
        <w:rPr>
          <w:rFonts w:ascii="Calibri" w:eastAsia="Times New Roman" w:hAnsi="Calibri" w:cs="Times New Roman"/>
          <w:i/>
          <w:iCs/>
          <w:color w:val="333333"/>
          <w:sz w:val="20"/>
          <w:szCs w:val="20"/>
        </w:rPr>
        <w:t>A</w:t>
      </w:r>
      <w:r>
        <w:rPr>
          <w:rFonts w:ascii="Calibri" w:eastAsia="Times New Roman" w:hAnsi="Calibri" w:cs="Times New Roman"/>
          <w:color w:val="333333"/>
          <w:sz w:val="15"/>
          <w:szCs w:val="15"/>
          <w:vertAlign w:val="subscript"/>
        </w:rPr>
        <w:t>1</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A</w:t>
      </w:r>
      <w:r>
        <w:rPr>
          <w:rFonts w:ascii="Calibri" w:eastAsia="Times New Roman" w:hAnsi="Calibri" w:cs="Times New Roman"/>
          <w:color w:val="333333"/>
          <w:sz w:val="15"/>
          <w:szCs w:val="15"/>
          <w:vertAlign w:val="subscript"/>
        </w:rPr>
        <w:t>2</w:t>
      </w:r>
      <w:r>
        <w:rPr>
          <w:rFonts w:ascii="Calibri" w:eastAsia="Times New Roman" w:hAnsi="Calibri" w:cs="Times New Roman"/>
          <w:color w:val="333333"/>
          <w:sz w:val="20"/>
          <w:szCs w:val="20"/>
        </w:rPr>
        <w:t> are independent,</w:t>
      </w:r>
    </w:p>
    <w:p w:rsidR="00AD77BB" w:rsidRDefault="00AD77BB">
      <w:pPr>
        <w:shd w:val="clear" w:color="auto" w:fill="DAEEF3" w:themeFill="accent5" w:themeFillTint="33"/>
        <w:spacing w:after="0" w:line="360" w:lineRule="auto"/>
        <w:ind w:right="750"/>
        <w:textAlignment w:val="baseline"/>
        <w:rPr>
          <w:rFonts w:ascii="Calibri" w:eastAsia="Times New Roman" w:hAnsi="Calibri" w:cs="Times New Roman"/>
          <w:b/>
          <w:color w:val="333333"/>
          <w:sz w:val="20"/>
          <w:szCs w:val="20"/>
        </w:rPr>
      </w:pPr>
    </w:p>
    <w:p w:rsidR="00AD77BB" w:rsidRDefault="00B45BA0">
      <w:pPr>
        <w:shd w:val="clear" w:color="auto" w:fill="DAEEF3" w:themeFill="accent5" w:themeFillTint="33"/>
        <w:spacing w:line="360" w:lineRule="auto"/>
        <w:ind w:left="300" w:right="375"/>
        <w:jc w:val="center"/>
        <w:textAlignment w:val="baseline"/>
        <w:rPr>
          <w:rFonts w:ascii="MathJax_Main" w:eastAsia="Times New Roman" w:hAnsi="MathJax_Main" w:cs="Times New Roman"/>
          <w:b/>
          <w:color w:val="333333"/>
          <w:sz w:val="15"/>
          <w:szCs w:val="15"/>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2"/>
          <w:szCs w:val="12"/>
          <w:vertAlign w:val="subscript"/>
        </w:rPr>
        <w:t>1</w:t>
      </w:r>
      <w:r>
        <w:rPr>
          <w:rFonts w:ascii="MathJax_Main" w:eastAsia="Times New Roman" w:hAnsi="MathJax_Main" w:cs="Times New Roman"/>
          <w:b/>
          <w:color w:val="333333"/>
          <w:sz w:val="12"/>
          <w:szCs w:val="12"/>
        </w:rPr>
        <w:t xml:space="preserve"> </w:t>
      </w:r>
      <w:r>
        <w:rPr>
          <w:rFonts w:ascii="MathJax_Main" w:eastAsia="Times New Roman" w:hAnsi="MathJax_Main" w:cs="Times New Roman"/>
          <w:b/>
          <w:color w:val="333333"/>
          <w:sz w:val="15"/>
          <w:szCs w:val="15"/>
        </w:rPr>
        <w:t xml:space="preserve">∩ </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2"/>
          <w:szCs w:val="12"/>
          <w:vertAlign w:val="subscript"/>
        </w:rPr>
        <w:t>2</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2"/>
          <w:szCs w:val="12"/>
          <w:vertAlign w:val="subscript"/>
        </w:rPr>
        <w:t>1</w:t>
      </w:r>
      <w:r>
        <w:rPr>
          <w:rFonts w:ascii="MathJax_Main" w:eastAsia="Times New Roman" w:hAnsi="MathJax_Main" w:cs="Times New Roman"/>
          <w:b/>
          <w:color w:val="333333"/>
          <w:sz w:val="15"/>
          <w:szCs w:val="15"/>
        </w:rPr>
        <w:t>)</w:t>
      </w:r>
      <w:r>
        <w:rPr>
          <w:rFonts w:ascii="Cambria Math" w:eastAsia="Times New Roman" w:hAnsi="Cambria Math" w:cs="Cambria Math"/>
          <w:b/>
          <w:color w:val="333333"/>
          <w:sz w:val="15"/>
          <w:szCs w:val="15"/>
        </w:rPr>
        <w:t>⋅</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2"/>
          <w:szCs w:val="12"/>
          <w:vertAlign w:val="subscript"/>
        </w:rPr>
        <w:t>2</w:t>
      </w:r>
      <w:r>
        <w:rPr>
          <w:rFonts w:ascii="MathJax_Main" w:eastAsia="Times New Roman" w:hAnsi="MathJax_Main" w:cs="Times New Roman"/>
          <w:b/>
          <w:color w:val="333333"/>
          <w:sz w:val="15"/>
          <w:szCs w:val="15"/>
        </w:rPr>
        <w:t>)=0.92×0.92=0.8464</w:t>
      </w:r>
    </w:p>
    <w:p w:rsidR="00AD77BB" w:rsidRDefault="00B45BA0">
      <w:pPr>
        <w:pStyle w:val="ListParagraph"/>
        <w:numPr>
          <w:ilvl w:val="0"/>
          <w:numId w:val="74"/>
        </w:numPr>
        <w:shd w:val="clear" w:color="auto" w:fill="E3EFF7"/>
        <w:spacing w:after="0" w:line="439" w:lineRule="atLeast"/>
        <w:ind w:left="72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Using the Additive Rule for Probability and the probability just computed,</w:t>
      </w:r>
    </w:p>
    <w:p w:rsidR="00AD77BB" w:rsidRDefault="00B45BA0">
      <w:pPr>
        <w:shd w:val="clear" w:color="auto" w:fill="E3EFF7"/>
        <w:spacing w:line="439" w:lineRule="atLeast"/>
        <w:ind w:left="300" w:right="375"/>
        <w:jc w:val="center"/>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2"/>
          <w:szCs w:val="12"/>
          <w:vertAlign w:val="subscript"/>
        </w:rPr>
        <w:t>1</w:t>
      </w:r>
      <w:r>
        <w:rPr>
          <w:rFonts w:ascii="MathJax_Main" w:eastAsia="Times New Roman" w:hAnsi="MathJax_Main" w:cs="Times New Roman"/>
          <w:b/>
          <w:color w:val="333333"/>
          <w:sz w:val="12"/>
          <w:szCs w:val="12"/>
        </w:rPr>
        <w:t xml:space="preserve"> </w:t>
      </w:r>
      <w:r>
        <w:rPr>
          <w:rFonts w:ascii="Cambria Math" w:eastAsia="Times New Roman" w:hAnsi="Cambria Math" w:cs="Cambria Math"/>
          <w:b/>
          <w:color w:val="333333"/>
          <w:sz w:val="15"/>
          <w:szCs w:val="15"/>
        </w:rPr>
        <w:t xml:space="preserve">∪ </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2"/>
          <w:szCs w:val="12"/>
          <w:vertAlign w:val="subscript"/>
        </w:rPr>
        <w:t>2</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2"/>
          <w:szCs w:val="12"/>
          <w:vertAlign w:val="subscript"/>
        </w:rPr>
        <w:t>1</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2"/>
          <w:szCs w:val="12"/>
          <w:vertAlign w:val="subscript"/>
        </w:rPr>
        <w:t>2</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2"/>
          <w:szCs w:val="12"/>
          <w:vertAlign w:val="subscript"/>
        </w:rPr>
        <w:t>1</w:t>
      </w:r>
      <w:r>
        <w:rPr>
          <w:rFonts w:ascii="MathJax_Main" w:eastAsia="Times New Roman" w:hAnsi="MathJax_Main" w:cs="Times New Roman"/>
          <w:b/>
          <w:color w:val="333333"/>
          <w:sz w:val="12"/>
          <w:szCs w:val="12"/>
        </w:rPr>
        <w:t xml:space="preserve"> </w:t>
      </w:r>
      <w:r>
        <w:rPr>
          <w:rFonts w:ascii="MathJax_Main" w:eastAsia="Times New Roman" w:hAnsi="MathJax_Main" w:cs="Times New Roman"/>
          <w:b/>
          <w:color w:val="333333"/>
          <w:sz w:val="15"/>
          <w:szCs w:val="15"/>
        </w:rPr>
        <w:t xml:space="preserve">∩ </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2"/>
          <w:szCs w:val="12"/>
          <w:vertAlign w:val="subscript"/>
        </w:rPr>
        <w:t>2</w:t>
      </w:r>
      <w:r>
        <w:rPr>
          <w:rFonts w:ascii="MathJax_Main" w:eastAsia="Times New Roman" w:hAnsi="MathJax_Main" w:cs="Times New Roman"/>
          <w:b/>
          <w:color w:val="333333"/>
          <w:sz w:val="15"/>
          <w:szCs w:val="15"/>
        </w:rPr>
        <w:t>)=0.92+0.92−0.8464=0.9936</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EXAMPLE 26</w:t>
      </w:r>
    </w:p>
    <w:p w:rsidR="00AD77BB" w:rsidRDefault="00B45BA0">
      <w:pPr>
        <w:shd w:val="clear" w:color="auto" w:fill="E3EFF7"/>
        <w:spacing w:after="0" w:line="360" w:lineRule="auto"/>
        <w:ind w:left="30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w:t>
      </w:r>
      <w:r>
        <w:rPr>
          <w:rFonts w:ascii="Calibri" w:eastAsia="Times New Roman" w:hAnsi="Calibri" w:cs="Times New Roman"/>
          <w:i/>
          <w:iCs/>
          <w:color w:val="333333"/>
          <w:sz w:val="20"/>
          <w:szCs w:val="20"/>
        </w:rPr>
        <w:t>specificity</w:t>
      </w:r>
      <w:r>
        <w:rPr>
          <w:rFonts w:ascii="Calibri" w:eastAsia="Times New Roman" w:hAnsi="Calibri" w:cs="Times New Roman"/>
          <w:color w:val="333333"/>
          <w:sz w:val="20"/>
          <w:szCs w:val="20"/>
        </w:rPr>
        <w:t> of a diagnostic test for a disease is the probability that the test will be negative when administered to a person who does not have the disease. The higher the specificity, the lower the false positive rate.</w:t>
      </w:r>
    </w:p>
    <w:p w:rsidR="00AD77BB" w:rsidRDefault="00B45BA0">
      <w:pPr>
        <w:shd w:val="clear" w:color="auto" w:fill="E3EFF7"/>
        <w:spacing w:before="150" w:after="0" w:line="360" w:lineRule="auto"/>
        <w:ind w:left="30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Suppose the specificity of a diagnostic procedure to test whether a person has a particular disease is 89%.</w:t>
      </w:r>
    </w:p>
    <w:p w:rsidR="00AD77BB" w:rsidRDefault="00AD77BB">
      <w:pPr>
        <w:shd w:val="clear" w:color="auto" w:fill="E3EFF7"/>
        <w:spacing w:before="150" w:after="0" w:line="360" w:lineRule="auto"/>
        <w:ind w:left="300" w:right="374"/>
        <w:textAlignment w:val="baseline"/>
        <w:rPr>
          <w:rFonts w:ascii="Calibri" w:eastAsia="Times New Roman" w:hAnsi="Calibri" w:cs="Times New Roman"/>
          <w:color w:val="333333"/>
          <w:sz w:val="20"/>
          <w:szCs w:val="20"/>
        </w:rPr>
      </w:pPr>
    </w:p>
    <w:p w:rsidR="00AD77BB" w:rsidRDefault="00B45BA0">
      <w:pPr>
        <w:numPr>
          <w:ilvl w:val="0"/>
          <w:numId w:val="75"/>
        </w:numPr>
        <w:shd w:val="clear" w:color="auto" w:fill="E3EFF7"/>
        <w:spacing w:after="0" w:line="360" w:lineRule="auto"/>
        <w:ind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person who does not have the disease is tested for it using this procedure. What is the probability that the test result will be positive?</w:t>
      </w:r>
    </w:p>
    <w:p w:rsidR="00AD77BB" w:rsidRDefault="00B45BA0">
      <w:pPr>
        <w:numPr>
          <w:ilvl w:val="0"/>
          <w:numId w:val="75"/>
        </w:numPr>
        <w:shd w:val="clear" w:color="auto" w:fill="DAEEF3" w:themeFill="accent5" w:themeFillTint="33"/>
        <w:spacing w:line="360" w:lineRule="auto"/>
        <w:ind w:left="360" w:right="374"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person who does not have the disease is tested for it by two independent laboratories using this procedure. What is the probability that both test results will be positive?</w:t>
      </w:r>
    </w:p>
    <w:p w:rsidR="00AD77BB" w:rsidRDefault="00B45BA0">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Solution:</w:t>
      </w:r>
    </w:p>
    <w:p w:rsidR="00AD77BB" w:rsidRDefault="00AD77BB">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p>
    <w:p w:rsidR="00AD77BB" w:rsidRDefault="00B45BA0">
      <w:pPr>
        <w:numPr>
          <w:ilvl w:val="0"/>
          <w:numId w:val="76"/>
        </w:numPr>
        <w:shd w:val="clear" w:color="auto" w:fill="DAEEF3" w:themeFill="accent5" w:themeFillTint="33"/>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Let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xml:space="preserve"> denote the event “the test result is positive.” The complement of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is that the test result is negative, and has probability the specificity of the test, 0.89. Thus</w:t>
      </w:r>
    </w:p>
    <w:p w:rsidR="00AD77BB" w:rsidRDefault="00B45BA0">
      <w:pPr>
        <w:shd w:val="clear" w:color="auto" w:fill="DAEEF3" w:themeFill="accent5" w:themeFillTint="33"/>
        <w:spacing w:line="439" w:lineRule="atLeast"/>
        <w:ind w:left="300" w:right="375"/>
        <w:jc w:val="center"/>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)=1−</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w:t>
      </w:r>
      <w:r>
        <w:rPr>
          <w:rFonts w:ascii="MathJax_Math" w:eastAsia="Times New Roman" w:hAnsi="MathJax_Math" w:cs="Times New Roman"/>
          <w:b/>
          <w:i/>
          <w:iCs/>
          <w:color w:val="333333"/>
          <w:sz w:val="12"/>
          <w:szCs w:val="12"/>
          <w:vertAlign w:val="superscript"/>
        </w:rPr>
        <w:t>c</w:t>
      </w:r>
      <w:r>
        <w:rPr>
          <w:rFonts w:ascii="MathJax_Main" w:eastAsia="Times New Roman" w:hAnsi="MathJax_Main" w:cs="Times New Roman"/>
          <w:b/>
          <w:color w:val="333333"/>
          <w:sz w:val="15"/>
          <w:szCs w:val="15"/>
        </w:rPr>
        <w:t>)=1−0.89=0.11.</w:t>
      </w:r>
    </w:p>
    <w:p w:rsidR="00AD77BB" w:rsidRDefault="00B45BA0">
      <w:pPr>
        <w:numPr>
          <w:ilvl w:val="0"/>
          <w:numId w:val="76"/>
        </w:numPr>
        <w:shd w:val="clear" w:color="auto" w:fill="DAEEF3" w:themeFill="accent5" w:themeFillTint="33"/>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Let </w:t>
      </w:r>
      <w:r>
        <w:rPr>
          <w:rFonts w:ascii="Calibri" w:eastAsia="Times New Roman" w:hAnsi="Calibri" w:cs="Times New Roman"/>
          <w:i/>
          <w:iCs/>
          <w:color w:val="333333"/>
          <w:sz w:val="20"/>
          <w:szCs w:val="20"/>
        </w:rPr>
        <w:t>B</w:t>
      </w:r>
      <w:r>
        <w:rPr>
          <w:rFonts w:ascii="Calibri" w:eastAsia="Times New Roman" w:hAnsi="Calibri" w:cs="Times New Roman"/>
          <w:color w:val="333333"/>
          <w:sz w:val="15"/>
          <w:szCs w:val="15"/>
          <w:vertAlign w:val="subscript"/>
        </w:rPr>
        <w:t>1</w:t>
      </w:r>
      <w:r>
        <w:rPr>
          <w:rFonts w:ascii="Calibri" w:eastAsia="Times New Roman" w:hAnsi="Calibri" w:cs="Times New Roman"/>
          <w:color w:val="333333"/>
          <w:sz w:val="20"/>
          <w:szCs w:val="20"/>
        </w:rPr>
        <w:t> denote the event “the test by the first laboratory is positive” and let </w:t>
      </w:r>
      <w:r>
        <w:rPr>
          <w:rFonts w:ascii="Calibri" w:eastAsia="Times New Roman" w:hAnsi="Calibri" w:cs="Times New Roman"/>
          <w:i/>
          <w:iCs/>
          <w:color w:val="333333"/>
          <w:sz w:val="20"/>
          <w:szCs w:val="20"/>
        </w:rPr>
        <w:t>B</w:t>
      </w:r>
      <w:r>
        <w:rPr>
          <w:rFonts w:ascii="Calibri" w:eastAsia="Times New Roman" w:hAnsi="Calibri" w:cs="Times New Roman"/>
          <w:color w:val="333333"/>
          <w:sz w:val="15"/>
          <w:szCs w:val="15"/>
          <w:vertAlign w:val="subscript"/>
        </w:rPr>
        <w:t>2</w:t>
      </w:r>
      <w:r>
        <w:rPr>
          <w:rFonts w:ascii="Calibri" w:eastAsia="Times New Roman" w:hAnsi="Calibri" w:cs="Times New Roman"/>
          <w:color w:val="333333"/>
          <w:sz w:val="20"/>
          <w:szCs w:val="20"/>
        </w:rPr>
        <w:t> denote the event “the test by the second laboratory is positive.” Since </w:t>
      </w:r>
      <w:r>
        <w:rPr>
          <w:rFonts w:ascii="Calibri" w:eastAsia="Times New Roman" w:hAnsi="Calibri" w:cs="Times New Roman"/>
          <w:i/>
          <w:iCs/>
          <w:color w:val="333333"/>
          <w:sz w:val="20"/>
          <w:szCs w:val="20"/>
        </w:rPr>
        <w:t>B</w:t>
      </w:r>
      <w:r>
        <w:rPr>
          <w:rFonts w:ascii="Calibri" w:eastAsia="Times New Roman" w:hAnsi="Calibri" w:cs="Times New Roman"/>
          <w:color w:val="333333"/>
          <w:sz w:val="15"/>
          <w:szCs w:val="15"/>
          <w:vertAlign w:val="subscript"/>
        </w:rPr>
        <w:t>1</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B</w:t>
      </w:r>
      <w:r>
        <w:rPr>
          <w:rFonts w:ascii="Calibri" w:eastAsia="Times New Roman" w:hAnsi="Calibri" w:cs="Times New Roman"/>
          <w:color w:val="333333"/>
          <w:sz w:val="15"/>
          <w:szCs w:val="15"/>
          <w:vertAlign w:val="subscript"/>
        </w:rPr>
        <w:t>2</w:t>
      </w:r>
      <w:r>
        <w:rPr>
          <w:rFonts w:ascii="Calibri" w:eastAsia="Times New Roman" w:hAnsi="Calibri" w:cs="Times New Roman"/>
          <w:color w:val="333333"/>
          <w:sz w:val="20"/>
          <w:szCs w:val="20"/>
        </w:rPr>
        <w:t> are independent, by part (a) of the example</w:t>
      </w:r>
    </w:p>
    <w:p w:rsidR="00AD77BB" w:rsidRDefault="00B45BA0">
      <w:pPr>
        <w:shd w:val="clear" w:color="auto" w:fill="DAEEF3" w:themeFill="accent5" w:themeFillTint="33"/>
        <w:spacing w:line="439" w:lineRule="atLeast"/>
        <w:ind w:left="300" w:right="375"/>
        <w:jc w:val="center"/>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2"/>
          <w:szCs w:val="12"/>
        </w:rPr>
        <w:t xml:space="preserve">1 </w:t>
      </w:r>
      <w:r>
        <w:rPr>
          <w:rFonts w:ascii="MathJax_Main" w:eastAsia="Times New Roman" w:hAnsi="MathJax_Main" w:cs="Times New Roman"/>
          <w:b/>
          <w:color w:val="333333"/>
          <w:sz w:val="15"/>
          <w:szCs w:val="15"/>
        </w:rPr>
        <w:t xml:space="preserve">∩ </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2"/>
          <w:szCs w:val="12"/>
        </w:rPr>
        <w:t>2</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2"/>
          <w:szCs w:val="12"/>
          <w:vertAlign w:val="subscript"/>
        </w:rPr>
        <w:t>1</w:t>
      </w:r>
      <w:r>
        <w:rPr>
          <w:rFonts w:ascii="MathJax_Main" w:eastAsia="Times New Roman" w:hAnsi="MathJax_Main" w:cs="Times New Roman"/>
          <w:b/>
          <w:color w:val="333333"/>
          <w:sz w:val="15"/>
          <w:szCs w:val="15"/>
        </w:rPr>
        <w:t>)</w:t>
      </w:r>
      <w:r>
        <w:rPr>
          <w:rFonts w:ascii="Cambria Math" w:eastAsia="Times New Roman" w:hAnsi="Cambria Math" w:cs="Cambria Math"/>
          <w:b/>
          <w:color w:val="333333"/>
          <w:sz w:val="15"/>
          <w:szCs w:val="15"/>
        </w:rPr>
        <w:t>⋅</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2"/>
          <w:szCs w:val="12"/>
          <w:vertAlign w:val="subscript"/>
        </w:rPr>
        <w:t>2</w:t>
      </w:r>
      <w:r>
        <w:rPr>
          <w:rFonts w:ascii="MathJax_Main" w:eastAsia="Times New Roman" w:hAnsi="MathJax_Main" w:cs="Times New Roman"/>
          <w:b/>
          <w:color w:val="333333"/>
          <w:sz w:val="15"/>
          <w:szCs w:val="15"/>
        </w:rPr>
        <w:t>)=0.11×0.11=0.0121.</w:t>
      </w:r>
    </w:p>
    <w:p w:rsidR="00AD77BB" w:rsidRDefault="00B45BA0">
      <w:pPr>
        <w:shd w:val="clear" w:color="auto" w:fill="FFFFFF" w:themeFill="background1"/>
        <w:spacing w:line="360" w:lineRule="auto"/>
        <w:ind w:left="302" w:right="374"/>
        <w:textAlignment w:val="baseline"/>
        <w:rPr>
          <w:rFonts w:ascii="Calibri" w:eastAsia="Times New Roman" w:hAnsi="Calibri" w:cs="Times New Roman"/>
          <w:color w:val="333333"/>
          <w:sz w:val="20"/>
          <w:szCs w:val="20"/>
        </w:rPr>
      </w:pPr>
      <w:r>
        <w:rPr>
          <w:rFonts w:ascii="Georgia" w:hAnsi="Georgia"/>
          <w:color w:val="333333"/>
          <w:sz w:val="20"/>
          <w:szCs w:val="20"/>
          <w:shd w:val="clear" w:color="auto" w:fill="FFFFFF"/>
        </w:rPr>
        <w:t>The concept of independence applies to any number of events. For example, three events</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A</w:t>
      </w:r>
      <w:r>
        <w:rPr>
          <w:rFonts w:ascii="Georgia" w:hAnsi="Georgia"/>
          <w:color w:val="333333"/>
          <w:sz w:val="20"/>
          <w:szCs w:val="20"/>
          <w:shd w:val="clear" w:color="auto" w:fill="FFFFFF"/>
        </w:rPr>
        <w:t>,</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B</w:t>
      </w:r>
      <w:r>
        <w:rPr>
          <w:rFonts w:ascii="Georgia" w:hAnsi="Georgia"/>
          <w:color w:val="333333"/>
          <w:sz w:val="20"/>
          <w:szCs w:val="20"/>
          <w:shd w:val="clear" w:color="auto" w:fill="FFFFFF"/>
        </w:rPr>
        <w:t>, and</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C</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are independent if</w:t>
      </w:r>
      <w:r>
        <w:rPr>
          <w:rStyle w:val="apple-converted-space"/>
          <w:rFonts w:ascii="Georgia" w:hAnsi="Georgia"/>
          <w:b/>
          <w:color w:val="333333"/>
          <w:sz w:val="20"/>
          <w:szCs w:val="20"/>
          <w:shd w:val="clear" w:color="auto" w:fill="FFFFFF"/>
        </w:rPr>
        <w:t> </w:t>
      </w:r>
      <w:r>
        <w:rPr>
          <w:rStyle w:val="mi"/>
          <w:rFonts w:ascii="MathJax_Math" w:hAnsi="MathJax_Math"/>
          <w:b/>
          <w:i/>
          <w:iCs/>
          <w:color w:val="333333"/>
          <w:sz w:val="18"/>
          <w:szCs w:val="18"/>
          <w:shd w:val="clear" w:color="auto" w:fill="FFFFFF"/>
        </w:rPr>
        <w:t>P</w:t>
      </w:r>
      <w:r>
        <w:rPr>
          <w:rStyle w:val="mo"/>
          <w:rFonts w:ascii="MathJax_Main" w:hAnsi="MathJax_Main"/>
          <w:b/>
          <w:color w:val="333333"/>
          <w:sz w:val="18"/>
          <w:szCs w:val="18"/>
          <w:shd w:val="clear" w:color="auto" w:fill="FFFFFF"/>
        </w:rPr>
        <w:t>(</w:t>
      </w:r>
      <w:r>
        <w:rPr>
          <w:rStyle w:val="mi"/>
          <w:rFonts w:ascii="MathJax_Math" w:hAnsi="MathJax_Math"/>
          <w:b/>
          <w:i/>
          <w:iCs/>
          <w:color w:val="333333"/>
          <w:sz w:val="18"/>
          <w:szCs w:val="18"/>
          <w:shd w:val="clear" w:color="auto" w:fill="FFFFFF"/>
        </w:rPr>
        <w:t xml:space="preserve">A </w:t>
      </w:r>
      <w:r>
        <w:rPr>
          <w:rStyle w:val="mo"/>
          <w:rFonts w:ascii="MathJax_Main" w:hAnsi="MathJax_Main"/>
          <w:b/>
          <w:color w:val="333333"/>
          <w:sz w:val="18"/>
          <w:szCs w:val="18"/>
          <w:shd w:val="clear" w:color="auto" w:fill="FFFFFF"/>
        </w:rPr>
        <w:t xml:space="preserve">∩ </w:t>
      </w:r>
      <w:r>
        <w:rPr>
          <w:rStyle w:val="mi"/>
          <w:rFonts w:ascii="MathJax_Math" w:hAnsi="MathJax_Math"/>
          <w:b/>
          <w:i/>
          <w:iCs/>
          <w:color w:val="333333"/>
          <w:sz w:val="18"/>
          <w:szCs w:val="18"/>
          <w:shd w:val="clear" w:color="auto" w:fill="FFFFFF"/>
        </w:rPr>
        <w:t>B</w:t>
      </w:r>
      <w:r>
        <w:rPr>
          <w:rStyle w:val="mo"/>
          <w:rFonts w:ascii="MathJax_Main" w:hAnsi="MathJax_Main"/>
          <w:b/>
          <w:color w:val="333333"/>
          <w:sz w:val="18"/>
          <w:szCs w:val="18"/>
          <w:shd w:val="clear" w:color="auto" w:fill="FFFFFF"/>
        </w:rPr>
        <w:t xml:space="preserve">∩ </w:t>
      </w:r>
      <w:r>
        <w:rPr>
          <w:rStyle w:val="mi"/>
          <w:rFonts w:ascii="MathJax_Math" w:hAnsi="MathJax_Math"/>
          <w:b/>
          <w:i/>
          <w:iCs/>
          <w:color w:val="333333"/>
          <w:sz w:val="18"/>
          <w:szCs w:val="18"/>
          <w:shd w:val="clear" w:color="auto" w:fill="FFFFFF"/>
        </w:rPr>
        <w:t>C</w:t>
      </w:r>
      <w:r>
        <w:rPr>
          <w:rStyle w:val="mo"/>
          <w:rFonts w:ascii="MathJax_Main" w:hAnsi="MathJax_Main"/>
          <w:b/>
          <w:color w:val="333333"/>
          <w:sz w:val="18"/>
          <w:szCs w:val="18"/>
          <w:shd w:val="clear" w:color="auto" w:fill="FFFFFF"/>
        </w:rPr>
        <w:t>)=</w:t>
      </w:r>
      <w:r>
        <w:rPr>
          <w:rStyle w:val="mi"/>
          <w:rFonts w:ascii="MathJax_Math" w:hAnsi="MathJax_Math"/>
          <w:b/>
          <w:i/>
          <w:iCs/>
          <w:color w:val="333333"/>
          <w:sz w:val="18"/>
          <w:szCs w:val="18"/>
          <w:shd w:val="clear" w:color="auto" w:fill="FFFFFF"/>
        </w:rPr>
        <w:t>P</w:t>
      </w:r>
      <w:r>
        <w:rPr>
          <w:rStyle w:val="mo"/>
          <w:rFonts w:ascii="MathJax_Main" w:hAnsi="MathJax_Main"/>
          <w:b/>
          <w:color w:val="333333"/>
          <w:sz w:val="18"/>
          <w:szCs w:val="18"/>
          <w:shd w:val="clear" w:color="auto" w:fill="FFFFFF"/>
        </w:rPr>
        <w:t>(</w:t>
      </w:r>
      <w:r>
        <w:rPr>
          <w:rStyle w:val="mi"/>
          <w:rFonts w:ascii="MathJax_Math" w:hAnsi="MathJax_Math"/>
          <w:b/>
          <w:i/>
          <w:iCs/>
          <w:color w:val="333333"/>
          <w:sz w:val="18"/>
          <w:szCs w:val="18"/>
          <w:shd w:val="clear" w:color="auto" w:fill="FFFFFF"/>
        </w:rPr>
        <w:t>A</w:t>
      </w:r>
      <w:r>
        <w:rPr>
          <w:rStyle w:val="mo"/>
          <w:rFonts w:ascii="MathJax_Main" w:hAnsi="MathJax_Main"/>
          <w:b/>
          <w:color w:val="333333"/>
          <w:sz w:val="18"/>
          <w:szCs w:val="18"/>
          <w:shd w:val="clear" w:color="auto" w:fill="FFFFFF"/>
        </w:rPr>
        <w:t>)</w:t>
      </w:r>
      <w:r>
        <w:rPr>
          <w:rStyle w:val="mo"/>
          <w:rFonts w:ascii="Cambria Math" w:hAnsi="Cambria Math" w:cs="Cambria Math"/>
          <w:b/>
          <w:color w:val="333333"/>
          <w:sz w:val="18"/>
          <w:szCs w:val="18"/>
          <w:shd w:val="clear" w:color="auto" w:fill="FFFFFF"/>
        </w:rPr>
        <w:t>⋅</w:t>
      </w:r>
      <w:r>
        <w:rPr>
          <w:rStyle w:val="mi"/>
          <w:rFonts w:ascii="MathJax_Math" w:hAnsi="MathJax_Math"/>
          <w:b/>
          <w:i/>
          <w:iCs/>
          <w:color w:val="333333"/>
          <w:sz w:val="18"/>
          <w:szCs w:val="18"/>
          <w:shd w:val="clear" w:color="auto" w:fill="FFFFFF"/>
        </w:rPr>
        <w:t>P</w:t>
      </w:r>
      <w:r>
        <w:rPr>
          <w:rStyle w:val="mo"/>
          <w:rFonts w:ascii="MathJax_Main" w:hAnsi="MathJax_Main"/>
          <w:b/>
          <w:color w:val="333333"/>
          <w:sz w:val="18"/>
          <w:szCs w:val="18"/>
          <w:shd w:val="clear" w:color="auto" w:fill="FFFFFF"/>
        </w:rPr>
        <w:t>(</w:t>
      </w:r>
      <w:r>
        <w:rPr>
          <w:rStyle w:val="mi"/>
          <w:rFonts w:ascii="MathJax_Math" w:hAnsi="MathJax_Math"/>
          <w:b/>
          <w:i/>
          <w:iCs/>
          <w:color w:val="333333"/>
          <w:sz w:val="18"/>
          <w:szCs w:val="18"/>
          <w:shd w:val="clear" w:color="auto" w:fill="FFFFFF"/>
        </w:rPr>
        <w:t>B</w:t>
      </w:r>
      <w:r>
        <w:rPr>
          <w:rStyle w:val="mo"/>
          <w:rFonts w:ascii="MathJax_Main" w:hAnsi="MathJax_Main"/>
          <w:b/>
          <w:color w:val="333333"/>
          <w:sz w:val="18"/>
          <w:szCs w:val="18"/>
          <w:shd w:val="clear" w:color="auto" w:fill="FFFFFF"/>
        </w:rPr>
        <w:t>)</w:t>
      </w:r>
      <w:r>
        <w:rPr>
          <w:rStyle w:val="mo"/>
          <w:rFonts w:ascii="Cambria Math" w:hAnsi="Cambria Math" w:cs="Cambria Math"/>
          <w:b/>
          <w:color w:val="333333"/>
          <w:sz w:val="18"/>
          <w:szCs w:val="18"/>
          <w:shd w:val="clear" w:color="auto" w:fill="FFFFFF"/>
        </w:rPr>
        <w:t>⋅</w:t>
      </w:r>
      <w:r>
        <w:rPr>
          <w:rStyle w:val="mi"/>
          <w:rFonts w:ascii="MathJax_Math" w:hAnsi="MathJax_Math"/>
          <w:b/>
          <w:i/>
          <w:iCs/>
          <w:color w:val="333333"/>
          <w:sz w:val="18"/>
          <w:szCs w:val="18"/>
          <w:shd w:val="clear" w:color="auto" w:fill="FFFFFF"/>
        </w:rPr>
        <w:t>P</w:t>
      </w:r>
      <w:r>
        <w:rPr>
          <w:rStyle w:val="mo"/>
          <w:rFonts w:ascii="MathJax_Main" w:hAnsi="MathJax_Main"/>
          <w:b/>
          <w:color w:val="333333"/>
          <w:sz w:val="18"/>
          <w:szCs w:val="18"/>
          <w:shd w:val="clear" w:color="auto" w:fill="FFFFFF"/>
        </w:rPr>
        <w:t>(</w:t>
      </w:r>
      <w:r>
        <w:rPr>
          <w:rStyle w:val="mi"/>
          <w:rFonts w:ascii="MathJax_Math" w:hAnsi="MathJax_Math"/>
          <w:b/>
          <w:i/>
          <w:iCs/>
          <w:color w:val="333333"/>
          <w:sz w:val="18"/>
          <w:szCs w:val="18"/>
          <w:shd w:val="clear" w:color="auto" w:fill="FFFFFF"/>
        </w:rPr>
        <w:t>C</w:t>
      </w:r>
      <w:r>
        <w:rPr>
          <w:rStyle w:val="mo"/>
          <w:rFonts w:ascii="MathJax_Main" w:hAnsi="MathJax_Main"/>
          <w:b/>
          <w:color w:val="333333"/>
          <w:sz w:val="18"/>
          <w:szCs w:val="18"/>
          <w:shd w:val="clear" w:color="auto" w:fill="FFFFFF"/>
        </w:rPr>
        <w:t>).</w:t>
      </w:r>
      <w:r>
        <w:rPr>
          <w:rStyle w:val="apple-converted-space"/>
          <w:rFonts w:ascii="Georgia" w:hAnsi="Georgia"/>
          <w:b/>
          <w:color w:val="333333"/>
          <w:sz w:val="20"/>
          <w:szCs w:val="20"/>
          <w:shd w:val="clear" w:color="auto" w:fill="FFFFFF"/>
        </w:rPr>
        <w:t> </w:t>
      </w:r>
      <w:r>
        <w:rPr>
          <w:rFonts w:ascii="Georgia" w:hAnsi="Georgia"/>
          <w:color w:val="333333"/>
          <w:sz w:val="20"/>
          <w:szCs w:val="20"/>
          <w:shd w:val="clear" w:color="auto" w:fill="FFFFFF"/>
        </w:rPr>
        <w:t>Note carefully that, as is the case with just two events, this is not a formula that is always valid, but holds precisely when the events in question are independent.</w:t>
      </w:r>
    </w:p>
    <w:p w:rsidR="00AD77BB" w:rsidRDefault="00B45BA0">
      <w:pPr>
        <w:shd w:val="clear" w:color="auto" w:fill="FFFFFF" w:themeFill="background1"/>
        <w:spacing w:line="360" w:lineRule="auto"/>
        <w:ind w:right="375"/>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drawing>
          <wp:inline distT="0" distB="0" distL="0" distR="0" wp14:anchorId="5BD4495E" wp14:editId="7A0F90A2">
            <wp:extent cx="5629275" cy="5953125"/>
            <wp:effectExtent l="0" t="0" r="9525" b="9525"/>
            <wp:docPr id="101"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29275" cy="5953125"/>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360" w:lineRule="auto"/>
        <w:ind w:left="446"/>
        <w:textAlignment w:val="baseline"/>
      </w:pPr>
      <w:r>
        <w:rPr>
          <w:noProof/>
        </w:rPr>
        <w:lastRenderedPageBreak/>
        <w:drawing>
          <wp:inline distT="0" distB="0" distL="0" distR="0" wp14:anchorId="422C8FDC" wp14:editId="4297D240">
            <wp:extent cx="5419725" cy="3476625"/>
            <wp:effectExtent l="0" t="0" r="9525" b="9525"/>
            <wp:docPr id="102"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19725" cy="3476625"/>
                    </a:xfrm>
                    <a:prstGeom prst="rect">
                      <a:avLst/>
                    </a:prstGeom>
                    <a:noFill/>
                    <a:ln>
                      <a:noFill/>
                    </a:ln>
                  </pic:spPr>
                </pic:pic>
              </a:graphicData>
            </a:graphic>
          </wp:inline>
        </w:drawing>
      </w:r>
    </w:p>
    <w:p w:rsidR="00AD77BB" w:rsidRDefault="00B45BA0">
      <w:pPr>
        <w:pStyle w:val="Heading2"/>
        <w:shd w:val="clear" w:color="auto" w:fill="FFFFFF"/>
        <w:spacing w:before="0" w:line="360" w:lineRule="auto"/>
        <w:textAlignment w:val="baseline"/>
        <w:rPr>
          <w:rFonts w:ascii="Calibri" w:hAnsi="Calibri"/>
          <w:color w:val="333333"/>
          <w:sz w:val="29"/>
          <w:szCs w:val="29"/>
        </w:rPr>
      </w:pPr>
      <w:r>
        <w:rPr>
          <w:rFonts w:ascii="Calibri" w:hAnsi="Calibri"/>
          <w:color w:val="333333"/>
          <w:sz w:val="29"/>
          <w:szCs w:val="29"/>
        </w:rPr>
        <w:t>Probabilities on Tree Diagrams</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Some probability problems are made much simpler when approached using a tree diagram. The next example illustrates how to place probabilities on a tree diagram and use it to solve a problem.</w:t>
      </w:r>
    </w:p>
    <w:p w:rsidR="00AD77BB" w:rsidRDefault="00AD77BB">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28</w:t>
      </w:r>
    </w:p>
    <w:p w:rsidR="00AD77BB" w:rsidRDefault="00B45BA0">
      <w:pPr>
        <w:pStyle w:val="para"/>
        <w:shd w:val="clear" w:color="auto" w:fill="E3EFF7"/>
        <w:spacing w:before="150" w:beforeAutospacing="0" w:after="0" w:afterAutospacing="0" w:line="360" w:lineRule="auto"/>
        <w:ind w:left="300" w:right="374"/>
        <w:textAlignment w:val="baseline"/>
        <w:rPr>
          <w:rFonts w:ascii="Calibri" w:hAnsi="Calibri"/>
          <w:color w:val="333333"/>
          <w:sz w:val="20"/>
          <w:szCs w:val="20"/>
        </w:rPr>
      </w:pPr>
      <w:r>
        <w:rPr>
          <w:rFonts w:ascii="Calibri" w:hAnsi="Calibri"/>
          <w:color w:val="333333"/>
          <w:sz w:val="20"/>
          <w:szCs w:val="20"/>
        </w:rPr>
        <w:t>A jar contains 10 marbles, 7 black and 3 white. Two marbles are drawn without replacement, which means that the first one is not put back before the second one is drawn.</w:t>
      </w:r>
    </w:p>
    <w:p w:rsidR="00AD77BB" w:rsidRDefault="00AD77BB">
      <w:pPr>
        <w:pStyle w:val="para"/>
        <w:shd w:val="clear" w:color="auto" w:fill="E3EFF7"/>
        <w:spacing w:before="150" w:beforeAutospacing="0" w:after="0" w:afterAutospacing="0" w:line="360" w:lineRule="auto"/>
        <w:ind w:left="300" w:right="374"/>
        <w:textAlignment w:val="baseline"/>
        <w:rPr>
          <w:rFonts w:ascii="Calibri" w:hAnsi="Calibri"/>
          <w:color w:val="333333"/>
          <w:sz w:val="20"/>
          <w:szCs w:val="20"/>
        </w:rPr>
      </w:pPr>
    </w:p>
    <w:p w:rsidR="00AD77BB" w:rsidRDefault="00B45BA0">
      <w:pPr>
        <w:numPr>
          <w:ilvl w:val="0"/>
          <w:numId w:val="77"/>
        </w:numPr>
        <w:shd w:val="clear" w:color="auto" w:fill="E3EFF7"/>
        <w:spacing w:after="0" w:line="360" w:lineRule="auto"/>
        <w:ind w:right="374"/>
        <w:textAlignment w:val="baseline"/>
        <w:rPr>
          <w:rFonts w:ascii="Calibri" w:hAnsi="Calibri"/>
          <w:color w:val="333333"/>
          <w:sz w:val="20"/>
          <w:szCs w:val="20"/>
        </w:rPr>
      </w:pPr>
      <w:r>
        <w:rPr>
          <w:rFonts w:ascii="Calibri" w:hAnsi="Calibri"/>
          <w:color w:val="333333"/>
          <w:sz w:val="20"/>
          <w:szCs w:val="20"/>
        </w:rPr>
        <w:t>What is the probability that both marbles are black?</w:t>
      </w:r>
    </w:p>
    <w:p w:rsidR="00AD77BB" w:rsidRDefault="00B45BA0">
      <w:pPr>
        <w:numPr>
          <w:ilvl w:val="0"/>
          <w:numId w:val="77"/>
        </w:numPr>
        <w:shd w:val="clear" w:color="auto" w:fill="E3EFF7"/>
        <w:spacing w:after="0" w:line="360" w:lineRule="auto"/>
        <w:ind w:left="360" w:right="374" w:hanging="360"/>
        <w:textAlignment w:val="baseline"/>
        <w:rPr>
          <w:rFonts w:ascii="Calibri" w:hAnsi="Calibri"/>
          <w:color w:val="333333"/>
          <w:sz w:val="20"/>
          <w:szCs w:val="20"/>
        </w:rPr>
      </w:pPr>
      <w:r>
        <w:rPr>
          <w:rFonts w:ascii="Calibri" w:hAnsi="Calibri"/>
          <w:color w:val="333333"/>
          <w:sz w:val="20"/>
          <w:szCs w:val="20"/>
        </w:rPr>
        <w:t>What is the probability that exactly one marble is black?</w:t>
      </w:r>
    </w:p>
    <w:p w:rsidR="00AD77BB" w:rsidRDefault="00B45BA0">
      <w:pPr>
        <w:numPr>
          <w:ilvl w:val="0"/>
          <w:numId w:val="77"/>
        </w:numPr>
        <w:shd w:val="clear" w:color="auto" w:fill="E3EFF7"/>
        <w:spacing w:after="0" w:line="360" w:lineRule="auto"/>
        <w:ind w:left="360" w:right="374" w:hanging="360"/>
        <w:textAlignment w:val="baseline"/>
        <w:rPr>
          <w:rFonts w:ascii="Calibri" w:hAnsi="Calibri"/>
          <w:color w:val="333333"/>
          <w:sz w:val="20"/>
          <w:szCs w:val="20"/>
        </w:rPr>
      </w:pPr>
      <w:r>
        <w:rPr>
          <w:rFonts w:ascii="Calibri" w:hAnsi="Calibri"/>
          <w:color w:val="333333"/>
          <w:sz w:val="20"/>
          <w:szCs w:val="20"/>
        </w:rPr>
        <w:t>What is the probability that at least one marble is black?</w:t>
      </w:r>
    </w:p>
    <w:p w:rsidR="00AD77BB" w:rsidRDefault="00B45BA0">
      <w:pPr>
        <w:pStyle w:val="simpara"/>
        <w:shd w:val="clear" w:color="auto" w:fill="E3EFF7"/>
        <w:spacing w:before="150" w:beforeAutospacing="0" w:after="0" w:afterAutospacing="0" w:line="360" w:lineRule="auto"/>
        <w:ind w:left="300" w:right="374"/>
        <w:textAlignment w:val="baseline"/>
        <w:rPr>
          <w:rFonts w:ascii="Calibri" w:hAnsi="Calibri"/>
          <w:color w:val="333333"/>
          <w:sz w:val="20"/>
          <w:szCs w:val="20"/>
        </w:rPr>
      </w:pPr>
      <w:r>
        <w:rPr>
          <w:rFonts w:ascii="Calibri" w:hAnsi="Calibri"/>
          <w:color w:val="333333"/>
          <w:sz w:val="20"/>
          <w:szCs w:val="20"/>
        </w:rPr>
        <w:t>Solution:</w:t>
      </w:r>
    </w:p>
    <w:p w:rsidR="00AD77BB" w:rsidRDefault="00AD77BB">
      <w:pPr>
        <w:pStyle w:val="simpara"/>
        <w:shd w:val="clear" w:color="auto" w:fill="E3EFF7"/>
        <w:spacing w:before="150" w:beforeAutospacing="0" w:after="0" w:afterAutospacing="0" w:line="360" w:lineRule="auto"/>
        <w:ind w:left="300" w:right="374"/>
        <w:textAlignment w:val="baseline"/>
        <w:rPr>
          <w:rFonts w:ascii="Calibri" w:hAnsi="Calibri"/>
          <w:color w:val="333333"/>
          <w:sz w:val="20"/>
          <w:szCs w:val="20"/>
        </w:rPr>
      </w:pPr>
    </w:p>
    <w:p w:rsidR="00AD77BB" w:rsidRDefault="00B45BA0">
      <w:pPr>
        <w:pStyle w:val="para"/>
        <w:shd w:val="clear" w:color="auto" w:fill="E3EFF7"/>
        <w:spacing w:before="0" w:beforeAutospacing="0" w:after="0" w:afterAutospacing="0" w:line="360" w:lineRule="auto"/>
        <w:ind w:left="300" w:right="374"/>
        <w:textAlignment w:val="baseline"/>
        <w:rPr>
          <w:rFonts w:ascii="Calibri" w:hAnsi="Calibri"/>
          <w:color w:val="333333"/>
          <w:sz w:val="20"/>
          <w:szCs w:val="20"/>
        </w:rPr>
      </w:pPr>
      <w:r>
        <w:rPr>
          <w:rFonts w:ascii="Calibri" w:hAnsi="Calibri"/>
          <w:color w:val="333333"/>
          <w:sz w:val="20"/>
          <w:szCs w:val="20"/>
        </w:rPr>
        <w:t>A tree diagram for the situation of drawing one marble after the other without replacement is shown in</w:t>
      </w:r>
      <w:r>
        <w:rPr>
          <w:rStyle w:val="apple-converted-space"/>
          <w:rFonts w:ascii="Calibri" w:eastAsiaTheme="majorEastAsia" w:hAnsi="Calibri"/>
          <w:color w:val="333333"/>
          <w:sz w:val="20"/>
          <w:szCs w:val="20"/>
        </w:rPr>
        <w:t> </w:t>
      </w:r>
      <w:r>
        <w:rPr>
          <w:rFonts w:ascii="Calibri" w:hAnsi="Calibri"/>
          <w:color w:val="2689C6"/>
          <w:sz w:val="20"/>
          <w:szCs w:val="20"/>
        </w:rPr>
        <w:t>Figure 3.6 "Tree Diagram for Drawing Two Marbles"</w:t>
      </w:r>
      <w:r>
        <w:rPr>
          <w:rFonts w:ascii="Calibri" w:hAnsi="Calibri"/>
          <w:color w:val="333333"/>
          <w:sz w:val="20"/>
          <w:szCs w:val="20"/>
        </w:rPr>
        <w:t>. The circle and rectangle will be explained later, and should be ignored for now.</w:t>
      </w:r>
    </w:p>
    <w:p w:rsidR="00AD77BB" w:rsidRDefault="00AD77BB">
      <w:pPr>
        <w:pStyle w:val="para"/>
        <w:shd w:val="clear" w:color="auto" w:fill="E3EFF7"/>
        <w:spacing w:before="0" w:beforeAutospacing="0" w:after="0" w:afterAutospacing="0" w:line="360" w:lineRule="auto"/>
        <w:ind w:left="300" w:right="374"/>
        <w:textAlignment w:val="baseline"/>
        <w:rPr>
          <w:rFonts w:ascii="Calibri" w:hAnsi="Calibri"/>
          <w:color w:val="333333"/>
          <w:sz w:val="20"/>
          <w:szCs w:val="20"/>
        </w:rPr>
      </w:pPr>
    </w:p>
    <w:p w:rsidR="00AD77BB" w:rsidRDefault="00AD77BB">
      <w:pPr>
        <w:pStyle w:val="para"/>
        <w:shd w:val="clear" w:color="auto" w:fill="E3EFF7"/>
        <w:spacing w:before="0" w:beforeAutospacing="0" w:after="0" w:afterAutospacing="0" w:line="360" w:lineRule="auto"/>
        <w:ind w:left="300" w:right="374"/>
        <w:textAlignment w:val="baseline"/>
        <w:rPr>
          <w:rStyle w:val="title-prefix"/>
          <w:i/>
          <w:iCs/>
          <w:color w:val="000000"/>
          <w:shd w:val="clear" w:color="auto" w:fill="E3EFF7"/>
        </w:rPr>
      </w:pPr>
    </w:p>
    <w:p w:rsidR="00AD77BB" w:rsidRDefault="00B45BA0">
      <w:pPr>
        <w:pStyle w:val="para"/>
        <w:shd w:val="clear" w:color="auto" w:fill="E3EFF7"/>
        <w:spacing w:before="0" w:beforeAutospacing="0" w:after="0" w:afterAutospacing="0" w:line="360" w:lineRule="auto"/>
        <w:ind w:left="300" w:right="374"/>
        <w:textAlignment w:val="baseline"/>
        <w:rPr>
          <w:color w:val="BB9966"/>
        </w:rPr>
      </w:pPr>
      <w:r>
        <w:rPr>
          <w:rStyle w:val="title-prefix"/>
          <w:rFonts w:ascii="Calibri" w:hAnsi="Calibri"/>
          <w:i/>
          <w:iCs/>
          <w:color w:val="000000"/>
          <w:sz w:val="20"/>
          <w:szCs w:val="20"/>
          <w:shd w:val="clear" w:color="auto" w:fill="E3EFF7"/>
        </w:rPr>
        <w:lastRenderedPageBreak/>
        <w:t>Figure 3.6</w:t>
      </w:r>
      <w:r>
        <w:rPr>
          <w:rFonts w:ascii="Calibri" w:hAnsi="Calibri"/>
          <w:i/>
          <w:iCs/>
          <w:color w:val="BB9966"/>
          <w:sz w:val="20"/>
          <w:szCs w:val="20"/>
          <w:shd w:val="clear" w:color="auto" w:fill="E3EFF7"/>
        </w:rPr>
        <w:t>Tree Diagram for Drawing Two Marbles</w:t>
      </w:r>
    </w:p>
    <w:p w:rsidR="00AD77BB" w:rsidRDefault="00B45BA0">
      <w:pPr>
        <w:pStyle w:val="para"/>
        <w:shd w:val="clear" w:color="auto" w:fill="E3EFF7"/>
        <w:spacing w:before="0" w:beforeAutospacing="0" w:after="0" w:afterAutospacing="0" w:line="360" w:lineRule="auto"/>
        <w:ind w:left="300" w:right="374"/>
        <w:textAlignment w:val="baseline"/>
        <w:rPr>
          <w:rFonts w:ascii="Calibri" w:hAnsi="Calibri"/>
          <w:color w:val="333333"/>
          <w:sz w:val="20"/>
          <w:szCs w:val="20"/>
        </w:rPr>
      </w:pPr>
      <w:r>
        <w:rPr>
          <w:noProof/>
        </w:rPr>
        <w:drawing>
          <wp:inline distT="0" distB="0" distL="0" distR="0" wp14:anchorId="5569A73B" wp14:editId="5141754C">
            <wp:extent cx="4267200" cy="2238375"/>
            <wp:effectExtent l="0" t="0" r="0" b="9525"/>
            <wp:docPr id="103" name="Picture 115" descr="http://images.flatworldknowledge.com/shafer/shafer-fig03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images.flatworldknowledge.com/shafer/shafer-fig03_008.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267200" cy="2238375"/>
                    </a:xfrm>
                    <a:prstGeom prst="rect">
                      <a:avLst/>
                    </a:prstGeom>
                    <a:noFill/>
                    <a:ln>
                      <a:noFill/>
                    </a:ln>
                  </pic:spPr>
                </pic:pic>
              </a:graphicData>
            </a:graphic>
          </wp:inline>
        </w:drawing>
      </w:r>
    </w:p>
    <w:p w:rsidR="00AD77BB" w:rsidRDefault="00B45BA0">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The numbers on the two leftmost branches are the probabilities of getting either a black marble, 7 out of 10, or a white marble, 3 out of 10, on the first draw. The number on each remaining branch is the probability of the event corresponding to the node on the right end of the branch occurring, given that the event corresponding to the node on the left end of the branch has occurred. Thus for the top branch, connecting the two Bs, it is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2"/>
          <w:szCs w:val="12"/>
        </w:rPr>
        <w:t>2</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2"/>
          <w:szCs w:val="12"/>
        </w:rPr>
        <w:t>1</w:t>
      </w:r>
      <w:r>
        <w:rPr>
          <w:rFonts w:ascii="MathJax_Main" w:eastAsia="Times New Roman" w:hAnsi="MathJax_Main" w:cs="Times New Roman"/>
          <w:b/>
          <w:color w:val="333333"/>
          <w:sz w:val="15"/>
          <w:szCs w:val="15"/>
        </w:rPr>
        <w:t>)</w:t>
      </w:r>
      <w:r>
        <w:rPr>
          <w:rFonts w:ascii="Calibri" w:eastAsia="Times New Roman" w:hAnsi="Calibri" w:cs="Times New Roman"/>
          <w:b/>
          <w:color w:val="333333"/>
          <w:sz w:val="21"/>
          <w:szCs w:val="21"/>
        </w:rPr>
        <w:t>,</w:t>
      </w:r>
      <w:r>
        <w:rPr>
          <w:rFonts w:ascii="Calibri" w:eastAsia="Times New Roman" w:hAnsi="Calibri" w:cs="Times New Roman"/>
          <w:color w:val="333333"/>
          <w:sz w:val="21"/>
          <w:szCs w:val="21"/>
        </w:rPr>
        <w:t xml:space="preserve"> where </w:t>
      </w:r>
      <w:r>
        <w:rPr>
          <w:rFonts w:ascii="Calibri" w:eastAsia="Times New Roman" w:hAnsi="Calibri" w:cs="Times New Roman"/>
          <w:i/>
          <w:iCs/>
          <w:color w:val="333333"/>
          <w:sz w:val="20"/>
          <w:szCs w:val="20"/>
        </w:rPr>
        <w:t>B</w:t>
      </w:r>
      <w:r>
        <w:rPr>
          <w:rFonts w:ascii="Calibri" w:eastAsia="Times New Roman" w:hAnsi="Calibri" w:cs="Times New Roman"/>
          <w:color w:val="333333"/>
          <w:sz w:val="15"/>
          <w:szCs w:val="15"/>
          <w:vertAlign w:val="subscript"/>
        </w:rPr>
        <w:t>1</w:t>
      </w:r>
      <w:r>
        <w:rPr>
          <w:rFonts w:ascii="Calibri" w:eastAsia="Times New Roman" w:hAnsi="Calibri" w:cs="Times New Roman"/>
          <w:color w:val="333333"/>
          <w:sz w:val="21"/>
          <w:szCs w:val="21"/>
        </w:rPr>
        <w:t> denotes the event “the first marble drawn is black” and </w:t>
      </w:r>
      <w:r>
        <w:rPr>
          <w:rFonts w:ascii="Calibri" w:eastAsia="Times New Roman" w:hAnsi="Calibri" w:cs="Times New Roman"/>
          <w:i/>
          <w:iCs/>
          <w:color w:val="333333"/>
          <w:sz w:val="20"/>
          <w:szCs w:val="20"/>
        </w:rPr>
        <w:t>B</w:t>
      </w:r>
      <w:r>
        <w:rPr>
          <w:rFonts w:ascii="Calibri" w:eastAsia="Times New Roman" w:hAnsi="Calibri" w:cs="Times New Roman"/>
          <w:color w:val="333333"/>
          <w:sz w:val="15"/>
          <w:szCs w:val="15"/>
          <w:vertAlign w:val="subscript"/>
        </w:rPr>
        <w:t>2</w:t>
      </w:r>
      <w:r>
        <w:rPr>
          <w:rFonts w:ascii="Calibri" w:eastAsia="Times New Roman" w:hAnsi="Calibri" w:cs="Times New Roman"/>
          <w:color w:val="333333"/>
          <w:sz w:val="21"/>
          <w:szCs w:val="21"/>
        </w:rPr>
        <w:t> denotes the event “the second marble drawn is black.” Since after drawing a black marble out there are 9 marbles left, of which 6 are black, this probability is 6/9.</w:t>
      </w:r>
    </w:p>
    <w:p w:rsidR="00AD77BB" w:rsidRDefault="00B45BA0">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The number to the right of each final node is computed as shown, using the principle that if the formula in the Conditional Rule for Probability is multiplied by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w:t>
      </w:r>
      <w:r>
        <w:rPr>
          <w:rFonts w:ascii="Calibri" w:eastAsia="Times New Roman" w:hAnsi="Calibri" w:cs="Times New Roman"/>
          <w:b/>
          <w:color w:val="333333"/>
          <w:sz w:val="21"/>
          <w:szCs w:val="21"/>
        </w:rPr>
        <w:t>,</w:t>
      </w:r>
      <w:r>
        <w:rPr>
          <w:rFonts w:ascii="Calibri" w:eastAsia="Times New Roman" w:hAnsi="Calibri" w:cs="Times New Roman"/>
          <w:color w:val="333333"/>
          <w:sz w:val="21"/>
          <w:szCs w:val="21"/>
        </w:rPr>
        <w:t xml:space="preserve"> then the result is</w:t>
      </w:r>
    </w:p>
    <w:p w:rsidR="00AD77BB" w:rsidRDefault="00AD77BB">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p>
    <w:p w:rsidR="00AD77BB" w:rsidRDefault="00B45BA0">
      <w:pPr>
        <w:shd w:val="clear" w:color="auto" w:fill="DAEEF3" w:themeFill="accent5" w:themeFillTint="33"/>
        <w:spacing w:line="360" w:lineRule="auto"/>
        <w:jc w:val="center"/>
        <w:textAlignment w:val="baseline"/>
        <w:rPr>
          <w:rFonts w:ascii="MathJax_Main" w:eastAsia="Times New Roman" w:hAnsi="MathJax_Main" w:cs="Times New Roman"/>
          <w:b/>
          <w:color w:val="555555"/>
          <w:sz w:val="18"/>
          <w:szCs w:val="18"/>
        </w:rPr>
      </w:pPr>
      <w:r>
        <w:rPr>
          <w:rFonts w:ascii="MathJax_Math" w:eastAsia="Times New Roman" w:hAnsi="MathJax_Math" w:cs="Times New Roman"/>
          <w:b/>
          <w:i/>
          <w:iCs/>
          <w:color w:val="555555"/>
          <w:sz w:val="18"/>
          <w:szCs w:val="18"/>
        </w:rPr>
        <w:t>P</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 xml:space="preserve">B </w:t>
      </w:r>
      <w:r>
        <w:rPr>
          <w:rFonts w:ascii="MathJax_Main" w:eastAsia="Times New Roman" w:hAnsi="MathJax_Main" w:cs="Times New Roman"/>
          <w:b/>
          <w:color w:val="555555"/>
          <w:sz w:val="18"/>
          <w:szCs w:val="18"/>
        </w:rPr>
        <w:t xml:space="preserve">∩ </w:t>
      </w:r>
      <w:r>
        <w:rPr>
          <w:rFonts w:ascii="MathJax_Math" w:eastAsia="Times New Roman" w:hAnsi="MathJax_Math" w:cs="Times New Roman"/>
          <w:b/>
          <w:i/>
          <w:iCs/>
          <w:color w:val="555555"/>
          <w:sz w:val="18"/>
          <w:szCs w:val="18"/>
        </w:rPr>
        <w:t>A</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P</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B</w:t>
      </w:r>
      <w:r>
        <w:rPr>
          <w:rFonts w:ascii="MathJax_Main" w:eastAsia="Times New Roman" w:hAnsi="MathJax_Main" w:cs="Times New Roman"/>
          <w:b/>
          <w:color w:val="555555"/>
          <w:sz w:val="18"/>
          <w:szCs w:val="18"/>
        </w:rPr>
        <w:t>)</w:t>
      </w:r>
      <w:r>
        <w:rPr>
          <w:rFonts w:ascii="Cambria Math" w:eastAsia="Times New Roman" w:hAnsi="Cambria Math" w:cs="Cambria Math"/>
          <w:b/>
          <w:color w:val="555555"/>
          <w:sz w:val="18"/>
          <w:szCs w:val="18"/>
        </w:rPr>
        <w:t>⋅</w:t>
      </w:r>
      <w:r>
        <w:rPr>
          <w:rFonts w:ascii="MathJax_Math" w:eastAsia="Times New Roman" w:hAnsi="MathJax_Math" w:cs="Times New Roman"/>
          <w:b/>
          <w:i/>
          <w:iCs/>
          <w:color w:val="555555"/>
          <w:sz w:val="18"/>
          <w:szCs w:val="18"/>
        </w:rPr>
        <w:t>P</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A</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B</w:t>
      </w:r>
      <w:r>
        <w:rPr>
          <w:rFonts w:ascii="MathJax_Main" w:eastAsia="Times New Roman" w:hAnsi="MathJax_Main" w:cs="Times New Roman"/>
          <w:b/>
          <w:color w:val="555555"/>
          <w:sz w:val="18"/>
          <w:szCs w:val="18"/>
        </w:rPr>
        <w:t>)</w:t>
      </w:r>
    </w:p>
    <w:p w:rsidR="00AD77BB" w:rsidRDefault="00B45BA0">
      <w:pPr>
        <w:numPr>
          <w:ilvl w:val="0"/>
          <w:numId w:val="78"/>
        </w:numPr>
        <w:shd w:val="clear" w:color="auto" w:fill="DAEEF3" w:themeFill="accent5" w:themeFillTint="33"/>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event “both marbles are black” is </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2"/>
          <w:szCs w:val="12"/>
          <w:vertAlign w:val="subscript"/>
        </w:rPr>
        <w:t>1</w:t>
      </w:r>
      <w:r>
        <w:rPr>
          <w:rFonts w:ascii="MathJax_Main" w:eastAsia="Times New Roman" w:hAnsi="MathJax_Main" w:cs="Times New Roman"/>
          <w:b/>
          <w:color w:val="333333"/>
          <w:sz w:val="12"/>
          <w:szCs w:val="12"/>
        </w:rPr>
        <w:t xml:space="preserve"> </w:t>
      </w:r>
      <w:r>
        <w:rPr>
          <w:rFonts w:ascii="MathJax_Main" w:eastAsia="Times New Roman" w:hAnsi="MathJax_Main" w:cs="Times New Roman"/>
          <w:b/>
          <w:color w:val="333333"/>
          <w:sz w:val="15"/>
          <w:szCs w:val="15"/>
        </w:rPr>
        <w:t xml:space="preserve">∩ </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2"/>
          <w:szCs w:val="12"/>
          <w:vertAlign w:val="subscript"/>
        </w:rPr>
        <w:t>2</w:t>
      </w:r>
      <w:r>
        <w:rPr>
          <w:rFonts w:ascii="Calibri" w:eastAsia="Times New Roman" w:hAnsi="Calibri" w:cs="Times New Roman"/>
          <w:color w:val="333333"/>
          <w:sz w:val="20"/>
          <w:szCs w:val="20"/>
        </w:rPr>
        <w:t> and corresponds to the top right node in the tree, which has been circled. Thus as indicated there, it is 0.47.</w:t>
      </w:r>
    </w:p>
    <w:p w:rsidR="00AD77BB" w:rsidRDefault="00AD77BB">
      <w:pPr>
        <w:shd w:val="clear" w:color="auto" w:fill="DAEEF3" w:themeFill="accent5" w:themeFillTint="33"/>
        <w:spacing w:after="0" w:line="360" w:lineRule="auto"/>
        <w:ind w:right="375"/>
        <w:textAlignment w:val="baseline"/>
        <w:rPr>
          <w:rFonts w:ascii="Calibri" w:eastAsia="Times New Roman" w:hAnsi="Calibri" w:cs="Times New Roman"/>
          <w:color w:val="333333"/>
          <w:sz w:val="20"/>
          <w:szCs w:val="20"/>
        </w:rPr>
      </w:pPr>
    </w:p>
    <w:p w:rsidR="00AD77BB" w:rsidRDefault="00B45BA0">
      <w:pPr>
        <w:numPr>
          <w:ilvl w:val="0"/>
          <w:numId w:val="78"/>
        </w:numPr>
        <w:shd w:val="clear" w:color="auto" w:fill="DAEEF3" w:themeFill="accent5" w:themeFillTint="33"/>
        <w:spacing w:after="0" w:line="360" w:lineRule="auto"/>
        <w:ind w:left="360" w:right="375"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event “exactly one marble is black” corresponds to the two nodes of the tree enclosed by the rectangle. The events that correspond to these two nodes are mutually exclusive: black followed by white is incompatible with white followed by black. Thus in accordance with the Additive Rule for Probability we merely add the two probabilities next to these nodes, since what would be subtracted from the sum is zero. Thus the probability of drawing exactly one black marble in two tries is </w:t>
      </w:r>
      <w:r>
        <w:rPr>
          <w:rFonts w:ascii="MathJax_Main" w:eastAsia="Times New Roman" w:hAnsi="MathJax_Main" w:cs="Times New Roman"/>
          <w:b/>
          <w:color w:val="333333"/>
          <w:sz w:val="15"/>
          <w:szCs w:val="15"/>
        </w:rPr>
        <w:t>0.23+0.23=0.46.</w:t>
      </w:r>
    </w:p>
    <w:p w:rsidR="00AD77BB" w:rsidRDefault="00B45BA0">
      <w:pPr>
        <w:shd w:val="clear" w:color="auto" w:fill="DAEEF3" w:themeFill="accent5" w:themeFillTint="33"/>
        <w:spacing w:after="0" w:line="360" w:lineRule="auto"/>
        <w:ind w:left="600" w:right="750"/>
        <w:textAlignment w:val="baseline"/>
        <w:rPr>
          <w:rFonts w:ascii="MathJax_Main" w:eastAsia="Times New Roman" w:hAnsi="MathJax_Main" w:cs="Times New Roman"/>
          <w:b/>
          <w:color w:val="333333"/>
          <w:sz w:val="15"/>
          <w:szCs w:val="15"/>
        </w:rPr>
      </w:pPr>
      <w:r>
        <w:rPr>
          <w:rFonts w:ascii="Calibri" w:eastAsia="Times New Roman" w:hAnsi="Calibri" w:cs="Times New Roman"/>
          <w:color w:val="333333"/>
          <w:sz w:val="20"/>
          <w:szCs w:val="20"/>
        </w:rPr>
        <w:t>The event “at least one marble is black” corresponds to the three nodes of the tree enclosed by either the circle or the rectangle. The events that correspond to these nodes are mutually exclusive, so as in part (b) we merely add the probabilities next to these nodes. Thus the probability of drawing at least one black marble in two tries is </w:t>
      </w:r>
      <w:r>
        <w:rPr>
          <w:rFonts w:ascii="MathJax_Main" w:eastAsia="Times New Roman" w:hAnsi="MathJax_Main" w:cs="Times New Roman"/>
          <w:b/>
          <w:color w:val="333333"/>
          <w:sz w:val="15"/>
          <w:szCs w:val="15"/>
        </w:rPr>
        <w:t>0.47+0.23+0.23=0.93.</w:t>
      </w:r>
    </w:p>
    <w:p w:rsidR="00AD77BB" w:rsidRDefault="00AD77BB">
      <w:pPr>
        <w:shd w:val="clear" w:color="auto" w:fill="DAEEF3" w:themeFill="accent5" w:themeFillTint="33"/>
        <w:spacing w:after="0" w:line="360" w:lineRule="auto"/>
        <w:ind w:right="750" w:firstLine="300"/>
        <w:textAlignment w:val="baseline"/>
        <w:rPr>
          <w:rFonts w:ascii="Calibri" w:eastAsia="Times New Roman" w:hAnsi="Calibri" w:cs="Times New Roman"/>
          <w:color w:val="333333"/>
          <w:sz w:val="20"/>
          <w:szCs w:val="20"/>
        </w:rPr>
      </w:pPr>
    </w:p>
    <w:p w:rsidR="00AD77BB" w:rsidRDefault="00B45BA0">
      <w:p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Of course, this answer could have been found more easily using the Probability Law for Complements, simply subtracting the probability of the complementary event, “two white marbles are drawn,” from 1 to obtain</w:t>
      </w:r>
      <w:r>
        <w:rPr>
          <w:rFonts w:ascii="Calibri" w:eastAsia="Times New Roman" w:hAnsi="Calibri" w:cs="Times New Roman"/>
          <w:b/>
          <w:color w:val="333333"/>
          <w:sz w:val="20"/>
          <w:szCs w:val="20"/>
        </w:rPr>
        <w:t> </w:t>
      </w:r>
      <w:r>
        <w:rPr>
          <w:rFonts w:ascii="MathJax_Main" w:eastAsia="Times New Roman" w:hAnsi="MathJax_Main" w:cs="Times New Roman"/>
          <w:b/>
          <w:color w:val="333333"/>
          <w:sz w:val="15"/>
          <w:szCs w:val="15"/>
        </w:rPr>
        <w:t>1−0.07=0.93.</w:t>
      </w:r>
    </w:p>
    <w:p w:rsidR="00AD77BB" w:rsidRDefault="00AD77BB">
      <w:pPr>
        <w:shd w:val="clear" w:color="auto" w:fill="DAEEF3" w:themeFill="accent5" w:themeFillTint="33"/>
        <w:spacing w:line="360" w:lineRule="auto"/>
        <w:jc w:val="center"/>
        <w:textAlignment w:val="baseline"/>
        <w:rPr>
          <w:rFonts w:ascii="Calibri" w:eastAsia="Times New Roman" w:hAnsi="Calibri" w:cs="Times New Roman"/>
          <w:b/>
          <w:color w:val="555555"/>
          <w:sz w:val="23"/>
          <w:szCs w:val="23"/>
        </w:rPr>
      </w:pPr>
    </w:p>
    <w:p w:rsidR="00AD77BB" w:rsidRDefault="00AD77BB">
      <w:pPr>
        <w:pStyle w:val="para"/>
        <w:shd w:val="clear" w:color="auto" w:fill="FFFFFF" w:themeFill="background1"/>
        <w:spacing w:before="0" w:beforeAutospacing="0" w:after="0" w:afterAutospacing="0" w:line="360" w:lineRule="auto"/>
        <w:ind w:left="300" w:right="374"/>
        <w:textAlignment w:val="baseline"/>
        <w:rPr>
          <w:rFonts w:ascii="Calibri" w:hAnsi="Calibri"/>
          <w:color w:val="333333"/>
          <w:sz w:val="20"/>
          <w:szCs w:val="20"/>
        </w:rPr>
      </w:pPr>
    </w:p>
    <w:p w:rsidR="00AD77BB" w:rsidRDefault="00B45BA0">
      <w:pPr>
        <w:pStyle w:val="para"/>
        <w:shd w:val="clear" w:color="auto" w:fill="FFFFFF" w:themeFill="background1"/>
        <w:spacing w:before="0" w:beforeAutospacing="0" w:after="0" w:afterAutospacing="0" w:line="360" w:lineRule="auto"/>
        <w:ind w:left="446"/>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As this example shows, finding the probability for each branch is fairly straightforward, since we compute it knowing everything that has happened in the sequence of steps so far. Two principles that are true in general emerge from this example:</w:t>
      </w:r>
    </w:p>
    <w:p w:rsidR="00AD77BB" w:rsidRDefault="00AD77BB">
      <w:pPr>
        <w:pStyle w:val="para"/>
        <w:shd w:val="clear" w:color="auto" w:fill="FFFFFF" w:themeFill="background1"/>
        <w:spacing w:before="0" w:beforeAutospacing="0" w:after="0" w:afterAutospacing="0" w:line="360" w:lineRule="auto"/>
        <w:ind w:left="446"/>
        <w:textAlignment w:val="baseline"/>
        <w:rPr>
          <w:rFonts w:ascii="Georgia" w:hAnsi="Georgia"/>
          <w:color w:val="333333"/>
          <w:sz w:val="20"/>
          <w:szCs w:val="20"/>
          <w:shd w:val="clear" w:color="auto" w:fill="FFFFFF"/>
        </w:rPr>
      </w:pPr>
    </w:p>
    <w:p w:rsidR="00AD77BB" w:rsidRDefault="00B45BA0">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Probabilities on Tree Diagrams</w:t>
      </w:r>
    </w:p>
    <w:p w:rsidR="00AD77BB" w:rsidRDefault="00AD77BB">
      <w:pPr>
        <w:shd w:val="clear" w:color="auto" w:fill="F4F4F4"/>
        <w:spacing w:after="0" w:line="264" w:lineRule="atLeast"/>
        <w:textAlignment w:val="baseline"/>
        <w:outlineLvl w:val="2"/>
        <w:rPr>
          <w:rFonts w:ascii="Calibri" w:eastAsia="Times New Roman" w:hAnsi="Calibri" w:cs="Times New Roman"/>
          <w:b/>
          <w:bCs/>
          <w:color w:val="333333"/>
          <w:sz w:val="30"/>
          <w:szCs w:val="30"/>
        </w:rPr>
      </w:pPr>
    </w:p>
    <w:p w:rsidR="00AD77BB" w:rsidRDefault="00B45BA0">
      <w:pPr>
        <w:numPr>
          <w:ilvl w:val="0"/>
          <w:numId w:val="79"/>
        </w:numPr>
        <w:shd w:val="clear" w:color="auto" w:fill="F4F4F4"/>
        <w:spacing w:after="0"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probability of the event corresponding to any node on a tree is the product of the numbers on the unique path of branches that leads to that node from the start.</w:t>
      </w:r>
    </w:p>
    <w:p w:rsidR="00AD77BB" w:rsidRDefault="00B45BA0">
      <w:pPr>
        <w:numPr>
          <w:ilvl w:val="0"/>
          <w:numId w:val="79"/>
        </w:numPr>
        <w:shd w:val="clear" w:color="auto" w:fill="F4F4F4"/>
        <w:spacing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If an event corresponds to several final nodes, then its probability is obtained by adding the numbers next to those nodes.</w:t>
      </w: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AD77BB" w:rsidRDefault="00B45BA0">
      <w:pPr>
        <w:numPr>
          <w:ilvl w:val="0"/>
          <w:numId w:val="80"/>
        </w:numPr>
        <w:shd w:val="clear" w:color="auto" w:fill="ECF9EA"/>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conditional probability is the probability that an event has occurred, taking into account additional information about the result of the experiment.</w:t>
      </w:r>
    </w:p>
    <w:p w:rsidR="00AD77BB" w:rsidRDefault="00B45BA0">
      <w:pPr>
        <w:numPr>
          <w:ilvl w:val="0"/>
          <w:numId w:val="80"/>
        </w:numPr>
        <w:shd w:val="clear" w:color="auto" w:fill="ECF9EA"/>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conditional probability can always be computed using the formula in the definition. Sometimes it can be computed by discarding part of the sample space.</w:t>
      </w:r>
    </w:p>
    <w:p w:rsidR="00AD77BB" w:rsidRDefault="00B45BA0">
      <w:pPr>
        <w:numPr>
          <w:ilvl w:val="0"/>
          <w:numId w:val="80"/>
        </w:numPr>
        <w:shd w:val="clear" w:color="auto" w:fill="ECF9EA"/>
        <w:spacing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Two events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are independent if the probability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 xml:space="preserve">A </w:t>
      </w:r>
      <w:r>
        <w:rPr>
          <w:rFonts w:ascii="MathJax_Main" w:eastAsia="Times New Roman" w:hAnsi="MathJax_Main" w:cs="Times New Roman"/>
          <w:b/>
          <w:color w:val="333333"/>
          <w:sz w:val="15"/>
          <w:szCs w:val="15"/>
        </w:rPr>
        <w:t xml:space="preserve">∩ </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w:t>
      </w:r>
      <w:r>
        <w:rPr>
          <w:rFonts w:ascii="Calibri" w:eastAsia="Times New Roman" w:hAnsi="Calibri" w:cs="Times New Roman"/>
          <w:color w:val="333333"/>
          <w:sz w:val="20"/>
          <w:szCs w:val="20"/>
        </w:rPr>
        <w:t> of their intersection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is equal to the product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5"/>
          <w:szCs w:val="15"/>
        </w:rPr>
        <w:t>)</w:t>
      </w:r>
      <w:r>
        <w:rPr>
          <w:rFonts w:ascii="Cambria Math" w:eastAsia="Times New Roman" w:hAnsi="Cambria Math" w:cs="Cambria Math"/>
          <w:b/>
          <w:color w:val="333333"/>
          <w:sz w:val="15"/>
          <w:szCs w:val="15"/>
        </w:rPr>
        <w:t>⋅</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w:t>
      </w:r>
      <w:r>
        <w:rPr>
          <w:rFonts w:ascii="Calibri" w:eastAsia="Times New Roman" w:hAnsi="Calibri" w:cs="Times New Roman"/>
          <w:color w:val="333333"/>
          <w:sz w:val="20"/>
          <w:szCs w:val="20"/>
        </w:rPr>
        <w:t> of their individual probabilities.</w:t>
      </w:r>
    </w:p>
    <w:p w:rsidR="00AD77BB" w:rsidRDefault="00B45BA0">
      <w:pPr>
        <w:pStyle w:val="para"/>
        <w:shd w:val="clear" w:color="auto" w:fill="FFFFFF" w:themeFill="background1"/>
        <w:spacing w:before="0" w:beforeAutospacing="0" w:after="0" w:afterAutospacing="0" w:line="360" w:lineRule="auto"/>
        <w:ind w:left="446"/>
        <w:textAlignment w:val="baseline"/>
      </w:pPr>
      <w:r>
        <w:rPr>
          <w:noProof/>
        </w:rPr>
        <w:lastRenderedPageBreak/>
        <w:drawing>
          <wp:inline distT="0" distB="0" distL="0" distR="0" wp14:anchorId="573DCFE8" wp14:editId="795DD550">
            <wp:extent cx="5772150" cy="6572250"/>
            <wp:effectExtent l="0" t="0" r="0" b="0"/>
            <wp:docPr id="104"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72150" cy="6572250"/>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360" w:lineRule="auto"/>
        <w:ind w:left="446"/>
        <w:textAlignment w:val="baseline"/>
      </w:pPr>
      <w:r>
        <w:rPr>
          <w:noProof/>
        </w:rPr>
        <w:lastRenderedPageBreak/>
        <w:drawing>
          <wp:inline distT="0" distB="0" distL="0" distR="0" wp14:anchorId="1FCD5CB2" wp14:editId="2469CB18">
            <wp:extent cx="5800725" cy="6105525"/>
            <wp:effectExtent l="0" t="0" r="9525" b="9525"/>
            <wp:docPr id="105"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00725" cy="6105525"/>
                    </a:xfrm>
                    <a:prstGeom prst="rect">
                      <a:avLst/>
                    </a:prstGeom>
                    <a:noFill/>
                    <a:ln>
                      <a:noFill/>
                    </a:ln>
                  </pic:spPr>
                </pic:pic>
              </a:graphicData>
            </a:graphic>
          </wp:inline>
        </w:drawing>
      </w:r>
    </w:p>
    <w:p w:rsidR="00AD77BB" w:rsidRDefault="00B45BA0">
      <w:pPr>
        <w:numPr>
          <w:ilvl w:val="1"/>
          <w:numId w:val="8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probability that the card drawn is red.</w:t>
      </w:r>
    </w:p>
    <w:p w:rsidR="00AD77BB" w:rsidRDefault="00B45BA0">
      <w:pPr>
        <w:numPr>
          <w:ilvl w:val="1"/>
          <w:numId w:val="8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probability that the card is red, given that it is not green.</w:t>
      </w:r>
    </w:p>
    <w:p w:rsidR="00AD77BB" w:rsidRDefault="00B45BA0">
      <w:pPr>
        <w:numPr>
          <w:ilvl w:val="1"/>
          <w:numId w:val="8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probability that the card is red, given that it is neither red nor yellow.</w:t>
      </w:r>
    </w:p>
    <w:p w:rsidR="00AD77BB" w:rsidRDefault="00B45BA0">
      <w:pPr>
        <w:numPr>
          <w:ilvl w:val="1"/>
          <w:numId w:val="8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probability that the card is red, given that it is not a four.</w:t>
      </w:r>
    </w:p>
    <w:p w:rsidR="00AD77BB" w:rsidRDefault="00AD77BB">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p>
    <w:p w:rsidR="00AD77BB" w:rsidRDefault="00B45BA0">
      <w:pPr>
        <w:numPr>
          <w:ilvl w:val="0"/>
          <w:numId w:val="8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special deck of 16 cards has 4 that are blue, 4 yellow, 4 green, and 4 red. The four cards of each color are numbered from one to four. A single card is drawn at random. Find the following probabilities.</w:t>
      </w:r>
    </w:p>
    <w:p w:rsidR="00AD77BB" w:rsidRDefault="00B45BA0">
      <w:pPr>
        <w:numPr>
          <w:ilvl w:val="1"/>
          <w:numId w:val="8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probability that the card drawn is a two or a four.</w:t>
      </w:r>
    </w:p>
    <w:p w:rsidR="00AD77BB" w:rsidRDefault="00B45BA0">
      <w:pPr>
        <w:numPr>
          <w:ilvl w:val="1"/>
          <w:numId w:val="8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probability that the card is a two or a four, given that it is not a one.</w:t>
      </w:r>
    </w:p>
    <w:p w:rsidR="00AD77BB" w:rsidRDefault="00B45BA0">
      <w:pPr>
        <w:numPr>
          <w:ilvl w:val="1"/>
          <w:numId w:val="8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The probability that the card is a two or a four, given that it is either a two or a three.</w:t>
      </w:r>
    </w:p>
    <w:p w:rsidR="00AD77BB" w:rsidRDefault="00B45BA0">
      <w:pPr>
        <w:numPr>
          <w:ilvl w:val="1"/>
          <w:numId w:val="8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probability that the card is a two or a four, given that it is red or green.</w:t>
      </w:r>
    </w:p>
    <w:p w:rsidR="00AD77BB" w:rsidRDefault="00AD77BB">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p>
    <w:p w:rsidR="00AD77BB" w:rsidRDefault="00B45BA0">
      <w:pPr>
        <w:numPr>
          <w:ilvl w:val="0"/>
          <w:numId w:val="82"/>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random experiment gave rise to the two-way contingency table shown. Use it to compute the probabilities indicated.</w:t>
      </w:r>
    </w:p>
    <w:tbl>
      <w:tblPr>
        <w:tblW w:w="0" w:type="auto"/>
        <w:tblInd w:w="450" w:type="dxa"/>
        <w:tblCellMar>
          <w:left w:w="0" w:type="dxa"/>
          <w:right w:w="0" w:type="dxa"/>
        </w:tblCellMar>
        <w:tblLook w:val="04A0" w:firstRow="1" w:lastRow="0" w:firstColumn="1" w:lastColumn="0" w:noHBand="0" w:noVBand="1"/>
      </w:tblPr>
      <w:tblGrid>
        <w:gridCol w:w="297"/>
        <w:gridCol w:w="570"/>
        <w:gridCol w:w="57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S</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i/>
                <w:iCs/>
                <w:sz w:val="24"/>
                <w:szCs w:val="24"/>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0.18</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i/>
                <w:iCs/>
                <w:sz w:val="24"/>
                <w:szCs w:val="24"/>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0.42</w:t>
            </w:r>
          </w:p>
        </w:tc>
      </w:tr>
    </w:tbl>
    <w:p w:rsidR="00AD77BB" w:rsidRDefault="00B45BA0">
      <w:pPr>
        <w:numPr>
          <w:ilvl w:val="1"/>
          <w:numId w:val="82"/>
        </w:numPr>
        <w:shd w:val="clear" w:color="auto" w:fill="DAEEF3" w:themeFill="accent5" w:themeFillTint="33"/>
        <w:spacing w:after="0" w:line="360" w:lineRule="auto"/>
        <w:ind w:left="450"/>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5"/>
          <w:szCs w:val="15"/>
        </w:rPr>
        <w:t>)</w:t>
      </w:r>
      <w:r>
        <w:rPr>
          <w:rFonts w:ascii="Calibri" w:eastAsia="Times New Roman" w:hAnsi="Calibri" w:cs="Times New Roman"/>
          <w:b/>
          <w:color w:val="333333"/>
          <w:sz w:val="20"/>
          <w:szCs w:val="20"/>
        </w:rPr>
        <w: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R</w:t>
      </w:r>
      <w:r>
        <w:rPr>
          <w:rFonts w:ascii="MathJax_Main" w:eastAsia="Times New Roman" w:hAnsi="MathJax_Main" w:cs="Times New Roman"/>
          <w:b/>
          <w:color w:val="333333"/>
          <w:sz w:val="15"/>
          <w:szCs w:val="15"/>
        </w:rPr>
        <w:t>)</w:t>
      </w:r>
      <w:r>
        <w:rPr>
          <w:rFonts w:ascii="Calibri" w:eastAsia="Times New Roman" w:hAnsi="Calibri" w:cs="Times New Roman"/>
          <w:b/>
          <w:color w:val="333333"/>
          <w:sz w:val="20"/>
          <w:szCs w:val="20"/>
        </w:rPr>
        <w: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 xml:space="preserve">A </w:t>
      </w:r>
      <w:r>
        <w:rPr>
          <w:rFonts w:ascii="MathJax_Main" w:eastAsia="Times New Roman" w:hAnsi="MathJax_Main" w:cs="Times New Roman"/>
          <w:b/>
          <w:color w:val="333333"/>
          <w:sz w:val="15"/>
          <w:szCs w:val="15"/>
        </w:rPr>
        <w:t xml:space="preserve">∩ </w:t>
      </w:r>
      <w:r>
        <w:rPr>
          <w:rFonts w:ascii="MathJax_Math" w:eastAsia="Times New Roman" w:hAnsi="MathJax_Math" w:cs="Times New Roman"/>
          <w:b/>
          <w:i/>
          <w:iCs/>
          <w:color w:val="333333"/>
          <w:sz w:val="15"/>
          <w:szCs w:val="15"/>
        </w:rPr>
        <w:t>R</w:t>
      </w:r>
      <w:r>
        <w:rPr>
          <w:rFonts w:ascii="MathJax_Main" w:eastAsia="Times New Roman" w:hAnsi="MathJax_Main" w:cs="Times New Roman"/>
          <w:b/>
          <w:color w:val="333333"/>
          <w:sz w:val="15"/>
          <w:szCs w:val="15"/>
        </w:rPr>
        <w:t>).</w:t>
      </w:r>
    </w:p>
    <w:p w:rsidR="00AD77BB" w:rsidRDefault="00B45BA0">
      <w:pPr>
        <w:numPr>
          <w:ilvl w:val="1"/>
          <w:numId w:val="82"/>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Based on the answer to (a), determine whether or not the events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R</w:t>
      </w:r>
      <w:r>
        <w:rPr>
          <w:rFonts w:ascii="Calibri" w:eastAsia="Times New Roman" w:hAnsi="Calibri" w:cs="Times New Roman"/>
          <w:color w:val="333333"/>
          <w:sz w:val="20"/>
          <w:szCs w:val="20"/>
        </w:rPr>
        <w:t> are independent.</w:t>
      </w:r>
    </w:p>
    <w:p w:rsidR="00AD77BB" w:rsidRDefault="00B45BA0">
      <w:pPr>
        <w:numPr>
          <w:ilvl w:val="1"/>
          <w:numId w:val="82"/>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Based on the answer to (b), determine whether or not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R</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can be predicted without any computation. If so, make the prediction. In any case, compute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R</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using the Rule for Conditional Probability.</w:t>
      </w:r>
    </w:p>
    <w:p w:rsidR="00AD77BB" w:rsidRDefault="00B45BA0">
      <w:pPr>
        <w:numPr>
          <w:ilvl w:val="0"/>
          <w:numId w:val="8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random experiment gave rise to the two-way contingency table shown. Use it to compute the probabilities indicated.</w:t>
      </w:r>
    </w:p>
    <w:tbl>
      <w:tblPr>
        <w:tblW w:w="0" w:type="auto"/>
        <w:tblInd w:w="450" w:type="dxa"/>
        <w:tblCellMar>
          <w:left w:w="0" w:type="dxa"/>
          <w:right w:w="0" w:type="dxa"/>
        </w:tblCellMar>
        <w:tblLook w:val="04A0" w:firstRow="1" w:lastRow="0" w:firstColumn="1" w:lastColumn="0" w:noHBand="0" w:noVBand="1"/>
      </w:tblPr>
      <w:tblGrid>
        <w:gridCol w:w="297"/>
        <w:gridCol w:w="570"/>
        <w:gridCol w:w="57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S</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i/>
                <w:iCs/>
                <w:sz w:val="24"/>
                <w:szCs w:val="24"/>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0.07</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i/>
                <w:iCs/>
                <w:sz w:val="24"/>
                <w:szCs w:val="24"/>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0.19</w:t>
            </w:r>
          </w:p>
        </w:tc>
      </w:tr>
    </w:tbl>
    <w:p w:rsidR="00AD77BB" w:rsidRDefault="00B45BA0">
      <w:pPr>
        <w:numPr>
          <w:ilvl w:val="1"/>
          <w:numId w:val="82"/>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5"/>
          <w:szCs w:val="15"/>
        </w:rPr>
        <w:t>)</w:t>
      </w:r>
      <w:r>
        <w:rPr>
          <w:rFonts w:ascii="Calibri" w:eastAsia="Times New Roman" w:hAnsi="Calibri" w:cs="Times New Roman"/>
          <w:b/>
          <w:color w:val="333333"/>
          <w:sz w:val="20"/>
          <w:szCs w:val="20"/>
        </w:rPr>
        <w: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R</w:t>
      </w:r>
      <w:r>
        <w:rPr>
          <w:rFonts w:ascii="MathJax_Main" w:eastAsia="Times New Roman" w:hAnsi="MathJax_Main" w:cs="Times New Roman"/>
          <w:b/>
          <w:color w:val="333333"/>
          <w:sz w:val="15"/>
          <w:szCs w:val="15"/>
        </w:rPr>
        <w:t>)</w:t>
      </w:r>
      <w:r>
        <w:rPr>
          <w:rFonts w:ascii="Calibri" w:eastAsia="Times New Roman" w:hAnsi="Calibri" w:cs="Times New Roman"/>
          <w:b/>
          <w:color w:val="333333"/>
          <w:sz w:val="20"/>
          <w:szCs w:val="20"/>
        </w:rPr>
        <w: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 xml:space="preserve">A </w:t>
      </w:r>
      <w:r>
        <w:rPr>
          <w:rFonts w:ascii="MathJax_Main" w:eastAsia="Times New Roman" w:hAnsi="MathJax_Main" w:cs="Times New Roman"/>
          <w:b/>
          <w:color w:val="333333"/>
          <w:sz w:val="15"/>
          <w:szCs w:val="15"/>
        </w:rPr>
        <w:t xml:space="preserve">∩ </w:t>
      </w:r>
      <w:r>
        <w:rPr>
          <w:rFonts w:ascii="MathJax_Math" w:eastAsia="Times New Roman" w:hAnsi="MathJax_Math" w:cs="Times New Roman"/>
          <w:b/>
          <w:i/>
          <w:iCs/>
          <w:color w:val="333333"/>
          <w:sz w:val="15"/>
          <w:szCs w:val="15"/>
        </w:rPr>
        <w:t>R</w:t>
      </w:r>
      <w:r>
        <w:rPr>
          <w:rFonts w:ascii="MathJax_Main" w:eastAsia="Times New Roman" w:hAnsi="MathJax_Main" w:cs="Times New Roman"/>
          <w:b/>
          <w:color w:val="333333"/>
          <w:sz w:val="15"/>
          <w:szCs w:val="15"/>
        </w:rPr>
        <w:t>).</w:t>
      </w:r>
    </w:p>
    <w:p w:rsidR="00AD77BB" w:rsidRDefault="00B45BA0">
      <w:pPr>
        <w:numPr>
          <w:ilvl w:val="1"/>
          <w:numId w:val="8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Based on the answer to (a), determine whether or not the events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R</w:t>
      </w:r>
      <w:r>
        <w:rPr>
          <w:rFonts w:ascii="Calibri" w:eastAsia="Times New Roman" w:hAnsi="Calibri" w:cs="Times New Roman"/>
          <w:color w:val="333333"/>
          <w:sz w:val="20"/>
          <w:szCs w:val="20"/>
        </w:rPr>
        <w:t> are independent.</w:t>
      </w:r>
    </w:p>
    <w:p w:rsidR="00AD77BB" w:rsidRDefault="00B45BA0">
      <w:pPr>
        <w:numPr>
          <w:ilvl w:val="1"/>
          <w:numId w:val="8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Based on the answer to (b), determine whether or not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R</w:t>
      </w:r>
      <w:r>
        <w:rPr>
          <w:rFonts w:ascii="MathJax_Main" w:eastAsia="Times New Roman" w:hAnsi="MathJax_Main" w:cs="Times New Roman"/>
          <w:b/>
          <w:color w:val="333333"/>
          <w:sz w:val="15"/>
          <w:szCs w:val="15"/>
        </w:rPr>
        <w:t>)</w:t>
      </w:r>
      <w:r>
        <w:rPr>
          <w:rFonts w:ascii="Calibri" w:eastAsia="Times New Roman" w:hAnsi="Calibri" w:cs="Times New Roman"/>
          <w:color w:val="333333"/>
          <w:sz w:val="20"/>
          <w:szCs w:val="20"/>
        </w:rPr>
        <w:t> can be predicted without any computation. If so, make the prediction. In any case, compute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R</w:t>
      </w:r>
      <w:r>
        <w:rPr>
          <w:rFonts w:ascii="MathJax_Main" w:eastAsia="Times New Roman" w:hAnsi="MathJax_Main" w:cs="Times New Roman"/>
          <w:b/>
          <w:color w:val="333333"/>
          <w:sz w:val="15"/>
          <w:szCs w:val="15"/>
        </w:rPr>
        <w:t>)</w:t>
      </w:r>
      <w:r>
        <w:rPr>
          <w:rFonts w:ascii="Calibri" w:eastAsia="Times New Roman" w:hAnsi="Calibri" w:cs="Times New Roman"/>
          <w:color w:val="333333"/>
          <w:sz w:val="20"/>
          <w:szCs w:val="20"/>
        </w:rPr>
        <w:t>using the Rule for Conditional Probability.</w:t>
      </w:r>
    </w:p>
    <w:p w:rsidR="00AD77BB" w:rsidRDefault="00B45BA0">
      <w:pPr>
        <w:numPr>
          <w:ilvl w:val="0"/>
          <w:numId w:val="8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Suppose for events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in a random experiment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5"/>
          <w:szCs w:val="15"/>
        </w:rPr>
        <w:t>)=0.70</w:t>
      </w:r>
      <w:r>
        <w:rPr>
          <w:rFonts w:ascii="Calibri" w:eastAsia="Times New Roman" w:hAnsi="Calibri" w:cs="Times New Roman"/>
          <w:color w:val="333333"/>
          <w:sz w:val="20"/>
          <w:szCs w:val="20"/>
        </w:rPr>
        <w:t> and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)=0.30</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Compute the indicated probability, or explain why there is not enough information to do so.</w:t>
      </w:r>
    </w:p>
    <w:p w:rsidR="00AD77BB" w:rsidRDefault="00B45BA0">
      <w:pPr>
        <w:numPr>
          <w:ilvl w:val="1"/>
          <w:numId w:val="82"/>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 xml:space="preserve">A </w:t>
      </w:r>
      <w:r>
        <w:rPr>
          <w:rFonts w:ascii="MathJax_Main" w:eastAsia="Times New Roman" w:hAnsi="MathJax_Main" w:cs="Times New Roman"/>
          <w:b/>
          <w:color w:val="333333"/>
          <w:sz w:val="15"/>
          <w:szCs w:val="15"/>
        </w:rPr>
        <w:t xml:space="preserve">∩ </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w:t>
      </w:r>
    </w:p>
    <w:p w:rsidR="00AD77BB" w:rsidRDefault="00B45BA0">
      <w:pPr>
        <w:numPr>
          <w:ilvl w:val="1"/>
          <w:numId w:val="8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 xml:space="preserve">A </w:t>
      </w:r>
      <w:r>
        <w:rPr>
          <w:rFonts w:ascii="MathJax_Main" w:eastAsia="Times New Roman" w:hAnsi="MathJax_Main" w:cs="Times New Roman"/>
          <w:b/>
          <w:color w:val="333333"/>
          <w:sz w:val="15"/>
          <w:szCs w:val="15"/>
        </w:rPr>
        <w:t xml:space="preserve">∩ </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w:t>
      </w:r>
      <w:r>
        <w:rPr>
          <w:rFonts w:ascii="Calibri" w:eastAsia="Times New Roman" w:hAnsi="Calibri" w:cs="Times New Roman"/>
          <w:b/>
          <w:color w:val="333333"/>
          <w:sz w:val="20"/>
          <w:szCs w:val="20"/>
        </w:rPr>
        <w:t>,</w:t>
      </w:r>
      <w:r>
        <w:rPr>
          <w:rFonts w:ascii="Calibri" w:eastAsia="Times New Roman" w:hAnsi="Calibri" w:cs="Times New Roman"/>
          <w:color w:val="333333"/>
          <w:sz w:val="20"/>
          <w:szCs w:val="20"/>
        </w:rPr>
        <w:t xml:space="preserve"> with the extra information that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are independent.</w:t>
      </w:r>
    </w:p>
    <w:p w:rsidR="00AD77BB" w:rsidRDefault="00B45BA0">
      <w:pPr>
        <w:numPr>
          <w:ilvl w:val="1"/>
          <w:numId w:val="8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 xml:space="preserve">A </w:t>
      </w:r>
      <w:r>
        <w:rPr>
          <w:rFonts w:ascii="MathJax_Main" w:eastAsia="Times New Roman" w:hAnsi="MathJax_Main" w:cs="Times New Roman"/>
          <w:b/>
          <w:color w:val="333333"/>
          <w:sz w:val="15"/>
          <w:szCs w:val="15"/>
        </w:rPr>
        <w:t xml:space="preserve">∩ </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w:t>
      </w:r>
      <w:r>
        <w:rPr>
          <w:rFonts w:ascii="Calibri" w:eastAsia="Times New Roman" w:hAnsi="Calibri" w:cs="Times New Roman"/>
          <w:b/>
          <w:color w:val="333333"/>
          <w:sz w:val="20"/>
          <w:szCs w:val="20"/>
        </w:rPr>
        <w:t>,</w:t>
      </w:r>
      <w:r>
        <w:rPr>
          <w:rFonts w:ascii="Calibri" w:eastAsia="Times New Roman" w:hAnsi="Calibri" w:cs="Times New Roman"/>
          <w:color w:val="333333"/>
          <w:sz w:val="20"/>
          <w:szCs w:val="20"/>
        </w:rPr>
        <w:t xml:space="preserve"> with the extra information that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are mutually exclusive.</w:t>
      </w:r>
    </w:p>
    <w:p w:rsidR="00AD77BB" w:rsidRDefault="00B45BA0">
      <w:pPr>
        <w:numPr>
          <w:ilvl w:val="0"/>
          <w:numId w:val="8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Suppose for events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connected to some random experiment,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5"/>
          <w:szCs w:val="15"/>
        </w:rPr>
        <w:t>)=0.50</w:t>
      </w:r>
      <w:r>
        <w:rPr>
          <w:rFonts w:ascii="Calibri" w:eastAsia="Times New Roman" w:hAnsi="Calibri" w:cs="Times New Roman"/>
          <w:color w:val="333333"/>
          <w:sz w:val="20"/>
          <w:szCs w:val="20"/>
        </w:rPr>
        <w:t> and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)=0.50</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Compute the indicated probability, or explain why there is not enough information to do so.</w:t>
      </w:r>
    </w:p>
    <w:p w:rsidR="00AD77BB" w:rsidRDefault="00B45BA0">
      <w:pPr>
        <w:numPr>
          <w:ilvl w:val="1"/>
          <w:numId w:val="83"/>
        </w:numPr>
        <w:shd w:val="clear" w:color="auto" w:fill="DAEEF3" w:themeFill="accent5" w:themeFillTint="33"/>
        <w:spacing w:after="0" w:line="439" w:lineRule="atLeast"/>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 xml:space="preserve">A </w:t>
      </w:r>
      <w:r>
        <w:rPr>
          <w:rFonts w:ascii="MathJax_Main" w:eastAsia="Times New Roman" w:hAnsi="MathJax_Main" w:cs="Times New Roman"/>
          <w:b/>
          <w:color w:val="333333"/>
          <w:sz w:val="15"/>
          <w:szCs w:val="15"/>
        </w:rPr>
        <w:t xml:space="preserve">∩ </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w:t>
      </w:r>
    </w:p>
    <w:p w:rsidR="00AD77BB" w:rsidRDefault="00B45BA0">
      <w:pPr>
        <w:numPr>
          <w:ilvl w:val="1"/>
          <w:numId w:val="8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 xml:space="preserve">A </w:t>
      </w:r>
      <w:r>
        <w:rPr>
          <w:rFonts w:ascii="MathJax_Main" w:eastAsia="Times New Roman" w:hAnsi="MathJax_Main" w:cs="Times New Roman"/>
          <w:b/>
          <w:color w:val="333333"/>
          <w:sz w:val="15"/>
          <w:szCs w:val="15"/>
        </w:rPr>
        <w:t xml:space="preserve">∩ </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w:t>
      </w:r>
      <w:r>
        <w:rPr>
          <w:rFonts w:ascii="Calibri" w:eastAsia="Times New Roman" w:hAnsi="Calibri" w:cs="Times New Roman"/>
          <w:b/>
          <w:color w:val="333333"/>
          <w:sz w:val="20"/>
          <w:szCs w:val="20"/>
        </w:rPr>
        <w:t>,</w:t>
      </w:r>
      <w:r>
        <w:rPr>
          <w:rFonts w:ascii="Calibri" w:eastAsia="Times New Roman" w:hAnsi="Calibri" w:cs="Times New Roman"/>
          <w:color w:val="333333"/>
          <w:sz w:val="20"/>
          <w:szCs w:val="20"/>
        </w:rPr>
        <w:t xml:space="preserve"> with the extra information that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are independent.</w:t>
      </w:r>
    </w:p>
    <w:p w:rsidR="00AD77BB" w:rsidRDefault="00B45BA0">
      <w:pPr>
        <w:numPr>
          <w:ilvl w:val="1"/>
          <w:numId w:val="8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MathJax_Math" w:eastAsia="Times New Roman" w:hAnsi="MathJax_Math" w:cs="Times New Roman"/>
          <w:b/>
          <w:i/>
          <w:iCs/>
          <w:color w:val="333333"/>
          <w:sz w:val="15"/>
          <w:szCs w:val="15"/>
        </w:rPr>
        <w:lastRenderedPageBreak/>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 xml:space="preserve">A </w:t>
      </w:r>
      <w:r>
        <w:rPr>
          <w:rFonts w:ascii="MathJax_Main" w:eastAsia="Times New Roman" w:hAnsi="MathJax_Main" w:cs="Times New Roman"/>
          <w:b/>
          <w:color w:val="333333"/>
          <w:sz w:val="15"/>
          <w:szCs w:val="15"/>
        </w:rPr>
        <w:t xml:space="preserve">∩ </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w:t>
      </w:r>
      <w:r>
        <w:rPr>
          <w:rFonts w:ascii="Calibri" w:eastAsia="Times New Roman" w:hAnsi="Calibri" w:cs="Times New Roman"/>
          <w:b/>
          <w:color w:val="333333"/>
          <w:sz w:val="20"/>
          <w:szCs w:val="20"/>
        </w:rPr>
        <w:t>,</w:t>
      </w:r>
      <w:r>
        <w:rPr>
          <w:rFonts w:ascii="Calibri" w:eastAsia="Times New Roman" w:hAnsi="Calibri" w:cs="Times New Roman"/>
          <w:color w:val="333333"/>
          <w:sz w:val="20"/>
          <w:szCs w:val="20"/>
        </w:rPr>
        <w:t xml:space="preserve"> with the extra information that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are mutually exclusive.</w:t>
      </w:r>
    </w:p>
    <w:p w:rsidR="00AD77BB" w:rsidRDefault="00B45BA0">
      <w:pPr>
        <w:numPr>
          <w:ilvl w:val="0"/>
          <w:numId w:val="83"/>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Suppose for events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C</w:t>
      </w:r>
      <w:r>
        <w:rPr>
          <w:rFonts w:ascii="Calibri" w:eastAsia="Times New Roman" w:hAnsi="Calibri" w:cs="Times New Roman"/>
          <w:color w:val="333333"/>
          <w:sz w:val="20"/>
          <w:szCs w:val="20"/>
        </w:rPr>
        <w:t> connected to some random experiment,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C</w:t>
      </w:r>
      <w:r>
        <w:rPr>
          <w:rFonts w:ascii="Calibri" w:eastAsia="Times New Roman" w:hAnsi="Calibri" w:cs="Times New Roman"/>
          <w:color w:val="333333"/>
          <w:sz w:val="20"/>
          <w:szCs w:val="20"/>
        </w:rPr>
        <w:t> are independent and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5"/>
          <w:szCs w:val="15"/>
        </w:rPr>
        <w:t>)=0.88</w:t>
      </w:r>
      <w:r>
        <w:rPr>
          <w:rFonts w:ascii="Calibri" w:eastAsia="Times New Roman" w:hAnsi="Calibri" w:cs="Times New Roman"/>
          <w:b/>
          <w:color w:val="333333"/>
          <w:sz w:val="20"/>
          <w:szCs w:val="20"/>
        </w:rPr>
        <w: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)=0.65</w:t>
      </w:r>
      <w:r>
        <w:rPr>
          <w:rFonts w:ascii="Calibri" w:eastAsia="Times New Roman" w:hAnsi="Calibri" w:cs="Times New Roman"/>
          <w:b/>
          <w:color w:val="333333"/>
          <w:sz w:val="20"/>
          <w:szCs w:val="20"/>
        </w:rPr>
        <w:t>, and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C</w:t>
      </w:r>
      <w:r>
        <w:rPr>
          <w:rFonts w:ascii="MathJax_Main" w:eastAsia="Times New Roman" w:hAnsi="MathJax_Main" w:cs="Times New Roman"/>
          <w:b/>
          <w:color w:val="333333"/>
          <w:sz w:val="15"/>
          <w:szCs w:val="15"/>
        </w:rPr>
        <w:t>)=0.44</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Compute the indicated probability, or explain why there is not enough information to do so.</w:t>
      </w:r>
    </w:p>
    <w:p w:rsidR="00AD77BB" w:rsidRDefault="00B45BA0">
      <w:pPr>
        <w:numPr>
          <w:ilvl w:val="1"/>
          <w:numId w:val="83"/>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 xml:space="preserve">A </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 xml:space="preserve">B </w:t>
      </w:r>
      <w:r>
        <w:rPr>
          <w:rFonts w:ascii="MathJax_Main" w:eastAsia="Times New Roman" w:hAnsi="MathJax_Main" w:cs="Times New Roman"/>
          <w:b/>
          <w:color w:val="333333"/>
          <w:sz w:val="15"/>
          <w:szCs w:val="15"/>
        </w:rPr>
        <w:t xml:space="preserve">∩ </w:t>
      </w:r>
      <w:r>
        <w:rPr>
          <w:rFonts w:ascii="MathJax_Math" w:eastAsia="Times New Roman" w:hAnsi="MathJax_Math" w:cs="Times New Roman"/>
          <w:b/>
          <w:i/>
          <w:iCs/>
          <w:color w:val="333333"/>
          <w:sz w:val="15"/>
          <w:szCs w:val="15"/>
        </w:rPr>
        <w:t>C</w:t>
      </w:r>
      <w:r>
        <w:rPr>
          <w:rFonts w:ascii="MathJax_Main" w:eastAsia="Times New Roman" w:hAnsi="MathJax_Main" w:cs="Times New Roman"/>
          <w:b/>
          <w:color w:val="333333"/>
          <w:sz w:val="15"/>
          <w:szCs w:val="15"/>
        </w:rPr>
        <w:t>)</w:t>
      </w:r>
    </w:p>
    <w:p w:rsidR="00AD77BB" w:rsidRDefault="00B45BA0">
      <w:pPr>
        <w:numPr>
          <w:ilvl w:val="1"/>
          <w:numId w:val="83"/>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Size1" w:eastAsia="Times New Roman" w:hAnsi="MathJax_Size1" w:cs="Times New Roman"/>
          <w:b/>
          <w:color w:val="333333"/>
          <w:sz w:val="15"/>
          <w:szCs w:val="15"/>
        </w:rPr>
        <w:t>(</w:t>
      </w:r>
      <w:r>
        <w:rPr>
          <w:rFonts w:ascii="MathJax_Math" w:eastAsia="Times New Roman" w:hAnsi="MathJax_Math" w:cs="Times New Roman"/>
          <w:b/>
          <w:i/>
          <w:iCs/>
          <w:color w:val="333333"/>
          <w:sz w:val="15"/>
          <w:szCs w:val="15"/>
        </w:rPr>
        <w:t>A</w:t>
      </w:r>
      <w:r>
        <w:rPr>
          <w:rFonts w:ascii="MathJax_Math" w:eastAsia="Times New Roman" w:hAnsi="MathJax_Math" w:cs="Times New Roman"/>
          <w:b/>
          <w:i/>
          <w:iCs/>
          <w:color w:val="333333"/>
          <w:sz w:val="12"/>
          <w:szCs w:val="12"/>
          <w:vertAlign w:val="superscript"/>
        </w:rPr>
        <w:t xml:space="preserve">c </w:t>
      </w:r>
      <w:r>
        <w:rPr>
          <w:rFonts w:ascii="MathJax_Main" w:eastAsia="Times New Roman" w:hAnsi="MathJax_Main" w:cs="Times New Roman"/>
          <w:b/>
          <w:color w:val="333333"/>
          <w:sz w:val="15"/>
          <w:szCs w:val="15"/>
        </w:rPr>
        <w:t xml:space="preserve">∩ </w:t>
      </w:r>
      <w:r>
        <w:rPr>
          <w:rFonts w:ascii="MathJax_Math" w:eastAsia="Times New Roman" w:hAnsi="MathJax_Math" w:cs="Times New Roman"/>
          <w:b/>
          <w:i/>
          <w:iCs/>
          <w:color w:val="333333"/>
          <w:sz w:val="15"/>
          <w:szCs w:val="15"/>
        </w:rPr>
        <w:t xml:space="preserve">B </w:t>
      </w:r>
      <w:r>
        <w:rPr>
          <w:rFonts w:ascii="MathJax_Math" w:eastAsia="Times New Roman" w:hAnsi="MathJax_Math" w:cs="Times New Roman"/>
          <w:b/>
          <w:i/>
          <w:iCs/>
          <w:color w:val="333333"/>
          <w:sz w:val="12"/>
          <w:szCs w:val="12"/>
          <w:vertAlign w:val="superscript"/>
        </w:rPr>
        <w:t>c</w:t>
      </w:r>
      <w:r>
        <w:rPr>
          <w:rFonts w:ascii="MathJax_Main" w:eastAsia="Times New Roman" w:hAnsi="MathJax_Main" w:cs="Times New Roman"/>
          <w:b/>
          <w:color w:val="333333"/>
          <w:sz w:val="15"/>
          <w:szCs w:val="15"/>
        </w:rPr>
        <w:t xml:space="preserve">∩ </w:t>
      </w:r>
      <w:r>
        <w:rPr>
          <w:rFonts w:ascii="MathJax_Math" w:eastAsia="Times New Roman" w:hAnsi="MathJax_Math" w:cs="Times New Roman"/>
          <w:b/>
          <w:i/>
          <w:iCs/>
          <w:color w:val="333333"/>
          <w:sz w:val="15"/>
          <w:szCs w:val="15"/>
        </w:rPr>
        <w:t>C</w:t>
      </w:r>
      <w:r>
        <w:rPr>
          <w:rFonts w:ascii="MathJax_Math" w:eastAsia="Times New Roman" w:hAnsi="MathJax_Math" w:cs="Times New Roman"/>
          <w:b/>
          <w:i/>
          <w:iCs/>
          <w:color w:val="333333"/>
          <w:sz w:val="12"/>
          <w:szCs w:val="12"/>
          <w:vertAlign w:val="superscript"/>
        </w:rPr>
        <w:t>c</w:t>
      </w:r>
      <w:r>
        <w:rPr>
          <w:rFonts w:ascii="MathJax_Size1" w:eastAsia="Times New Roman" w:hAnsi="MathJax_Size1" w:cs="Times New Roman"/>
          <w:b/>
          <w:color w:val="333333"/>
          <w:sz w:val="15"/>
          <w:szCs w:val="15"/>
        </w:rPr>
        <w:t>)</w:t>
      </w:r>
    </w:p>
    <w:p w:rsidR="00AD77BB" w:rsidRDefault="00B45BA0">
      <w:pPr>
        <w:numPr>
          <w:ilvl w:val="0"/>
          <w:numId w:val="83"/>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Suppose for events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C</w:t>
      </w:r>
      <w:r>
        <w:rPr>
          <w:rFonts w:ascii="Calibri" w:eastAsia="Times New Roman" w:hAnsi="Calibri" w:cs="Times New Roman"/>
          <w:color w:val="333333"/>
          <w:sz w:val="20"/>
          <w:szCs w:val="20"/>
        </w:rPr>
        <w:t> connected to some random experiment,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C</w:t>
      </w:r>
      <w:r>
        <w:rPr>
          <w:rFonts w:ascii="Calibri" w:eastAsia="Times New Roman" w:hAnsi="Calibri" w:cs="Times New Roman"/>
          <w:color w:val="333333"/>
          <w:sz w:val="20"/>
          <w:szCs w:val="20"/>
        </w:rPr>
        <w:t> are independent and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5"/>
          <w:szCs w:val="15"/>
        </w:rPr>
        <w:t>)=0.95</w:t>
      </w:r>
      <w:r>
        <w:rPr>
          <w:rFonts w:ascii="Calibri" w:eastAsia="Times New Roman" w:hAnsi="Calibri" w:cs="Times New Roman"/>
          <w:b/>
          <w:color w:val="333333"/>
          <w:sz w:val="20"/>
          <w:szCs w:val="20"/>
        </w:rPr>
        <w: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)=0.73</w:t>
      </w:r>
      <w:r>
        <w:rPr>
          <w:rFonts w:ascii="Calibri" w:eastAsia="Times New Roman" w:hAnsi="Calibri" w:cs="Times New Roman"/>
          <w:color w:val="333333"/>
          <w:sz w:val="20"/>
          <w:szCs w:val="20"/>
        </w:rPr>
        <w:t>, and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C</w:t>
      </w:r>
      <w:r>
        <w:rPr>
          <w:rFonts w:ascii="MathJax_Main" w:eastAsia="Times New Roman" w:hAnsi="MathJax_Main" w:cs="Times New Roman"/>
          <w:b/>
          <w:color w:val="333333"/>
          <w:sz w:val="15"/>
          <w:szCs w:val="15"/>
        </w:rPr>
        <w:t>)=0.62</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Compute the indicated probability, or explain why there is not enough information to do so.</w:t>
      </w:r>
    </w:p>
    <w:p w:rsidR="00AD77BB" w:rsidRDefault="00B45BA0">
      <w:pPr>
        <w:numPr>
          <w:ilvl w:val="1"/>
          <w:numId w:val="83"/>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 xml:space="preserve">A </w:t>
      </w:r>
      <w:r>
        <w:rPr>
          <w:rFonts w:ascii="MathJax_Main" w:eastAsia="Times New Roman" w:hAnsi="MathJax_Main" w:cs="Times New Roman"/>
          <w:b/>
          <w:color w:val="333333"/>
          <w:sz w:val="15"/>
          <w:szCs w:val="15"/>
        </w:rPr>
        <w:t xml:space="preserve">∩ </w:t>
      </w:r>
      <w:r>
        <w:rPr>
          <w:rFonts w:ascii="MathJax_Math" w:eastAsia="Times New Roman" w:hAnsi="MathJax_Math" w:cs="Times New Roman"/>
          <w:b/>
          <w:i/>
          <w:iCs/>
          <w:color w:val="333333"/>
          <w:sz w:val="15"/>
          <w:szCs w:val="15"/>
        </w:rPr>
        <w:t xml:space="preserve">B </w:t>
      </w:r>
      <w:r>
        <w:rPr>
          <w:rFonts w:ascii="MathJax_Main" w:eastAsia="Times New Roman" w:hAnsi="MathJax_Main" w:cs="Times New Roman"/>
          <w:b/>
          <w:color w:val="333333"/>
          <w:sz w:val="15"/>
          <w:szCs w:val="15"/>
        </w:rPr>
        <w:t xml:space="preserve">∩ </w:t>
      </w:r>
      <w:r>
        <w:rPr>
          <w:rFonts w:ascii="MathJax_Math" w:eastAsia="Times New Roman" w:hAnsi="MathJax_Math" w:cs="Times New Roman"/>
          <w:b/>
          <w:i/>
          <w:iCs/>
          <w:color w:val="333333"/>
          <w:sz w:val="15"/>
          <w:szCs w:val="15"/>
        </w:rPr>
        <w:t>C</w:t>
      </w:r>
      <w:r>
        <w:rPr>
          <w:rFonts w:ascii="MathJax_Main" w:eastAsia="Times New Roman" w:hAnsi="MathJax_Main" w:cs="Times New Roman"/>
          <w:b/>
          <w:color w:val="333333"/>
          <w:sz w:val="15"/>
          <w:szCs w:val="15"/>
        </w:rPr>
        <w:t>)</w:t>
      </w:r>
    </w:p>
    <w:p w:rsidR="00AD77BB" w:rsidRDefault="00B45BA0">
      <w:pPr>
        <w:numPr>
          <w:ilvl w:val="1"/>
          <w:numId w:val="83"/>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Size1" w:eastAsia="Times New Roman" w:hAnsi="MathJax_Size1" w:cs="Times New Roman"/>
          <w:b/>
          <w:color w:val="333333"/>
          <w:sz w:val="15"/>
          <w:szCs w:val="15"/>
        </w:rPr>
        <w:t>(</w:t>
      </w:r>
      <w:r>
        <w:rPr>
          <w:rFonts w:ascii="MathJax_Math" w:eastAsia="Times New Roman" w:hAnsi="MathJax_Math" w:cs="Times New Roman"/>
          <w:b/>
          <w:i/>
          <w:iCs/>
          <w:color w:val="333333"/>
          <w:sz w:val="15"/>
          <w:szCs w:val="15"/>
        </w:rPr>
        <w:t>A</w:t>
      </w:r>
      <w:r>
        <w:rPr>
          <w:rFonts w:ascii="MathJax_Math" w:eastAsia="Times New Roman" w:hAnsi="MathJax_Math" w:cs="Times New Roman"/>
          <w:b/>
          <w:i/>
          <w:iCs/>
          <w:color w:val="333333"/>
          <w:sz w:val="12"/>
          <w:szCs w:val="12"/>
          <w:vertAlign w:val="superscript"/>
        </w:rPr>
        <w:t>c</w:t>
      </w:r>
      <w:r>
        <w:rPr>
          <w:rFonts w:ascii="MathJax_Math" w:eastAsia="Times New Roman" w:hAnsi="MathJax_Math" w:cs="Times New Roman"/>
          <w:b/>
          <w:i/>
          <w:iCs/>
          <w:color w:val="333333"/>
          <w:sz w:val="12"/>
          <w:szCs w:val="12"/>
        </w:rPr>
        <w:t xml:space="preserve"> </w:t>
      </w:r>
      <w:r>
        <w:rPr>
          <w:rFonts w:ascii="MathJax_Main" w:eastAsia="Times New Roman" w:hAnsi="MathJax_Main" w:cs="Times New Roman"/>
          <w:b/>
          <w:color w:val="333333"/>
          <w:sz w:val="15"/>
          <w:szCs w:val="15"/>
        </w:rPr>
        <w:t xml:space="preserve">∩ </w:t>
      </w:r>
      <w:r>
        <w:rPr>
          <w:rFonts w:ascii="MathJax_Math" w:eastAsia="Times New Roman" w:hAnsi="MathJax_Math" w:cs="Times New Roman"/>
          <w:b/>
          <w:i/>
          <w:iCs/>
          <w:color w:val="333333"/>
          <w:sz w:val="15"/>
          <w:szCs w:val="15"/>
        </w:rPr>
        <w:t>B</w:t>
      </w:r>
      <w:r>
        <w:rPr>
          <w:rFonts w:ascii="MathJax_Math" w:eastAsia="Times New Roman" w:hAnsi="MathJax_Math" w:cs="Times New Roman"/>
          <w:b/>
          <w:i/>
          <w:iCs/>
          <w:color w:val="333333"/>
          <w:sz w:val="12"/>
          <w:szCs w:val="12"/>
          <w:vertAlign w:val="superscript"/>
        </w:rPr>
        <w:t>c</w:t>
      </w:r>
      <w:r>
        <w:rPr>
          <w:rFonts w:ascii="MathJax_Math" w:eastAsia="Times New Roman" w:hAnsi="MathJax_Math" w:cs="Times New Roman"/>
          <w:b/>
          <w:i/>
          <w:iCs/>
          <w:color w:val="333333"/>
          <w:sz w:val="12"/>
          <w:szCs w:val="12"/>
        </w:rPr>
        <w:t xml:space="preserve"> </w:t>
      </w:r>
      <w:r>
        <w:rPr>
          <w:rFonts w:ascii="MathJax_Main" w:eastAsia="Times New Roman" w:hAnsi="MathJax_Main" w:cs="Times New Roman"/>
          <w:b/>
          <w:color w:val="333333"/>
          <w:sz w:val="15"/>
          <w:szCs w:val="15"/>
        </w:rPr>
        <w:t xml:space="preserve">∩ </w:t>
      </w:r>
      <w:r>
        <w:rPr>
          <w:rFonts w:ascii="MathJax_Math" w:eastAsia="Times New Roman" w:hAnsi="MathJax_Math" w:cs="Times New Roman"/>
          <w:b/>
          <w:i/>
          <w:iCs/>
          <w:color w:val="333333"/>
          <w:sz w:val="15"/>
          <w:szCs w:val="15"/>
        </w:rPr>
        <w:t>C</w:t>
      </w:r>
      <w:r>
        <w:rPr>
          <w:rFonts w:ascii="MathJax_Math" w:eastAsia="Times New Roman" w:hAnsi="MathJax_Math" w:cs="Times New Roman"/>
          <w:b/>
          <w:i/>
          <w:iCs/>
          <w:color w:val="333333"/>
          <w:sz w:val="12"/>
          <w:szCs w:val="12"/>
          <w:vertAlign w:val="superscript"/>
        </w:rPr>
        <w:t>c</w:t>
      </w:r>
      <w:r>
        <w:rPr>
          <w:rFonts w:ascii="MathJax_Size1" w:eastAsia="Times New Roman" w:hAnsi="MathJax_Size1" w:cs="Times New Roman"/>
          <w:b/>
          <w:color w:val="333333"/>
          <w:sz w:val="15"/>
          <w:szCs w:val="15"/>
        </w:rPr>
        <w:t>)</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APPLICATIONS</w:t>
      </w:r>
    </w:p>
    <w:p w:rsidR="00AD77BB" w:rsidRDefault="00B45BA0">
      <w:pPr>
        <w:numPr>
          <w:ilvl w:val="0"/>
          <w:numId w:val="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sample space that describes all three-child families according to the genders of the children with respect to birth order is</w:t>
      </w:r>
    </w:p>
    <w:p w:rsidR="00AD77BB" w:rsidRDefault="00B45BA0">
      <w:pPr>
        <w:shd w:val="clear" w:color="auto" w:fill="DAEEF3" w:themeFill="accent5" w:themeFillTint="33"/>
        <w:spacing w:after="0" w:line="360" w:lineRule="auto"/>
        <w:ind w:left="450"/>
        <w:jc w:val="center"/>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S</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bbb</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bbg</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bgb</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bgg</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gbb</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gbg</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ggb</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ggg</w:t>
      </w:r>
      <w:r>
        <w:rPr>
          <w:rFonts w:ascii="MathJax_Main" w:eastAsia="Times New Roman" w:hAnsi="MathJax_Main" w:cs="Times New Roman"/>
          <w:b/>
          <w:color w:val="333333"/>
          <w:sz w:val="15"/>
          <w:szCs w:val="15"/>
        </w:rPr>
        <w:t>}</w:t>
      </w:r>
    </w:p>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the experiment of selecting a three-child family at random, compute each of the following probabilities, assuming all outcomes are equally likely.</w:t>
      </w:r>
    </w:p>
    <w:p w:rsidR="00AD77BB" w:rsidRDefault="00B45BA0">
      <w:pPr>
        <w:numPr>
          <w:ilvl w:val="1"/>
          <w:numId w:val="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probability that the family has at least two boys.</w:t>
      </w:r>
    </w:p>
    <w:p w:rsidR="00AD77BB" w:rsidRDefault="00B45BA0">
      <w:pPr>
        <w:numPr>
          <w:ilvl w:val="1"/>
          <w:numId w:val="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probability that the family has at least two boys, given that not all of the children are girls.</w:t>
      </w:r>
    </w:p>
    <w:p w:rsidR="00AD77BB" w:rsidRDefault="00B45BA0">
      <w:pPr>
        <w:numPr>
          <w:ilvl w:val="1"/>
          <w:numId w:val="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probability that at least one child is a boy.</w:t>
      </w:r>
    </w:p>
    <w:p w:rsidR="00AD77BB" w:rsidRDefault="00B45BA0">
      <w:pPr>
        <w:numPr>
          <w:ilvl w:val="1"/>
          <w:numId w:val="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probability that at least one child is a boy, given that the first born is a girl.</w:t>
      </w:r>
    </w:p>
    <w:p w:rsidR="00AD77BB" w:rsidRDefault="00B45BA0">
      <w:pPr>
        <w:numPr>
          <w:ilvl w:val="0"/>
          <w:numId w:val="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following two-way contingency table gives the breakdown of the population in a particular locale according to age and number of vehicular moving violations in the past three years:</w:t>
      </w:r>
    </w:p>
    <w:tbl>
      <w:tblPr>
        <w:tblW w:w="0" w:type="auto"/>
        <w:tblInd w:w="450" w:type="dxa"/>
        <w:tblCellMar>
          <w:left w:w="0" w:type="dxa"/>
          <w:right w:w="0" w:type="dxa"/>
        </w:tblCellMar>
        <w:tblLook w:val="04A0" w:firstRow="1" w:lastRow="0" w:firstColumn="1" w:lastColumn="0" w:noHBand="0" w:noVBand="1"/>
      </w:tblPr>
      <w:tblGrid>
        <w:gridCol w:w="1050"/>
        <w:gridCol w:w="570"/>
        <w:gridCol w:w="570"/>
        <w:gridCol w:w="570"/>
      </w:tblGrid>
      <w:tr w:rsidR="00AD77BB">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Age</w:t>
            </w: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Violations</w:t>
            </w:r>
          </w:p>
        </w:tc>
      </w:tr>
      <w:tr w:rsidR="00AD77BB">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Under 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41–60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w:t>
            </w:r>
          </w:p>
        </w:tc>
      </w:tr>
    </w:tbl>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person is selected at random. Find the following probabilities.</w:t>
      </w:r>
    </w:p>
    <w:p w:rsidR="00AD77BB" w:rsidRDefault="00B45BA0">
      <w:pPr>
        <w:numPr>
          <w:ilvl w:val="1"/>
          <w:numId w:val="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is under 21.</w:t>
      </w:r>
    </w:p>
    <w:p w:rsidR="00AD77BB" w:rsidRDefault="00B45BA0">
      <w:pPr>
        <w:numPr>
          <w:ilvl w:val="1"/>
          <w:numId w:val="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has had at least two violations in the past three years.</w:t>
      </w:r>
    </w:p>
    <w:p w:rsidR="00AD77BB" w:rsidRDefault="00B45BA0">
      <w:pPr>
        <w:numPr>
          <w:ilvl w:val="1"/>
          <w:numId w:val="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The person has had at least two violations in the past three years, given that he is under 21.</w:t>
      </w:r>
    </w:p>
    <w:p w:rsidR="00AD77BB" w:rsidRDefault="00B45BA0">
      <w:pPr>
        <w:numPr>
          <w:ilvl w:val="1"/>
          <w:numId w:val="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is under 21, given that he has had at least two violations in the past three years.</w:t>
      </w:r>
    </w:p>
    <w:p w:rsidR="00AD77BB" w:rsidRDefault="00B45BA0">
      <w:pPr>
        <w:numPr>
          <w:ilvl w:val="1"/>
          <w:numId w:val="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Determine whether the events “the person is under 21” and “the person has had at least two violations in the past three years” are independent or not.</w:t>
      </w:r>
    </w:p>
    <w:p w:rsidR="00AD77BB" w:rsidRDefault="00B45BA0">
      <w:pPr>
        <w:numPr>
          <w:ilvl w:val="0"/>
          <w:numId w:val="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following two-way contingency table gives the breakdown of the population in a particular locale according to party affiliation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C</w:t>
      </w:r>
      <w:r>
        <w:rPr>
          <w:rFonts w:ascii="Calibri" w:eastAsia="Times New Roman" w:hAnsi="Calibri" w:cs="Times New Roman"/>
          <w:color w:val="333333"/>
          <w:sz w:val="20"/>
          <w:szCs w:val="20"/>
        </w:rPr>
        <w:t>, or </w:t>
      </w:r>
      <w:r>
        <w:rPr>
          <w:rFonts w:ascii="Calibri" w:eastAsia="Times New Roman" w:hAnsi="Calibri" w:cs="Times New Roman"/>
          <w:i/>
          <w:iCs/>
          <w:color w:val="333333"/>
          <w:sz w:val="20"/>
          <w:szCs w:val="20"/>
        </w:rPr>
        <w:t>None</w:t>
      </w:r>
      <w:r>
        <w:rPr>
          <w:rFonts w:ascii="Calibri" w:eastAsia="Times New Roman" w:hAnsi="Calibri" w:cs="Times New Roman"/>
          <w:color w:val="333333"/>
          <w:sz w:val="20"/>
          <w:szCs w:val="20"/>
        </w:rPr>
        <w:t>) and opinion on a bond issue:</w:t>
      </w:r>
    </w:p>
    <w:p w:rsidR="00AD77BB" w:rsidRDefault="00AD77BB">
      <w:p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p>
    <w:tbl>
      <w:tblPr>
        <w:tblW w:w="0" w:type="auto"/>
        <w:tblInd w:w="450" w:type="dxa"/>
        <w:tblCellMar>
          <w:left w:w="0" w:type="dxa"/>
          <w:right w:w="0" w:type="dxa"/>
        </w:tblCellMar>
        <w:tblLook w:val="04A0" w:firstRow="1" w:lastRow="0" w:firstColumn="1" w:lastColumn="0" w:noHBand="0" w:noVBand="1"/>
      </w:tblPr>
      <w:tblGrid>
        <w:gridCol w:w="1204"/>
        <w:gridCol w:w="857"/>
        <w:gridCol w:w="1017"/>
        <w:gridCol w:w="1244"/>
      </w:tblGrid>
      <w:tr w:rsidR="00AD77BB">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Affiliation</w:t>
            </w: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Opinion</w:t>
            </w:r>
          </w:p>
        </w:tc>
      </w:tr>
      <w:tr w:rsidR="00AD77BB">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Favors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Opposes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Undecided</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i/>
                <w:iCs/>
                <w:sz w:val="24"/>
                <w:szCs w:val="24"/>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0.07</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i/>
                <w:iCs/>
                <w:sz w:val="24"/>
                <w:szCs w:val="24"/>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0.14</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i/>
                <w:iCs/>
                <w:sz w:val="24"/>
                <w:szCs w:val="24"/>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0.06</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i/>
                <w:iCs/>
                <w:sz w:val="24"/>
                <w:szCs w:val="24"/>
              </w:rPr>
              <w:t>None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0.03</w:t>
            </w:r>
          </w:p>
        </w:tc>
      </w:tr>
    </w:tbl>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person is selected at random. Find each of the following probabilities.</w:t>
      </w:r>
    </w:p>
    <w:p w:rsidR="00AD77BB" w:rsidRDefault="00B45BA0">
      <w:pPr>
        <w:numPr>
          <w:ilvl w:val="1"/>
          <w:numId w:val="8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is in favor of the bond issue.</w:t>
      </w:r>
    </w:p>
    <w:p w:rsidR="00AD77BB" w:rsidRDefault="00B45BA0">
      <w:pPr>
        <w:numPr>
          <w:ilvl w:val="1"/>
          <w:numId w:val="8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is in favor of the bond issue, given that he is affiliated with party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w:t>
      </w:r>
    </w:p>
    <w:p w:rsidR="00AD77BB" w:rsidRDefault="00B45BA0">
      <w:pPr>
        <w:numPr>
          <w:ilvl w:val="1"/>
          <w:numId w:val="8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is in favor of the bond issue, given that he is affiliated with party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w:t>
      </w:r>
    </w:p>
    <w:p w:rsidR="00AD77BB" w:rsidRDefault="00B45BA0">
      <w:pPr>
        <w:numPr>
          <w:ilvl w:val="0"/>
          <w:numId w:val="8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following two-way contingency table gives the breakdown of the population of patrons at a grocery store according to the number of items purchased and whether or not the patron made an impulse purchase at the checkout counter:</w:t>
      </w:r>
    </w:p>
    <w:tbl>
      <w:tblPr>
        <w:tblW w:w="0" w:type="auto"/>
        <w:tblInd w:w="450" w:type="dxa"/>
        <w:tblCellMar>
          <w:left w:w="0" w:type="dxa"/>
          <w:right w:w="0" w:type="dxa"/>
        </w:tblCellMar>
        <w:tblLook w:val="04A0" w:firstRow="1" w:lastRow="0" w:firstColumn="1" w:lastColumn="0" w:noHBand="0" w:noVBand="1"/>
      </w:tblPr>
      <w:tblGrid>
        <w:gridCol w:w="1897"/>
        <w:gridCol w:w="767"/>
        <w:gridCol w:w="1217"/>
      </w:tblGrid>
      <w:tr w:rsidR="00AD77BB">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Number of Items</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Impulse Purchase</w:t>
            </w:r>
          </w:p>
        </w:tc>
      </w:tr>
      <w:tr w:rsidR="00AD77BB">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Made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Not Made</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Few</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0.19</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0.76</w:t>
            </w:r>
          </w:p>
        </w:tc>
      </w:tr>
    </w:tbl>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patron is selected at random. Find each of the following probabilities.</w:t>
      </w:r>
    </w:p>
    <w:p w:rsidR="00AD77BB" w:rsidRDefault="00B45BA0">
      <w:pPr>
        <w:numPr>
          <w:ilvl w:val="1"/>
          <w:numId w:val="8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patron made an impulse purchase.</w:t>
      </w:r>
    </w:p>
    <w:p w:rsidR="00AD77BB" w:rsidRDefault="00B45BA0">
      <w:pPr>
        <w:numPr>
          <w:ilvl w:val="1"/>
          <w:numId w:val="8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patron made an impulse purchase, given that the total number of items purchased was many.</w:t>
      </w:r>
    </w:p>
    <w:p w:rsidR="00AD77BB" w:rsidRDefault="00B45BA0">
      <w:pPr>
        <w:numPr>
          <w:ilvl w:val="1"/>
          <w:numId w:val="8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Determine whether or not the events “few purchases” and “made an impulse purchase at the checkout counter” are independent.</w:t>
      </w:r>
    </w:p>
    <w:p w:rsidR="00AD77BB" w:rsidRDefault="00B45BA0">
      <w:pPr>
        <w:numPr>
          <w:ilvl w:val="0"/>
          <w:numId w:val="8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following two-way contingency table gives the breakdown of the population of adults in a particular locale according to employment type and level of life insurance:</w:t>
      </w:r>
    </w:p>
    <w:tbl>
      <w:tblPr>
        <w:tblW w:w="0" w:type="auto"/>
        <w:tblInd w:w="450" w:type="dxa"/>
        <w:tblCellMar>
          <w:left w:w="0" w:type="dxa"/>
          <w:right w:w="0" w:type="dxa"/>
        </w:tblCellMar>
        <w:tblLook w:val="04A0" w:firstRow="1" w:lastRow="0" w:firstColumn="1" w:lastColumn="0" w:noHBand="0" w:noVBand="1"/>
      </w:tblPr>
      <w:tblGrid>
        <w:gridCol w:w="2051"/>
        <w:gridCol w:w="604"/>
        <w:gridCol w:w="1017"/>
        <w:gridCol w:w="657"/>
      </w:tblGrid>
      <w:tr w:rsidR="00AD77BB">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Employment Type</w:t>
            </w: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Level of Insurance</w:t>
            </w:r>
          </w:p>
        </w:tc>
      </w:tr>
      <w:tr w:rsidR="00AD77BB">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Low</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Medium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High</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Unskilled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Semi-skilled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0.08</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Skilled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Professional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0.02</w:t>
            </w:r>
          </w:p>
        </w:tc>
      </w:tr>
    </w:tbl>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adult is selected at random. Find each of the following probabilities.</w:t>
      </w:r>
    </w:p>
    <w:p w:rsidR="00AD77BB" w:rsidRDefault="00B45BA0">
      <w:pPr>
        <w:numPr>
          <w:ilvl w:val="1"/>
          <w:numId w:val="8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has a high level of life insurance.</w:t>
      </w:r>
    </w:p>
    <w:p w:rsidR="00AD77BB" w:rsidRDefault="00B45BA0">
      <w:pPr>
        <w:numPr>
          <w:ilvl w:val="1"/>
          <w:numId w:val="8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has a high level of life insurance, given that he does not have a professional position.</w:t>
      </w:r>
    </w:p>
    <w:p w:rsidR="00AD77BB" w:rsidRDefault="00B45BA0">
      <w:pPr>
        <w:numPr>
          <w:ilvl w:val="1"/>
          <w:numId w:val="8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person has a high level of life insurance, given that he has a professional position.</w:t>
      </w:r>
    </w:p>
    <w:p w:rsidR="00AD77BB" w:rsidRDefault="00B45BA0">
      <w:pPr>
        <w:numPr>
          <w:ilvl w:val="1"/>
          <w:numId w:val="8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Determine whether or not the events “has a high level of life insurance” and “has a professional position” are independent.</w:t>
      </w:r>
    </w:p>
    <w:p w:rsidR="00AD77BB" w:rsidRDefault="00AD77BB">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p>
    <w:p w:rsidR="00AD77BB" w:rsidRDefault="00B45BA0">
      <w:pPr>
        <w:pStyle w:val="para"/>
        <w:shd w:val="clear" w:color="auto" w:fill="FFFFFF" w:themeFill="background1"/>
        <w:spacing w:before="0" w:beforeAutospacing="0" w:after="0" w:afterAutospacing="0" w:line="360" w:lineRule="auto"/>
        <w:ind w:left="446"/>
        <w:textAlignment w:val="baseline"/>
      </w:pPr>
      <w:r>
        <w:rPr>
          <w:noProof/>
        </w:rPr>
        <w:lastRenderedPageBreak/>
        <w:drawing>
          <wp:inline distT="0" distB="0" distL="0" distR="0" wp14:anchorId="09A11490" wp14:editId="039E9EAD">
            <wp:extent cx="5591175" cy="5305425"/>
            <wp:effectExtent l="0" t="0" r="9525" b="9525"/>
            <wp:docPr id="106"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91175" cy="5305425"/>
                    </a:xfrm>
                    <a:prstGeom prst="rect">
                      <a:avLst/>
                    </a:prstGeom>
                    <a:noFill/>
                    <a:ln>
                      <a:noFill/>
                    </a:ln>
                  </pic:spPr>
                </pic:pic>
              </a:graphicData>
            </a:graphic>
          </wp:inline>
        </w:drawing>
      </w:r>
    </w:p>
    <w:p w:rsidR="00AD77BB" w:rsidRDefault="00B45BA0">
      <w:pPr>
        <w:pStyle w:val="ListParagraph"/>
        <w:numPr>
          <w:ilvl w:val="0"/>
          <w:numId w:val="8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A man has two lights in his well house to keep the pipes from freezing in winter. He checks the lights daily. Each light has probability 0.002 of burning out before it is checked the next day (independently of the other light).</w:t>
      </w:r>
    </w:p>
    <w:p w:rsidR="00AD77BB" w:rsidRDefault="00AD77BB">
      <w:pPr>
        <w:pStyle w:val="ListParagraph"/>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p>
    <w:p w:rsidR="00AD77BB" w:rsidRDefault="00B45BA0">
      <w:pPr>
        <w:pStyle w:val="ListParagraph"/>
        <w:numPr>
          <w:ilvl w:val="1"/>
          <w:numId w:val="8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 the lights are wired in parallel one will continue to shine even if the other burns out. In this situation, compute the probability that at least one light will continue to shine for the full 24 hours. Note the greatly increased reliability of the system of two bulbs over that of a single bulb.</w:t>
      </w:r>
    </w:p>
    <w:p w:rsidR="00AD77BB" w:rsidRDefault="00B45BA0">
      <w:pPr>
        <w:pStyle w:val="ListParagraph"/>
        <w:numPr>
          <w:ilvl w:val="1"/>
          <w:numId w:val="8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 the lights are wired in series neither one will continue to shine even if only one of them burns out. In this situation, compute the probability that at least one light will continue to shine for the full 24 hours. Note the slightly decreased reliability of the system of two bulbs over that of a single bulb.</w:t>
      </w:r>
    </w:p>
    <w:p w:rsidR="00AD77BB" w:rsidRDefault="00B45BA0">
      <w:pPr>
        <w:numPr>
          <w:ilvl w:val="0"/>
          <w:numId w:val="88"/>
        </w:numPr>
        <w:shd w:val="clear" w:color="auto" w:fill="DAEEF3" w:themeFill="accent5" w:themeFillTint="33"/>
        <w:spacing w:after="0" w:line="360" w:lineRule="auto"/>
        <w:contextualSpacing/>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An accountant has observed that 5% of all copies of a particular two-part form have an error in Part I, and 2% have an error in Part II. If the errors occur independently, find the probability that a randomly selected form will be error-free.</w:t>
      </w:r>
    </w:p>
    <w:p w:rsidR="00AD77BB" w:rsidRDefault="00AD77BB">
      <w:pPr>
        <w:shd w:val="clear" w:color="auto" w:fill="DAEEF3" w:themeFill="accent5" w:themeFillTint="33"/>
        <w:spacing w:after="0" w:line="360" w:lineRule="auto"/>
        <w:ind w:left="720"/>
        <w:contextualSpacing/>
        <w:textAlignment w:val="baseline"/>
        <w:rPr>
          <w:rFonts w:ascii="Calibri" w:eastAsia="Times New Roman" w:hAnsi="Calibri" w:cs="Times New Roman"/>
          <w:color w:val="333333"/>
          <w:sz w:val="20"/>
          <w:szCs w:val="20"/>
        </w:rPr>
      </w:pPr>
    </w:p>
    <w:p w:rsidR="00AD77BB" w:rsidRDefault="00B45BA0">
      <w:pPr>
        <w:numPr>
          <w:ilvl w:val="0"/>
          <w:numId w:val="88"/>
        </w:numPr>
        <w:shd w:val="clear" w:color="auto" w:fill="DAEEF3" w:themeFill="accent5" w:themeFillTint="33"/>
        <w:spacing w:after="0" w:line="360" w:lineRule="auto"/>
        <w:ind w:left="446"/>
        <w:contextualSpacing/>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box contains 20 screws which are identical in size, but 12 of which are zinc coated and 8 of which are not. Two screws are selected at random, without replacement.</w:t>
      </w:r>
    </w:p>
    <w:p w:rsidR="00AD77BB" w:rsidRDefault="00AD77BB">
      <w:pPr>
        <w:shd w:val="clear" w:color="auto" w:fill="DAEEF3" w:themeFill="accent5" w:themeFillTint="33"/>
        <w:spacing w:after="0" w:line="360" w:lineRule="auto"/>
        <w:contextualSpacing/>
        <w:textAlignment w:val="baseline"/>
        <w:rPr>
          <w:rFonts w:ascii="Calibri" w:eastAsia="Times New Roman" w:hAnsi="Calibri" w:cs="Times New Roman"/>
          <w:color w:val="333333"/>
          <w:sz w:val="20"/>
          <w:szCs w:val="20"/>
        </w:rPr>
      </w:pPr>
    </w:p>
    <w:p w:rsidR="00AD77BB" w:rsidRDefault="00B45BA0">
      <w:pPr>
        <w:numPr>
          <w:ilvl w:val="1"/>
          <w:numId w:val="88"/>
        </w:numPr>
        <w:shd w:val="clear" w:color="auto" w:fill="DAEEF3" w:themeFill="accent5" w:themeFillTint="33"/>
        <w:spacing w:after="0" w:line="360" w:lineRule="auto"/>
        <w:contextualSpacing/>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both are zinc coated.</w:t>
      </w:r>
    </w:p>
    <w:p w:rsidR="00AD77BB" w:rsidRDefault="00B45BA0">
      <w:pPr>
        <w:numPr>
          <w:ilvl w:val="1"/>
          <w:numId w:val="88"/>
        </w:numPr>
        <w:shd w:val="clear" w:color="auto" w:fill="DAEEF3" w:themeFill="accent5" w:themeFillTint="33"/>
        <w:spacing w:after="0" w:line="360" w:lineRule="auto"/>
        <w:contextualSpacing/>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at least one is zinc coated.</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ADDITIONAL EXERCISES</w:t>
      </w:r>
    </w:p>
    <w:p w:rsidR="00AD77BB" w:rsidRDefault="00B45BA0">
      <w:pPr>
        <w:numPr>
          <w:ilvl w:val="0"/>
          <w:numId w:val="89"/>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Events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are mutually exclusive. Find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w:t>
      </w:r>
    </w:p>
    <w:p w:rsidR="00AD77BB" w:rsidRDefault="00B45BA0">
      <w:pPr>
        <w:numPr>
          <w:ilvl w:val="0"/>
          <w:numId w:val="89"/>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city council of a particular city is composed of five members of party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four members of party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and three independents. Two council members are randomly selected to form an investigative committee.</w:t>
      </w:r>
    </w:p>
    <w:p w:rsidR="00AD77BB" w:rsidRDefault="00B45BA0">
      <w:pPr>
        <w:numPr>
          <w:ilvl w:val="1"/>
          <w:numId w:val="8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both are from party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w:t>
      </w:r>
    </w:p>
    <w:p w:rsidR="00AD77BB" w:rsidRDefault="00B45BA0">
      <w:pPr>
        <w:numPr>
          <w:ilvl w:val="1"/>
          <w:numId w:val="8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at least one is an independent.</w:t>
      </w:r>
    </w:p>
    <w:p w:rsidR="00AD77BB" w:rsidRDefault="00B45BA0">
      <w:pPr>
        <w:numPr>
          <w:ilvl w:val="1"/>
          <w:numId w:val="8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the two have different party affiliations (that is, not both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not both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and not both independent).</w:t>
      </w:r>
    </w:p>
    <w:p w:rsidR="00AD77BB" w:rsidRDefault="00AD77BB">
      <w:pPr>
        <w:shd w:val="clear" w:color="auto" w:fill="DAEEF3" w:themeFill="accent5" w:themeFillTint="33"/>
        <w:spacing w:after="0" w:line="360" w:lineRule="auto"/>
        <w:ind w:left="720"/>
        <w:textAlignment w:val="baseline"/>
        <w:rPr>
          <w:rFonts w:ascii="Calibri" w:eastAsia="Times New Roman" w:hAnsi="Calibri" w:cs="Times New Roman"/>
          <w:color w:val="333333"/>
          <w:sz w:val="20"/>
          <w:szCs w:val="20"/>
        </w:rPr>
      </w:pPr>
    </w:p>
    <w:p w:rsidR="00AD77BB" w:rsidRDefault="00B45BA0">
      <w:pPr>
        <w:numPr>
          <w:ilvl w:val="0"/>
          <w:numId w:val="89"/>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basketball player makes 60% of the free throws that he attempts, except that if he has just tried and missed a free throw then his chances of making a second one go down to only 30%. Suppose he has just been awarded two free throws.</w:t>
      </w:r>
    </w:p>
    <w:p w:rsidR="00AD77BB" w:rsidRDefault="00B45BA0">
      <w:pPr>
        <w:numPr>
          <w:ilvl w:val="1"/>
          <w:numId w:val="8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he makes both.</w:t>
      </w:r>
    </w:p>
    <w:p w:rsidR="00AD77BB" w:rsidRDefault="00B45BA0">
      <w:pPr>
        <w:numPr>
          <w:ilvl w:val="1"/>
          <w:numId w:val="8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he makes at least one. (A tree diagram could help.)</w:t>
      </w:r>
    </w:p>
    <w:p w:rsidR="00AD77BB" w:rsidRDefault="00AD77BB">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p>
    <w:p w:rsidR="00AD77BB" w:rsidRDefault="00B45BA0">
      <w:pPr>
        <w:numPr>
          <w:ilvl w:val="0"/>
          <w:numId w:val="89"/>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economist wishes to ascertain the proportion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of the population of individual taxpayers who have purposely submitted fraudulent information on an income tax return. To truly guarantee anonymity of the taxpayers in a random survey, taxpayers questioned are given the following instructions.</w:t>
      </w:r>
    </w:p>
    <w:p w:rsidR="00AD77BB" w:rsidRDefault="00B45BA0">
      <w:pPr>
        <w:numPr>
          <w:ilvl w:val="2"/>
          <w:numId w:val="9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Flip a coin.</w:t>
      </w:r>
    </w:p>
    <w:p w:rsidR="00AD77BB" w:rsidRDefault="00B45BA0">
      <w:pPr>
        <w:numPr>
          <w:ilvl w:val="2"/>
          <w:numId w:val="9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 the coin lands heads, answer “Yes” to the question “Have you ever submitted fraudulent information on a tax return?” even if you have not.</w:t>
      </w:r>
    </w:p>
    <w:p w:rsidR="00AD77BB" w:rsidRDefault="00B45BA0">
      <w:pPr>
        <w:numPr>
          <w:ilvl w:val="2"/>
          <w:numId w:val="9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 the coin lands tails, give a truthful “Yes” or “No” answer to the question “Have you ever submitted fraudulent information on a tax return?”</w:t>
      </w:r>
    </w:p>
    <w:p w:rsidR="00AD77BB" w:rsidRDefault="00AD77BB">
      <w:pPr>
        <w:shd w:val="clear" w:color="auto" w:fill="DAEEF3" w:themeFill="accent5" w:themeFillTint="33"/>
        <w:spacing w:after="0" w:line="360" w:lineRule="auto"/>
        <w:ind w:left="2160"/>
        <w:textAlignment w:val="baseline"/>
        <w:rPr>
          <w:rFonts w:ascii="Calibri" w:eastAsia="Times New Roman" w:hAnsi="Calibri" w:cs="Times New Roman"/>
          <w:color w:val="333333"/>
          <w:sz w:val="20"/>
          <w:szCs w:val="20"/>
        </w:rPr>
      </w:pPr>
    </w:p>
    <w:p w:rsidR="00AD77BB" w:rsidRDefault="00B45BA0">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questioner is not told how the coin landed, so he does not know if a “Yes” answer is the truth or is given only because of the coin toss.</w:t>
      </w:r>
    </w:p>
    <w:p w:rsidR="00AD77BB" w:rsidRDefault="00B45BA0">
      <w:pPr>
        <w:pStyle w:val="ListParagraph"/>
        <w:numPr>
          <w:ilvl w:val="1"/>
          <w:numId w:val="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 xml:space="preserve"> Using the Probability Rule for Complements and the independence of the coin toss and the taxpayers’ status fill in the empty cells in the two-way contingency table shown. Assume that the coin is fair. Each cell except the two in the bottom row will contain the unknown proportion (or probability)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w:t>
      </w:r>
    </w:p>
    <w:p w:rsidR="00AD77BB" w:rsidRDefault="00AD77BB">
      <w:pPr>
        <w:shd w:val="clear" w:color="auto" w:fill="E3EFF7"/>
        <w:spacing w:after="0" w:line="366" w:lineRule="atLeast"/>
        <w:ind w:left="720"/>
        <w:textAlignment w:val="baseline"/>
        <w:rPr>
          <w:rFonts w:ascii="Calibri" w:eastAsia="Times New Roman" w:hAnsi="Calibri" w:cs="Times New Roman"/>
          <w:color w:val="333333"/>
          <w:sz w:val="20"/>
          <w:szCs w:val="20"/>
        </w:rPr>
      </w:pPr>
    </w:p>
    <w:tbl>
      <w:tblPr>
        <w:tblW w:w="0" w:type="auto"/>
        <w:tblCellMar>
          <w:left w:w="0" w:type="dxa"/>
          <w:right w:w="0" w:type="dxa"/>
        </w:tblCellMar>
        <w:tblLook w:val="04A0" w:firstRow="1" w:lastRow="0" w:firstColumn="1" w:lastColumn="0" w:noHBand="0" w:noVBand="1"/>
      </w:tblPr>
      <w:tblGrid>
        <w:gridCol w:w="1217"/>
        <w:gridCol w:w="337"/>
        <w:gridCol w:w="311"/>
        <w:gridCol w:w="1311"/>
      </w:tblGrid>
      <w:tr w:rsidR="00AD77BB">
        <w:trPr>
          <w:tblHeader/>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Status</w:t>
            </w:r>
          </w:p>
        </w:tc>
        <w:tc>
          <w:tcPr>
            <w:tcW w:w="0" w:type="auto"/>
            <w:gridSpan w:val="2"/>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Coin</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Probability</w:t>
            </w:r>
          </w:p>
        </w:tc>
      </w:tr>
      <w:tr w:rsidR="00AD77BB">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H</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T</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24"/>
                <w:szCs w:val="24"/>
              </w:rPr>
            </w:pP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Fraud</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i/>
                <w:iCs/>
                <w:sz w:val="24"/>
                <w:szCs w:val="24"/>
              </w:rPr>
              <w:t>p</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 fraud</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AD77BB">
            <w:pPr>
              <w:spacing w:after="0"/>
              <w:rPr>
                <w:rFonts w:cs="Times New Roman"/>
              </w:rPr>
            </w:pP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Probability</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bl>
    <w:p w:rsidR="00AD77BB" w:rsidRDefault="00B45BA0">
      <w:pPr>
        <w:pStyle w:val="ListParagraph"/>
        <w:numPr>
          <w:ilvl w:val="1"/>
          <w:numId w:val="84"/>
        </w:numPr>
        <w:shd w:val="clear" w:color="auto" w:fill="E3EFF7"/>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The only information that the economist sees are the entries in the following table:</w:t>
      </w:r>
    </w:p>
    <w:p w:rsidR="00AD77BB" w:rsidRDefault="00AD77BB">
      <w:pPr>
        <w:pStyle w:val="ListParagraph"/>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p>
    <w:p w:rsidR="00AD77BB" w:rsidRDefault="00B45BA0">
      <w:pPr>
        <w:pStyle w:val="para"/>
        <w:shd w:val="clear" w:color="auto" w:fill="FFFFFF" w:themeFill="background1"/>
        <w:spacing w:before="0" w:beforeAutospacing="0" w:after="0" w:afterAutospacing="0" w:line="360" w:lineRule="auto"/>
        <w:ind w:left="446"/>
        <w:textAlignment w:val="baseline"/>
      </w:pPr>
      <w:r>
        <w:rPr>
          <w:noProof/>
        </w:rPr>
        <w:drawing>
          <wp:inline distT="0" distB="0" distL="0" distR="0" wp14:anchorId="7739F576" wp14:editId="058AACED">
            <wp:extent cx="5724525" cy="4600575"/>
            <wp:effectExtent l="0" t="0" r="9525" b="9525"/>
            <wp:docPr id="107"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24525" cy="4600575"/>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360" w:lineRule="auto"/>
        <w:ind w:left="446"/>
        <w:textAlignment w:val="baseline"/>
      </w:pPr>
      <w:r>
        <w:rPr>
          <w:noProof/>
        </w:rPr>
        <w:lastRenderedPageBreak/>
        <w:drawing>
          <wp:inline distT="0" distB="0" distL="0" distR="0" wp14:anchorId="3418B9B8" wp14:editId="33999578">
            <wp:extent cx="5772150" cy="5381625"/>
            <wp:effectExtent l="0" t="0" r="0" b="9525"/>
            <wp:docPr id="108"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72150" cy="5381625"/>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360" w:lineRule="auto"/>
        <w:ind w:left="446"/>
        <w:textAlignment w:val="baseline"/>
      </w:pPr>
      <w:r>
        <w:rPr>
          <w:noProof/>
        </w:rPr>
        <w:lastRenderedPageBreak/>
        <w:drawing>
          <wp:inline distT="0" distB="0" distL="0" distR="0" wp14:anchorId="2607FD54" wp14:editId="1B8E461A">
            <wp:extent cx="5829300" cy="3352800"/>
            <wp:effectExtent l="0" t="0" r="0" b="0"/>
            <wp:docPr id="109"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29300" cy="3352800"/>
                    </a:xfrm>
                    <a:prstGeom prst="rect">
                      <a:avLst/>
                    </a:prstGeom>
                    <a:noFill/>
                    <a:ln>
                      <a:noFill/>
                    </a:ln>
                  </pic:spPr>
                </pic:pic>
              </a:graphicData>
            </a:graphic>
          </wp:inline>
        </w:drawing>
      </w:r>
    </w:p>
    <w:p w:rsidR="00AD77BB" w:rsidRDefault="00AD77BB">
      <w:pPr>
        <w:shd w:val="clear" w:color="auto" w:fill="FFFFFF"/>
        <w:spacing w:after="0" w:line="240" w:lineRule="atLeast"/>
        <w:jc w:val="center"/>
        <w:textAlignment w:val="baseline"/>
        <w:outlineLvl w:val="0"/>
        <w:rPr>
          <w:rFonts w:ascii="Calibri" w:eastAsia="Times New Roman" w:hAnsi="Calibri" w:cs="Times New Roman"/>
          <w:b/>
          <w:bCs/>
          <w:color w:val="000000"/>
          <w:kern w:val="36"/>
          <w:sz w:val="38"/>
          <w:szCs w:val="38"/>
        </w:rPr>
      </w:pPr>
    </w:p>
    <w:p w:rsidR="00AD77BB" w:rsidRDefault="00B45BA0">
      <w:pPr>
        <w:rPr>
          <w:rFonts w:ascii="Calibri" w:eastAsia="Times New Roman" w:hAnsi="Calibri" w:cs="Times New Roman"/>
          <w:b/>
          <w:bCs/>
          <w:color w:val="000000"/>
          <w:kern w:val="36"/>
          <w:sz w:val="38"/>
          <w:szCs w:val="38"/>
        </w:rPr>
      </w:pPr>
      <w:r>
        <w:rPr>
          <w:rFonts w:ascii="Calibri" w:eastAsia="Times New Roman" w:hAnsi="Calibri" w:cs="Times New Roman"/>
          <w:b/>
          <w:bCs/>
          <w:color w:val="000000"/>
          <w:kern w:val="36"/>
          <w:sz w:val="38"/>
          <w:szCs w:val="38"/>
        </w:rPr>
        <w:br w:type="page"/>
      </w:r>
    </w:p>
    <w:p w:rsidR="00AD77BB" w:rsidRDefault="00B45BA0">
      <w:pPr>
        <w:shd w:val="clear" w:color="auto" w:fill="FFFFFF"/>
        <w:spacing w:after="0" w:line="240" w:lineRule="atLeast"/>
        <w:jc w:val="center"/>
        <w:textAlignment w:val="baseline"/>
        <w:outlineLvl w:val="0"/>
        <w:rPr>
          <w:rFonts w:ascii="Calibri" w:eastAsia="Times New Roman" w:hAnsi="Calibri" w:cs="Times New Roman"/>
          <w:b/>
          <w:bCs/>
          <w:color w:val="000000"/>
          <w:kern w:val="36"/>
          <w:sz w:val="38"/>
          <w:szCs w:val="38"/>
        </w:rPr>
      </w:pPr>
      <w:r>
        <w:rPr>
          <w:rFonts w:ascii="Calibri" w:eastAsia="Times New Roman" w:hAnsi="Calibri" w:cs="Times New Roman"/>
          <w:b/>
          <w:bCs/>
          <w:color w:val="000000"/>
          <w:kern w:val="36"/>
          <w:sz w:val="38"/>
          <w:szCs w:val="38"/>
        </w:rPr>
        <w:lastRenderedPageBreak/>
        <w:t>Chapter 4</w:t>
      </w:r>
    </w:p>
    <w:p w:rsidR="00AD77BB" w:rsidRDefault="00B45BA0">
      <w:pPr>
        <w:shd w:val="clear" w:color="auto" w:fill="FFFFFF"/>
        <w:spacing w:after="0" w:line="240" w:lineRule="atLeast"/>
        <w:jc w:val="center"/>
        <w:textAlignment w:val="baseline"/>
        <w:outlineLvl w:val="0"/>
        <w:rPr>
          <w:rFonts w:ascii="Calibri" w:eastAsia="Times New Roman" w:hAnsi="Calibri" w:cs="Times New Roman"/>
          <w:b/>
          <w:bCs/>
          <w:color w:val="08629A"/>
          <w:kern w:val="36"/>
          <w:sz w:val="41"/>
          <w:szCs w:val="41"/>
        </w:rPr>
      </w:pPr>
      <w:r>
        <w:rPr>
          <w:rFonts w:ascii="Calibri" w:eastAsia="Times New Roman" w:hAnsi="Calibri" w:cs="Times New Roman"/>
          <w:b/>
          <w:bCs/>
          <w:color w:val="08629A"/>
          <w:kern w:val="36"/>
          <w:sz w:val="41"/>
          <w:szCs w:val="41"/>
        </w:rPr>
        <w:t>Discrete Random Variables</w:t>
      </w:r>
    </w:p>
    <w:p w:rsidR="00AD77BB" w:rsidRDefault="00AD77BB">
      <w:pPr>
        <w:shd w:val="clear" w:color="auto" w:fill="FFFFFF"/>
        <w:spacing w:after="0" w:line="240" w:lineRule="atLeast"/>
        <w:jc w:val="center"/>
        <w:textAlignment w:val="baseline"/>
        <w:outlineLvl w:val="0"/>
        <w:rPr>
          <w:rFonts w:ascii="Calibri" w:eastAsia="Times New Roman" w:hAnsi="Calibri" w:cs="Times New Roman"/>
          <w:b/>
          <w:bCs/>
          <w:color w:val="08629A"/>
          <w:kern w:val="36"/>
          <w:sz w:val="41"/>
          <w:szCs w:val="4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It is often the case that a number is naturally associated to the outcome of a random experiment: the number of boys in a three-child family, the number of defective light bulbs in a case of 100 bulbs, the length of time until the next customer arrives at the drive-through window at a bank. Such a number varies from trial to trial of the corresponding experiment, and does so in a way that cannot be predicted with certainty; hence, it is called a </w:t>
      </w:r>
      <w:r>
        <w:rPr>
          <w:rFonts w:ascii="Georgia" w:eastAsia="Times New Roman" w:hAnsi="Georgia" w:cs="Times New Roman"/>
          <w:i/>
          <w:iCs/>
          <w:color w:val="333333"/>
          <w:sz w:val="20"/>
          <w:szCs w:val="20"/>
        </w:rPr>
        <w:t>random variable</w:t>
      </w:r>
      <w:r>
        <w:rPr>
          <w:rFonts w:ascii="Georgia" w:eastAsia="Times New Roman" w:hAnsi="Georgia" w:cs="Times New Roman"/>
          <w:color w:val="333333"/>
          <w:sz w:val="21"/>
          <w:szCs w:val="21"/>
        </w:rPr>
        <w:t>. In this chapter and the next we study such variables.</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t>4.1</w:t>
      </w:r>
      <w:r>
        <w:rPr>
          <w:rFonts w:ascii="Calibri" w:eastAsia="Times New Roman" w:hAnsi="Calibri" w:cs="Times New Roman"/>
          <w:b/>
          <w:bCs/>
          <w:color w:val="333333"/>
          <w:sz w:val="36"/>
          <w:szCs w:val="36"/>
        </w:rPr>
        <w:t> Random Variables</w:t>
      </w:r>
    </w:p>
    <w:p w:rsidR="00AD77BB" w:rsidRDefault="00AD77BB">
      <w:pPr>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rsidR="00AD77BB" w:rsidRDefault="00B45BA0">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AD77BB" w:rsidRDefault="00B45BA0">
      <w:pPr>
        <w:numPr>
          <w:ilvl w:val="0"/>
          <w:numId w:val="91"/>
        </w:numPr>
        <w:shd w:val="clear" w:color="auto" w:fill="EAE9DC"/>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the concept of a random variable.</w:t>
      </w:r>
    </w:p>
    <w:p w:rsidR="00AD77BB" w:rsidRDefault="00B45BA0">
      <w:pPr>
        <w:numPr>
          <w:ilvl w:val="0"/>
          <w:numId w:val="91"/>
        </w:numPr>
        <w:shd w:val="clear" w:color="auto" w:fill="EAE9DC"/>
        <w:spacing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the distinction between discrete and continuous random variables.</w:t>
      </w:r>
    </w:p>
    <w:p w:rsidR="00AD77BB" w:rsidRDefault="00AD77BB">
      <w:pPr>
        <w:shd w:val="clear" w:color="auto" w:fill="F4F4F4"/>
        <w:spacing w:after="0" w:line="264" w:lineRule="atLeast"/>
        <w:textAlignment w:val="baseline"/>
        <w:outlineLvl w:val="2"/>
        <w:rPr>
          <w:rFonts w:ascii="Calibri" w:eastAsia="Times New Roman" w:hAnsi="Calibri" w:cs="Times New Roman"/>
          <w:b/>
          <w:bCs/>
          <w:color w:val="333333"/>
          <w:sz w:val="30"/>
          <w:szCs w:val="30"/>
        </w:rPr>
      </w:pPr>
    </w:p>
    <w:p w:rsidR="00AD77BB" w:rsidRDefault="00AD77BB">
      <w:pPr>
        <w:shd w:val="clear" w:color="auto" w:fill="F4F4F4"/>
        <w:spacing w:after="0" w:line="264" w:lineRule="atLeast"/>
        <w:textAlignment w:val="baseline"/>
        <w:outlineLvl w:val="2"/>
        <w:rPr>
          <w:rFonts w:ascii="Calibri" w:eastAsia="Times New Roman" w:hAnsi="Calibri" w:cs="Times New Roman"/>
          <w:b/>
          <w:bCs/>
          <w:color w:val="333333"/>
          <w:sz w:val="30"/>
          <w:szCs w:val="30"/>
        </w:rPr>
      </w:pPr>
    </w:p>
    <w:p w:rsidR="00AD77BB" w:rsidRDefault="00B45BA0">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Definition</w:t>
      </w:r>
    </w:p>
    <w:p w:rsidR="00AD77BB" w:rsidRDefault="00B45BA0">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A</w:t>
      </w:r>
      <w:r>
        <w:rPr>
          <w:rFonts w:ascii="Georgia" w:eastAsia="Times New Roman" w:hAnsi="Georgia" w:cs="Times New Roman"/>
          <w:color w:val="333333"/>
          <w:sz w:val="20"/>
          <w:szCs w:val="20"/>
        </w:rPr>
        <w:t> </w:t>
      </w:r>
      <w:r>
        <w:rPr>
          <w:rFonts w:ascii="Georgia" w:eastAsia="Times New Roman" w:hAnsi="Georgia" w:cs="Times New Roman"/>
          <w:b/>
          <w:color w:val="333333"/>
          <w:sz w:val="20"/>
          <w:szCs w:val="20"/>
        </w:rPr>
        <w:t>random variable</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is a numerical quantity that is generated by a random experiment.</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We will denote random variables by capital letters, such as </w:t>
      </w:r>
      <w:r>
        <w:rPr>
          <w:rFonts w:ascii="Georgia" w:eastAsia="Times New Roman" w:hAnsi="Georgia" w:cs="Times New Roman"/>
          <w:i/>
          <w:iCs/>
          <w:color w:val="333333"/>
          <w:sz w:val="20"/>
          <w:szCs w:val="20"/>
        </w:rPr>
        <w:t>X</w:t>
      </w:r>
      <w:r>
        <w:rPr>
          <w:rFonts w:ascii="Georgia" w:eastAsia="Times New Roman" w:hAnsi="Georgia" w:cs="Times New Roman"/>
          <w:color w:val="333333"/>
          <w:sz w:val="21"/>
          <w:szCs w:val="21"/>
        </w:rPr>
        <w:t> or </w:t>
      </w:r>
      <w:r>
        <w:rPr>
          <w:rFonts w:ascii="Georgia" w:eastAsia="Times New Roman" w:hAnsi="Georgia" w:cs="Times New Roman"/>
          <w:i/>
          <w:iCs/>
          <w:color w:val="333333"/>
          <w:sz w:val="20"/>
          <w:szCs w:val="20"/>
        </w:rPr>
        <w:t>Z</w:t>
      </w:r>
      <w:r>
        <w:rPr>
          <w:rFonts w:ascii="Georgia" w:eastAsia="Times New Roman" w:hAnsi="Georgia" w:cs="Times New Roman"/>
          <w:color w:val="333333"/>
          <w:sz w:val="21"/>
          <w:szCs w:val="21"/>
        </w:rPr>
        <w:t>, and the actual values that they can take by lowercase letters, such as </w:t>
      </w:r>
      <w:r>
        <w:rPr>
          <w:rFonts w:ascii="Georgia" w:eastAsia="Times New Roman" w:hAnsi="Georgia" w:cs="Times New Roman"/>
          <w:i/>
          <w:iCs/>
          <w:color w:val="333333"/>
          <w:sz w:val="20"/>
          <w:szCs w:val="20"/>
        </w:rPr>
        <w:t>x</w:t>
      </w:r>
      <w:r>
        <w:rPr>
          <w:rFonts w:ascii="Georgia" w:eastAsia="Times New Roman" w:hAnsi="Georgia" w:cs="Times New Roman"/>
          <w:color w:val="333333"/>
          <w:sz w:val="21"/>
          <w:szCs w:val="21"/>
        </w:rPr>
        <w:t> and </w:t>
      </w:r>
      <w:r>
        <w:rPr>
          <w:rFonts w:ascii="Georgia" w:eastAsia="Times New Roman" w:hAnsi="Georgia" w:cs="Times New Roman"/>
          <w:i/>
          <w:iCs/>
          <w:color w:val="333333"/>
          <w:sz w:val="20"/>
          <w:szCs w:val="20"/>
        </w:rPr>
        <w:t>z</w:t>
      </w:r>
      <w:r>
        <w:rPr>
          <w:rFonts w:ascii="Georgia" w:eastAsia="Times New Roman" w:hAnsi="Georgia" w:cs="Times New Roman"/>
          <w:color w:val="333333"/>
          <w:sz w:val="21"/>
          <w:szCs w:val="21"/>
        </w:rPr>
        <w:t>.</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hAnsi="Georgia"/>
          <w:color w:val="2689C6"/>
          <w:sz w:val="20"/>
          <w:szCs w:val="20"/>
          <w:shd w:val="clear" w:color="auto" w:fill="FFFFFF"/>
        </w:rPr>
        <w:t>Table 4.1 "Four Random Variables"</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gives four examples of random variables. In the second example, the three dots indicates that every counting number is a possible value for</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X</w:t>
      </w:r>
      <w:r>
        <w:rPr>
          <w:rFonts w:ascii="Georgia" w:hAnsi="Georgia"/>
          <w:color w:val="333333"/>
          <w:sz w:val="20"/>
          <w:szCs w:val="20"/>
          <w:shd w:val="clear" w:color="auto" w:fill="FFFFFF"/>
        </w:rPr>
        <w:t>. Although it is highly unlikely, for example, that it would take 50 tosses of the coin to observe heads for the first time, nevertheless it is conceivable, hence the number 50 is a possible value. The set of possible values is infinite, but is still at least</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countable</w:t>
      </w:r>
      <w:r>
        <w:rPr>
          <w:rFonts w:ascii="Georgia" w:hAnsi="Georgia"/>
          <w:color w:val="333333"/>
          <w:sz w:val="20"/>
          <w:szCs w:val="20"/>
          <w:shd w:val="clear" w:color="auto" w:fill="FFFFFF"/>
        </w:rPr>
        <w:t>, in the sense that all possible values can be listed one after another. In the last two examples, by way of contrast, the possible values cannot be individually listed, but take up a whole interval of numbers. In the fourth example, since the light bulb could conceivably continue to shine indefinitely, there is no natural greatest value for its lifetime, so we simply place the symbol</w:t>
      </w:r>
      <w:r>
        <w:rPr>
          <w:rStyle w:val="apple-converted-space"/>
          <w:rFonts w:ascii="Georgia" w:hAnsi="Georgia"/>
          <w:color w:val="333333"/>
          <w:sz w:val="20"/>
          <w:szCs w:val="20"/>
          <w:shd w:val="clear" w:color="auto" w:fill="FFFFFF"/>
        </w:rPr>
        <w:t> </w:t>
      </w:r>
      <w:r>
        <w:rPr>
          <w:rStyle w:val="mi"/>
          <w:rFonts w:ascii="MathJax_Main" w:hAnsi="MathJax_Main"/>
          <w:color w:val="333333"/>
          <w:sz w:val="18"/>
          <w:szCs w:val="18"/>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for infinity as the right endpoint of the interval of possible values.</w:t>
      </w:r>
    </w:p>
    <w:p w:rsidR="00AD77BB" w:rsidRDefault="00AD77BB">
      <w:pPr>
        <w:pStyle w:val="para"/>
        <w:shd w:val="clear" w:color="auto" w:fill="FFFFFF" w:themeFill="background1"/>
        <w:spacing w:before="0" w:beforeAutospacing="0" w:after="0" w:afterAutospacing="0" w:line="360" w:lineRule="auto"/>
        <w:ind w:left="446"/>
        <w:textAlignment w:val="baseline"/>
      </w:pPr>
    </w:p>
    <w:p w:rsidR="00AD77BB" w:rsidRDefault="00B45BA0">
      <w:pPr>
        <w:pStyle w:val="Title4"/>
        <w:shd w:val="clear" w:color="auto" w:fill="FFFFFF"/>
        <w:spacing w:before="0" w:beforeAutospacing="0" w:after="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lastRenderedPageBreak/>
        <w:t>Table 4.1</w:t>
      </w:r>
      <w:r>
        <w:rPr>
          <w:rStyle w:val="apple-converted-space"/>
          <w:rFonts w:ascii="Georgia" w:hAnsi="Georgia"/>
          <w:color w:val="333333"/>
          <w:sz w:val="20"/>
          <w:szCs w:val="20"/>
        </w:rPr>
        <w:t> </w:t>
      </w:r>
      <w:r>
        <w:rPr>
          <w:rFonts w:ascii="Georgia" w:hAnsi="Georgia"/>
          <w:color w:val="333333"/>
          <w:sz w:val="20"/>
          <w:szCs w:val="20"/>
        </w:rPr>
        <w:t>Four Random Variables</w:t>
      </w:r>
    </w:p>
    <w:tbl>
      <w:tblPr>
        <w:tblW w:w="0" w:type="auto"/>
        <w:tblCellMar>
          <w:left w:w="0" w:type="dxa"/>
          <w:right w:w="0" w:type="dxa"/>
        </w:tblCellMar>
        <w:tblLook w:val="04A0" w:firstRow="1" w:lastRow="0" w:firstColumn="1" w:lastColumn="0" w:noHBand="0" w:noVBand="1"/>
      </w:tblPr>
      <w:tblGrid>
        <w:gridCol w:w="3491"/>
        <w:gridCol w:w="3572"/>
        <w:gridCol w:w="2447"/>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rPr>
                <w:b/>
                <w:bCs/>
                <w:color w:val="F48800"/>
                <w:sz w:val="21"/>
                <w:szCs w:val="21"/>
              </w:rPr>
            </w:pPr>
            <w:r>
              <w:rPr>
                <w:b/>
                <w:bCs/>
                <w:color w:val="F48800"/>
                <w:sz w:val="21"/>
                <w:szCs w:val="21"/>
              </w:rPr>
              <w:t>Experiment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rPr>
                <w:b/>
                <w:bCs/>
                <w:color w:val="F48800"/>
                <w:sz w:val="21"/>
                <w:szCs w:val="21"/>
              </w:rPr>
            </w:pPr>
            <w:r>
              <w:rPr>
                <w:b/>
                <w:bCs/>
                <w:color w:val="F48800"/>
                <w:sz w:val="21"/>
                <w:szCs w:val="21"/>
              </w:rPr>
              <w:t>Number</w:t>
            </w:r>
            <w:r>
              <w:rPr>
                <w:rStyle w:val="apple-converted-space"/>
                <w:b/>
                <w:bCs/>
                <w:color w:val="F48800"/>
                <w:sz w:val="21"/>
                <w:szCs w:val="21"/>
              </w:rPr>
              <w:t> </w:t>
            </w:r>
            <w:r>
              <w:rPr>
                <w:rStyle w:val="Emphasis"/>
                <w:b/>
                <w:bCs/>
                <w:color w:val="F48800"/>
                <w:sz w:val="21"/>
                <w:szCs w:val="21"/>
              </w:rPr>
              <w:t>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rPr>
                <w:b/>
                <w:bCs/>
                <w:color w:val="F48800"/>
                <w:sz w:val="21"/>
                <w:szCs w:val="21"/>
              </w:rPr>
            </w:pPr>
            <w:r>
              <w:rPr>
                <w:b/>
                <w:bCs/>
                <w:color w:val="F48800"/>
                <w:sz w:val="21"/>
                <w:szCs w:val="21"/>
              </w:rPr>
              <w:t>Possible Values of</w:t>
            </w:r>
            <w:r>
              <w:rPr>
                <w:rStyle w:val="apple-converted-space"/>
                <w:b/>
                <w:bCs/>
                <w:color w:val="F48800"/>
                <w:sz w:val="21"/>
                <w:szCs w:val="21"/>
              </w:rPr>
              <w:t> </w:t>
            </w:r>
            <w:r>
              <w:rPr>
                <w:rStyle w:val="Emphasis"/>
                <w:b/>
                <w:bCs/>
                <w:color w:val="F48800"/>
                <w:sz w:val="21"/>
                <w:szCs w:val="21"/>
              </w:rPr>
              <w:t>X</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Roll two fair dice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Sum of the number of dots on the top faces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2, 3, 4, 5, 6, 7, 8, 9, 10, 11, 12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Flip a fair coin repeatedly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Number of tosses until the coin lands heads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1, 2, 3,4,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Measure the voltage at an electrical outlet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Voltage measured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118 ≤</w:t>
            </w:r>
            <w:r>
              <w:rPr>
                <w:rStyle w:val="apple-converted-space"/>
                <w:sz w:val="21"/>
                <w:szCs w:val="21"/>
              </w:rPr>
              <w:t> </w:t>
            </w:r>
            <w:r>
              <w:rPr>
                <w:rStyle w:val="Emphasis"/>
                <w:sz w:val="21"/>
                <w:szCs w:val="21"/>
              </w:rPr>
              <w:t>x</w:t>
            </w:r>
            <w:r>
              <w:rPr>
                <w:rStyle w:val="apple-converted-space"/>
                <w:sz w:val="21"/>
                <w:szCs w:val="21"/>
              </w:rPr>
              <w:t> </w:t>
            </w:r>
            <w:r>
              <w:rPr>
                <w:sz w:val="21"/>
                <w:szCs w:val="21"/>
              </w:rPr>
              <w:t>≤ 122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Operate a light bulb until it burns out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Time until the bulb burns out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1"/>
                <w:szCs w:val="21"/>
              </w:rPr>
            </w:pPr>
            <w:r>
              <w:rPr>
                <w:sz w:val="21"/>
                <w:szCs w:val="21"/>
              </w:rPr>
              <w:t>0 ≤</w:t>
            </w:r>
            <w:r>
              <w:rPr>
                <w:rStyle w:val="apple-converted-space"/>
                <w:sz w:val="21"/>
                <w:szCs w:val="21"/>
              </w:rPr>
              <w:t> </w:t>
            </w:r>
            <w:r>
              <w:rPr>
                <w:rStyle w:val="Emphasis"/>
                <w:sz w:val="21"/>
                <w:szCs w:val="21"/>
              </w:rPr>
              <w:t>x</w:t>
            </w:r>
            <w:r>
              <w:rPr>
                <w:rStyle w:val="apple-converted-space"/>
                <w:sz w:val="21"/>
                <w:szCs w:val="21"/>
              </w:rPr>
              <w:t> </w:t>
            </w:r>
            <w:r>
              <w:rPr>
                <w:sz w:val="21"/>
                <w:szCs w:val="21"/>
              </w:rPr>
              <w:t>&lt; ∞</w:t>
            </w:r>
          </w:p>
        </w:tc>
      </w:tr>
    </w:tbl>
    <w:p w:rsidR="00AD77BB" w:rsidRDefault="00AD77BB">
      <w:pPr>
        <w:pStyle w:val="Heading3"/>
        <w:shd w:val="clear" w:color="auto" w:fill="F4F4F4"/>
        <w:spacing w:before="0" w:beforeAutospacing="0" w:after="0" w:afterAutospacing="0" w:line="360" w:lineRule="auto"/>
        <w:textAlignment w:val="baseline"/>
        <w:rPr>
          <w:rFonts w:ascii="Calibri" w:hAnsi="Calibri"/>
          <w:color w:val="333333"/>
          <w:sz w:val="30"/>
          <w:szCs w:val="30"/>
        </w:rPr>
      </w:pPr>
    </w:p>
    <w:p w:rsidR="00AD77BB" w:rsidRDefault="00B45BA0">
      <w:pPr>
        <w:pStyle w:val="Heading3"/>
        <w:shd w:val="clear" w:color="auto" w:fill="F4F4F4"/>
        <w:spacing w:before="0" w:beforeAutospacing="0" w:after="0" w:afterAutospacing="0" w:line="360" w:lineRule="auto"/>
        <w:textAlignment w:val="baseline"/>
        <w:rPr>
          <w:rFonts w:ascii="Calibri" w:hAnsi="Calibri"/>
          <w:color w:val="333333"/>
          <w:sz w:val="30"/>
          <w:szCs w:val="30"/>
        </w:rPr>
      </w:pPr>
      <w:r>
        <w:rPr>
          <w:rFonts w:ascii="Calibri" w:hAnsi="Calibri"/>
          <w:color w:val="333333"/>
          <w:sz w:val="30"/>
          <w:szCs w:val="30"/>
        </w:rPr>
        <w:t>Definition</w:t>
      </w: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rPr>
        <w:t>A random variable is called</w:t>
      </w:r>
      <w:r>
        <w:rPr>
          <w:rStyle w:val="apple-converted-space"/>
          <w:rFonts w:ascii="Georgia" w:hAnsi="Georgia"/>
          <w:color w:val="333333"/>
          <w:sz w:val="20"/>
          <w:szCs w:val="20"/>
        </w:rPr>
        <w:t> </w:t>
      </w:r>
      <w:r>
        <w:rPr>
          <w:rStyle w:val="marginterm"/>
          <w:rFonts w:ascii="Georgia" w:eastAsiaTheme="majorEastAsia" w:hAnsi="Georgia"/>
          <w:b/>
          <w:color w:val="333333"/>
          <w:sz w:val="20"/>
          <w:szCs w:val="20"/>
        </w:rPr>
        <w:t>discrete</w:t>
      </w:r>
      <w:r>
        <w:rPr>
          <w:rStyle w:val="apple-converted-space"/>
          <w:rFonts w:ascii="Georgia" w:hAnsi="Georgia"/>
          <w:b/>
          <w:color w:val="333333"/>
          <w:sz w:val="20"/>
          <w:szCs w:val="20"/>
        </w:rPr>
        <w:t> </w:t>
      </w:r>
      <w:r>
        <w:rPr>
          <w:rStyle w:val="Emphasis"/>
          <w:rFonts w:ascii="Georgia" w:hAnsi="Georgia"/>
          <w:color w:val="333333"/>
          <w:sz w:val="20"/>
          <w:szCs w:val="20"/>
        </w:rPr>
        <w:t>if it has either a finite or a countable number of possible values. A random variable is called</w:t>
      </w:r>
      <w:r>
        <w:rPr>
          <w:rStyle w:val="apple-converted-space"/>
          <w:rFonts w:ascii="Georgia" w:hAnsi="Georgia"/>
          <w:color w:val="333333"/>
          <w:sz w:val="20"/>
          <w:szCs w:val="20"/>
        </w:rPr>
        <w:t> </w:t>
      </w:r>
      <w:r>
        <w:rPr>
          <w:rStyle w:val="marginterm"/>
          <w:rFonts w:ascii="Georgia" w:eastAsiaTheme="majorEastAsia" w:hAnsi="Georgia"/>
          <w:b/>
          <w:color w:val="333333"/>
          <w:sz w:val="20"/>
          <w:szCs w:val="20"/>
        </w:rPr>
        <w:t>continuous</w:t>
      </w:r>
      <w:r>
        <w:rPr>
          <w:rStyle w:val="apple-converted-space"/>
          <w:rFonts w:ascii="Georgia" w:hAnsi="Georgia"/>
          <w:color w:val="333333"/>
          <w:sz w:val="20"/>
          <w:szCs w:val="20"/>
        </w:rPr>
        <w:t> </w:t>
      </w:r>
      <w:r>
        <w:rPr>
          <w:rStyle w:val="Emphasis"/>
          <w:rFonts w:ascii="Georgia" w:hAnsi="Georgia"/>
          <w:color w:val="333333"/>
          <w:sz w:val="20"/>
          <w:szCs w:val="20"/>
        </w:rPr>
        <w:t>if its possible values contain a whole interval of numbers.</w:t>
      </w:r>
    </w:p>
    <w:p w:rsidR="00AD77BB" w:rsidRDefault="00AD77BB">
      <w:pPr>
        <w:pStyle w:val="para"/>
        <w:shd w:val="clear" w:color="auto" w:fill="FFFFFF" w:themeFill="background1"/>
        <w:spacing w:before="0" w:beforeAutospacing="0" w:after="0" w:afterAutospacing="0" w:line="360" w:lineRule="auto"/>
        <w:ind w:left="446"/>
        <w:textAlignment w:val="baseline"/>
        <w:rPr>
          <w:rFonts w:ascii="Georgia" w:hAnsi="Georgia"/>
          <w:color w:val="333333"/>
          <w:sz w:val="20"/>
          <w:szCs w:val="20"/>
          <w:shd w:val="clear" w:color="auto" w:fill="FFFFFF"/>
        </w:rPr>
      </w:pPr>
    </w:p>
    <w:p w:rsidR="00AD77BB" w:rsidRDefault="00B45BA0">
      <w:pPr>
        <w:pStyle w:val="para"/>
        <w:shd w:val="clear" w:color="auto" w:fill="FFFFFF" w:themeFill="background1"/>
        <w:spacing w:before="0" w:beforeAutospacing="0" w:after="0" w:afterAutospacing="0" w:line="360" w:lineRule="auto"/>
        <w:jc w:val="both"/>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The examples in the table are typical in that discrete random variables typically arise from a counting process, whereas continuous random variables typically arise from a measurement.</w:t>
      </w: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KEY TAKEAWAYS</w:t>
      </w:r>
    </w:p>
    <w:p w:rsidR="00AD77BB" w:rsidRDefault="00B45BA0">
      <w:pPr>
        <w:numPr>
          <w:ilvl w:val="0"/>
          <w:numId w:val="92"/>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random variable is a number generated by a random experiment.</w:t>
      </w:r>
    </w:p>
    <w:p w:rsidR="00AD77BB" w:rsidRDefault="00B45BA0">
      <w:pPr>
        <w:numPr>
          <w:ilvl w:val="0"/>
          <w:numId w:val="92"/>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random variable is called </w:t>
      </w:r>
      <w:r>
        <w:rPr>
          <w:rFonts w:ascii="Calibri" w:eastAsia="Times New Roman" w:hAnsi="Calibri" w:cs="Times New Roman"/>
          <w:i/>
          <w:iCs/>
          <w:color w:val="333333"/>
          <w:sz w:val="20"/>
          <w:szCs w:val="20"/>
        </w:rPr>
        <w:t>discrete</w:t>
      </w:r>
      <w:r>
        <w:rPr>
          <w:rFonts w:ascii="Calibri" w:eastAsia="Times New Roman" w:hAnsi="Calibri" w:cs="Times New Roman"/>
          <w:color w:val="333333"/>
          <w:sz w:val="20"/>
          <w:szCs w:val="20"/>
        </w:rPr>
        <w:t> if its possible values form a finite or countable set.</w:t>
      </w:r>
    </w:p>
    <w:p w:rsidR="00AD77BB" w:rsidRDefault="00B45BA0">
      <w:pPr>
        <w:numPr>
          <w:ilvl w:val="0"/>
          <w:numId w:val="92"/>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random variable is called </w:t>
      </w:r>
      <w:r>
        <w:rPr>
          <w:rFonts w:ascii="Calibri" w:eastAsia="Times New Roman" w:hAnsi="Calibri" w:cs="Times New Roman"/>
          <w:i/>
          <w:iCs/>
          <w:color w:val="333333"/>
          <w:sz w:val="20"/>
          <w:szCs w:val="20"/>
        </w:rPr>
        <w:t>continuous</w:t>
      </w:r>
      <w:r>
        <w:rPr>
          <w:rFonts w:ascii="Calibri" w:eastAsia="Times New Roman" w:hAnsi="Calibri" w:cs="Times New Roman"/>
          <w:color w:val="333333"/>
          <w:sz w:val="20"/>
          <w:szCs w:val="20"/>
        </w:rPr>
        <w:t> if its possible values contain a whole interval of numbers.</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EXERCISES</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BASIC</w:t>
      </w:r>
    </w:p>
    <w:p w:rsidR="00AD77BB" w:rsidRDefault="00B45BA0">
      <w:pPr>
        <w:numPr>
          <w:ilvl w:val="0"/>
          <w:numId w:val="93"/>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Classify each random variable as either discrete or continuous.</w:t>
      </w:r>
    </w:p>
    <w:p w:rsidR="00AD77BB" w:rsidRDefault="00B45BA0">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number of arrivals at an emergency room between midnight and 6:00 a.m.</w:t>
      </w:r>
    </w:p>
    <w:p w:rsidR="00AD77BB" w:rsidRDefault="00B45BA0">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weight of a box of cereal labeled “18 ounces.”</w:t>
      </w:r>
    </w:p>
    <w:p w:rsidR="00AD77BB" w:rsidRDefault="00B45BA0">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duration of the next outgoing telephone call from a business office.</w:t>
      </w:r>
    </w:p>
    <w:p w:rsidR="00AD77BB" w:rsidRDefault="00B45BA0">
      <w:pPr>
        <w:pStyle w:val="ListParagraph"/>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The number of kernels of popcorn in a 1-pound container.</w:t>
      </w:r>
    </w:p>
    <w:p w:rsidR="00AD77BB" w:rsidRDefault="00B45BA0">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number of applicants for a job.</w:t>
      </w:r>
    </w:p>
    <w:p w:rsidR="00AD77BB" w:rsidRDefault="00B45BA0">
      <w:pPr>
        <w:numPr>
          <w:ilvl w:val="0"/>
          <w:numId w:val="93"/>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Classify each random variable as either discrete or continuous.</w:t>
      </w:r>
    </w:p>
    <w:p w:rsidR="00AD77BB" w:rsidRDefault="00B45BA0">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time between customers entering a checkout lane at a retail store.</w:t>
      </w:r>
    </w:p>
    <w:p w:rsidR="00AD77BB" w:rsidRDefault="00B45BA0">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weight of refuse on a truck arriving at a landfill.</w:t>
      </w:r>
    </w:p>
    <w:p w:rsidR="00AD77BB" w:rsidRDefault="00B45BA0">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number of passengers in a passenger vehicle on a highway at rush hour.</w:t>
      </w:r>
    </w:p>
    <w:p w:rsidR="00AD77BB" w:rsidRDefault="00B45BA0">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number of clerical errors on a medical chart.</w:t>
      </w:r>
    </w:p>
    <w:p w:rsidR="00AD77BB" w:rsidRDefault="00B45BA0">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number of accident-free days in one month at a factory.</w:t>
      </w:r>
    </w:p>
    <w:p w:rsidR="00AD77BB" w:rsidRDefault="00B45BA0">
      <w:pPr>
        <w:numPr>
          <w:ilvl w:val="0"/>
          <w:numId w:val="93"/>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Classify each random variable as either discrete or continuous.</w:t>
      </w:r>
    </w:p>
    <w:p w:rsidR="00AD77BB" w:rsidRDefault="00B45BA0">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number of boys in a randomly selected three-child family.</w:t>
      </w:r>
    </w:p>
    <w:p w:rsidR="00AD77BB" w:rsidRDefault="00B45BA0">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temperature of a cup of coffee served at a restaurant.</w:t>
      </w:r>
    </w:p>
    <w:p w:rsidR="00AD77BB" w:rsidRDefault="00B45BA0">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number of no-shows for every 100 reservations made with a commercial airline.</w:t>
      </w:r>
    </w:p>
    <w:p w:rsidR="00AD77BB" w:rsidRDefault="00B45BA0">
      <w:pPr>
        <w:pStyle w:val="ListParagraph"/>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The number of vehicles owned by a randomly selected household.</w:t>
      </w:r>
    </w:p>
    <w:p w:rsidR="00AD77BB" w:rsidRDefault="00B45BA0">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average amount spent on electricity each July by a randomly selected household in a certain state.</w:t>
      </w:r>
    </w:p>
    <w:p w:rsidR="00AD77BB" w:rsidRDefault="00B45BA0">
      <w:pPr>
        <w:numPr>
          <w:ilvl w:val="0"/>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Classify each random variable as either discrete or continuous.</w:t>
      </w:r>
    </w:p>
    <w:p w:rsidR="00AD77BB" w:rsidRDefault="00B45BA0">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number of patrons arriving at a restaurant between 5:00 p.m. and 6:00 p.m.</w:t>
      </w:r>
    </w:p>
    <w:p w:rsidR="00AD77BB" w:rsidRDefault="00B45BA0">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number of new cases of influenza in a particular county in a coming month.</w:t>
      </w:r>
    </w:p>
    <w:p w:rsidR="00AD77BB" w:rsidRDefault="00B45BA0">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air pressure of a tire on an automobile.</w:t>
      </w:r>
    </w:p>
    <w:p w:rsidR="00AD77BB" w:rsidRDefault="00B45BA0">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amount of rain recorded at an airport one day.</w:t>
      </w:r>
    </w:p>
    <w:p w:rsidR="00AD77BB" w:rsidRDefault="00B45BA0">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number of students who actually register for classes at a university next semester.</w:t>
      </w:r>
    </w:p>
    <w:p w:rsidR="00AD77BB" w:rsidRDefault="00B45BA0">
      <w:pPr>
        <w:numPr>
          <w:ilvl w:val="0"/>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Identify the set of possible values for each random variable. (Make a reasonable estimate based on experience, where necessary.)</w:t>
      </w:r>
    </w:p>
    <w:p w:rsidR="00AD77BB" w:rsidRDefault="00B45BA0">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number of heads in two tosses of a coin.</w:t>
      </w:r>
    </w:p>
    <w:p w:rsidR="00AD77BB" w:rsidRDefault="00B45BA0">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average weight of newborn babies born in a particular county one month.</w:t>
      </w:r>
    </w:p>
    <w:p w:rsidR="00AD77BB" w:rsidRDefault="00B45BA0">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amount of liquid in a 12-ounce can of soft drink.</w:t>
      </w:r>
    </w:p>
    <w:p w:rsidR="00AD77BB" w:rsidRDefault="00B45BA0">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number of games in the next World Series (best of up to seven games).</w:t>
      </w:r>
    </w:p>
    <w:p w:rsidR="00AD77BB" w:rsidRDefault="00B45BA0">
      <w:pPr>
        <w:numPr>
          <w:ilvl w:val="1"/>
          <w:numId w:val="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number of coins that match when three coins are tossed at once.</w:t>
      </w:r>
    </w:p>
    <w:p w:rsidR="00AD77BB" w:rsidRDefault="00B45BA0">
      <w:pPr>
        <w:pStyle w:val="ListParagraph"/>
        <w:numPr>
          <w:ilvl w:val="0"/>
          <w:numId w:val="93"/>
        </w:numPr>
        <w:shd w:val="clear" w:color="auto" w:fill="DAEEF3" w:themeFill="accent5" w:themeFillTint="33"/>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Identify the set of possible values for each random variable. (Make a reasonable estimate based on experience, where necessary.)</w:t>
      </w:r>
    </w:p>
    <w:p w:rsidR="00AD77BB" w:rsidRDefault="00B45BA0">
      <w:pPr>
        <w:pStyle w:val="ListParagraph"/>
        <w:numPr>
          <w:ilvl w:val="0"/>
          <w:numId w:val="94"/>
        </w:numPr>
        <w:shd w:val="clear" w:color="auto" w:fill="DAEEF3" w:themeFill="accent5" w:themeFillTint="33"/>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The number of hearts in a five-card hand drawn from a deck of 52 cards that contains 13 hearts in all.</w:t>
      </w:r>
    </w:p>
    <w:p w:rsidR="00AD77BB" w:rsidRDefault="00B45BA0">
      <w:pPr>
        <w:numPr>
          <w:ilvl w:val="0"/>
          <w:numId w:val="94"/>
        </w:numPr>
        <w:shd w:val="clear" w:color="auto" w:fill="DAEEF3" w:themeFill="accent5" w:themeFillTint="33"/>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number of pitches made by a starting pitcher in a major league baseball game.</w:t>
      </w:r>
    </w:p>
    <w:p w:rsidR="00AD77BB" w:rsidRDefault="00B45BA0">
      <w:pPr>
        <w:numPr>
          <w:ilvl w:val="0"/>
          <w:numId w:val="94"/>
        </w:numPr>
        <w:shd w:val="clear" w:color="auto" w:fill="DAEEF3" w:themeFill="accent5" w:themeFillTint="33"/>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The number of breakdowns of city buses in a large city in one week.</w:t>
      </w:r>
    </w:p>
    <w:p w:rsidR="00AD77BB" w:rsidRDefault="00B45BA0">
      <w:pPr>
        <w:numPr>
          <w:ilvl w:val="0"/>
          <w:numId w:val="94"/>
        </w:numPr>
        <w:shd w:val="clear" w:color="auto" w:fill="DAEEF3" w:themeFill="accent5" w:themeFillTint="33"/>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distance a rental car rented on a daily rate is driven each day.</w:t>
      </w:r>
    </w:p>
    <w:p w:rsidR="00AD77BB" w:rsidRDefault="00B45BA0">
      <w:pPr>
        <w:numPr>
          <w:ilvl w:val="0"/>
          <w:numId w:val="94"/>
        </w:numPr>
        <w:shd w:val="clear" w:color="auto" w:fill="DAEEF3" w:themeFill="accent5" w:themeFillTint="33"/>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amount of rainfall at an airport next month.</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ANSWERS</w:t>
      </w:r>
    </w:p>
    <w:p w:rsidR="00AD77BB" w:rsidRDefault="00B45BA0">
      <w:pPr>
        <w:pStyle w:val="ListParagraph"/>
        <w:numPr>
          <w:ilvl w:val="0"/>
          <w:numId w:val="95"/>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a.  discrete</w:t>
      </w:r>
    </w:p>
    <w:p w:rsidR="00AD77BB" w:rsidRDefault="00B45BA0">
      <w:pPr>
        <w:pStyle w:val="ListParagraph"/>
        <w:numPr>
          <w:ilvl w:val="1"/>
          <w:numId w:val="9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continuous</w:t>
      </w:r>
    </w:p>
    <w:p w:rsidR="00AD77BB" w:rsidRDefault="00B45BA0">
      <w:pPr>
        <w:pStyle w:val="ListParagraph"/>
        <w:numPr>
          <w:ilvl w:val="1"/>
          <w:numId w:val="9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continuous</w:t>
      </w:r>
    </w:p>
    <w:p w:rsidR="00AD77BB" w:rsidRDefault="00B45BA0">
      <w:pPr>
        <w:pStyle w:val="ListParagraph"/>
        <w:numPr>
          <w:ilvl w:val="1"/>
          <w:numId w:val="9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discrete</w:t>
      </w:r>
    </w:p>
    <w:p w:rsidR="00AD77BB" w:rsidRDefault="00B45BA0">
      <w:pPr>
        <w:pStyle w:val="ListParagraph"/>
        <w:numPr>
          <w:ilvl w:val="1"/>
          <w:numId w:val="9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discrete</w:t>
      </w:r>
    </w:p>
    <w:p w:rsidR="00AD77BB" w:rsidRDefault="00AD77BB">
      <w:pPr>
        <w:numPr>
          <w:ilvl w:val="0"/>
          <w:numId w:val="97"/>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p>
    <w:p w:rsidR="00AD77BB" w:rsidRDefault="00B45BA0">
      <w:pPr>
        <w:pStyle w:val="ListParagraph"/>
        <w:numPr>
          <w:ilvl w:val="1"/>
          <w:numId w:val="97"/>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discrete</w:t>
      </w:r>
    </w:p>
    <w:p w:rsidR="00AD77BB" w:rsidRDefault="00B45BA0">
      <w:pPr>
        <w:numPr>
          <w:ilvl w:val="1"/>
          <w:numId w:val="97"/>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continuous</w:t>
      </w:r>
    </w:p>
    <w:p w:rsidR="00AD77BB" w:rsidRDefault="00B45BA0">
      <w:pPr>
        <w:numPr>
          <w:ilvl w:val="1"/>
          <w:numId w:val="97"/>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discrete</w:t>
      </w:r>
    </w:p>
    <w:p w:rsidR="00AD77BB" w:rsidRDefault="00B45BA0">
      <w:pPr>
        <w:numPr>
          <w:ilvl w:val="1"/>
          <w:numId w:val="97"/>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discrete</w:t>
      </w:r>
    </w:p>
    <w:p w:rsidR="00AD77BB" w:rsidRDefault="00B45BA0">
      <w:pPr>
        <w:numPr>
          <w:ilvl w:val="1"/>
          <w:numId w:val="97"/>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continuous</w:t>
      </w:r>
    </w:p>
    <w:p w:rsidR="00AD77BB" w:rsidRDefault="00AD77BB">
      <w:pPr>
        <w:numPr>
          <w:ilvl w:val="0"/>
          <w:numId w:val="98"/>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p>
    <w:p w:rsidR="00AD77BB" w:rsidRDefault="00B45BA0">
      <w:pPr>
        <w:numPr>
          <w:ilvl w:val="1"/>
          <w:numId w:val="98"/>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MathJax_Main" w:eastAsia="Times New Roman" w:hAnsi="MathJax_Main" w:cs="Times New Roman"/>
          <w:color w:val="333333"/>
          <w:sz w:val="15"/>
          <w:szCs w:val="15"/>
        </w:rPr>
        <w:t>{0.1.2}</w:t>
      </w:r>
    </w:p>
    <w:p w:rsidR="00AD77BB" w:rsidRDefault="00B45BA0">
      <w:pPr>
        <w:numPr>
          <w:ilvl w:val="1"/>
          <w:numId w:val="98"/>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interval </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b</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(answers vary)</w:t>
      </w:r>
    </w:p>
    <w:p w:rsidR="00AD77BB" w:rsidRDefault="00B45BA0">
      <w:pPr>
        <w:numPr>
          <w:ilvl w:val="1"/>
          <w:numId w:val="98"/>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interval </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b</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(answers vary)</w:t>
      </w:r>
    </w:p>
    <w:p w:rsidR="00AD77BB" w:rsidRDefault="00B45BA0">
      <w:pPr>
        <w:numPr>
          <w:ilvl w:val="1"/>
          <w:numId w:val="98"/>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{4,5,6,7}</w:t>
      </w:r>
    </w:p>
    <w:p w:rsidR="00AD77BB" w:rsidRDefault="00B45BA0">
      <w:pPr>
        <w:numPr>
          <w:ilvl w:val="1"/>
          <w:numId w:val="98"/>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{2,3}</w:t>
      </w:r>
    </w:p>
    <w:p w:rsidR="00AD77BB" w:rsidRDefault="00AD77BB">
      <w:pPr>
        <w:pStyle w:val="para"/>
        <w:shd w:val="clear" w:color="auto" w:fill="FFFFFF" w:themeFill="background1"/>
        <w:spacing w:before="0" w:beforeAutospacing="0" w:after="0" w:afterAutospacing="0" w:line="360" w:lineRule="auto"/>
        <w:jc w:val="both"/>
        <w:textAlignment w:val="baseline"/>
      </w:pPr>
    </w:p>
    <w:p w:rsidR="00AD77BB" w:rsidRDefault="00B45BA0">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t>4.2</w:t>
      </w:r>
      <w:r>
        <w:rPr>
          <w:rFonts w:ascii="Calibri" w:eastAsia="Times New Roman" w:hAnsi="Calibri" w:cs="Times New Roman"/>
          <w:b/>
          <w:bCs/>
          <w:color w:val="333333"/>
          <w:sz w:val="36"/>
          <w:szCs w:val="36"/>
        </w:rPr>
        <w:t> Probability Distributions for Discrete Random Variables</w:t>
      </w:r>
    </w:p>
    <w:p w:rsidR="00AD77BB" w:rsidRDefault="00AD77BB">
      <w:pPr>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rsidR="00AD77BB" w:rsidRDefault="00B45BA0">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AD77BB" w:rsidRDefault="00B45BA0">
      <w:pPr>
        <w:numPr>
          <w:ilvl w:val="0"/>
          <w:numId w:val="99"/>
        </w:numPr>
        <w:shd w:val="clear" w:color="auto" w:fill="EAE9DC"/>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the concept of the probability distribution of a discrete random variable.</w:t>
      </w:r>
    </w:p>
    <w:p w:rsidR="00AD77BB" w:rsidRDefault="00B45BA0">
      <w:pPr>
        <w:numPr>
          <w:ilvl w:val="0"/>
          <w:numId w:val="99"/>
        </w:numPr>
        <w:shd w:val="clear" w:color="auto" w:fill="EAE9DC"/>
        <w:spacing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the concepts of the mean, variance, and standard deviation of a discrete random variable, and how to compute them.</w:t>
      </w:r>
    </w:p>
    <w:p w:rsidR="00AD77BB" w:rsidRDefault="00B45BA0">
      <w:pPr>
        <w:shd w:val="clear" w:color="auto" w:fill="FFFFFF"/>
        <w:spacing w:after="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Probability Distributions</w:t>
      </w:r>
    </w:p>
    <w:p w:rsidR="00AD77BB" w:rsidRDefault="00B45BA0">
      <w:pPr>
        <w:shd w:val="clear" w:color="auto" w:fill="FFFFFF"/>
        <w:spacing w:after="0" w:line="360" w:lineRule="auto"/>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Associated to each possible value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of a discrete random variable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is the probability </w:t>
      </w:r>
      <w:r>
        <w:rPr>
          <w:rFonts w:ascii="MathJax_Math" w:eastAsia="Times New Roman" w:hAnsi="MathJax_Math" w:cs="Times New Roman"/>
          <w:i/>
          <w:iCs/>
          <w:color w:val="333333"/>
          <w:sz w:val="18"/>
          <w:szCs w:val="18"/>
        </w:rPr>
        <w:t>P</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x</w:t>
      </w:r>
      <w:r>
        <w:rPr>
          <w:rFonts w:ascii="MathJax_Main" w:eastAsia="Times New Roman" w:hAnsi="MathJax_Main" w:cs="Times New Roman"/>
          <w:color w:val="333333"/>
          <w:sz w:val="18"/>
          <w:szCs w:val="18"/>
        </w:rPr>
        <w:t>)</w:t>
      </w:r>
      <w:r>
        <w:rPr>
          <w:rFonts w:ascii="Georgia" w:eastAsia="Times New Roman" w:hAnsi="Georgia" w:cs="Times New Roman"/>
          <w:color w:val="333333"/>
          <w:sz w:val="20"/>
          <w:szCs w:val="20"/>
        </w:rPr>
        <w:t> that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will take the value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in one trial of the experiment.</w:t>
      </w:r>
    </w:p>
    <w:p w:rsidR="00AD77BB" w:rsidRDefault="00AD77BB">
      <w:pPr>
        <w:shd w:val="clear" w:color="auto" w:fill="FFFFFF"/>
        <w:spacing w:after="0" w:line="360" w:lineRule="auto"/>
        <w:textAlignment w:val="baseline"/>
        <w:rPr>
          <w:rFonts w:ascii="Georgia" w:eastAsia="Times New Roman" w:hAnsi="Georgia" w:cs="Times New Roman"/>
          <w:color w:val="333333"/>
          <w:sz w:val="20"/>
          <w:szCs w:val="20"/>
        </w:rPr>
      </w:pPr>
    </w:p>
    <w:p w:rsidR="00AD77BB" w:rsidRDefault="00B45BA0">
      <w:pPr>
        <w:shd w:val="clear" w:color="auto" w:fill="F4F4F4"/>
        <w:spacing w:after="0" w:line="360" w:lineRule="auto"/>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Definition</w:t>
      </w:r>
    </w:p>
    <w:p w:rsidR="00AD77BB" w:rsidRDefault="00B45BA0">
      <w:pPr>
        <w:shd w:val="clear" w:color="auto" w:fill="F4F4F4"/>
        <w:spacing w:line="360" w:lineRule="auto"/>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The</w:t>
      </w:r>
      <w:r>
        <w:rPr>
          <w:rFonts w:ascii="Georgia" w:eastAsia="Times New Roman" w:hAnsi="Georgia" w:cs="Times New Roman"/>
          <w:color w:val="333333"/>
          <w:sz w:val="20"/>
          <w:szCs w:val="20"/>
        </w:rPr>
        <w:t> </w:t>
      </w:r>
      <w:r>
        <w:rPr>
          <w:rFonts w:ascii="Georgia" w:eastAsia="Times New Roman" w:hAnsi="Georgia" w:cs="Times New Roman"/>
          <w:b/>
          <w:color w:val="333333"/>
          <w:sz w:val="20"/>
          <w:szCs w:val="20"/>
        </w:rPr>
        <w:t>probability distribution</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of a discrete random variable</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is a list of each possible value of</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together with the probability that</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takes that value in one trial of the experiment.</w:t>
      </w:r>
    </w:p>
    <w:p w:rsidR="00AD77BB" w:rsidRDefault="00AD77BB">
      <w:pPr>
        <w:pStyle w:val="para"/>
        <w:shd w:val="clear" w:color="auto" w:fill="FFFFFF" w:themeFill="background1"/>
        <w:spacing w:before="0" w:beforeAutospacing="0" w:after="0" w:afterAutospacing="0" w:line="360" w:lineRule="auto"/>
        <w:jc w:val="both"/>
        <w:textAlignment w:val="baseline"/>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probabilities in the probability distribution of a random variable </w:t>
      </w:r>
      <w:r>
        <w:rPr>
          <w:rFonts w:ascii="Georgia" w:eastAsia="Times New Roman" w:hAnsi="Georgia" w:cs="Times New Roman"/>
          <w:i/>
          <w:iCs/>
          <w:color w:val="333333"/>
          <w:sz w:val="20"/>
          <w:szCs w:val="20"/>
        </w:rPr>
        <w:t>X</w:t>
      </w:r>
      <w:r>
        <w:rPr>
          <w:rFonts w:ascii="Georgia" w:eastAsia="Times New Roman" w:hAnsi="Georgia" w:cs="Times New Roman"/>
          <w:color w:val="333333"/>
          <w:sz w:val="21"/>
          <w:szCs w:val="21"/>
        </w:rPr>
        <w:t> must satisfy the following two conditions:</w:t>
      </w:r>
    </w:p>
    <w:p w:rsidR="00AD77BB" w:rsidRDefault="00B45BA0">
      <w:pPr>
        <w:numPr>
          <w:ilvl w:val="0"/>
          <w:numId w:val="100"/>
        </w:numPr>
        <w:shd w:val="clear" w:color="auto" w:fill="F4F4F4"/>
        <w:spacing w:after="0"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Each probability </w:t>
      </w:r>
      <w:r>
        <w:rPr>
          <w:rFonts w:ascii="MathJax_Math" w:eastAsia="Times New Roman" w:hAnsi="MathJax_Math" w:cs="Times New Roman"/>
          <w:i/>
          <w:iCs/>
          <w:color w:val="333333"/>
          <w:sz w:val="18"/>
          <w:szCs w:val="18"/>
        </w:rPr>
        <w:t>P</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x</w:t>
      </w:r>
      <w:r>
        <w:rPr>
          <w:rFonts w:ascii="MathJax_Main" w:eastAsia="Times New Roman" w:hAnsi="MathJax_Main" w:cs="Times New Roman"/>
          <w:color w:val="333333"/>
          <w:sz w:val="18"/>
          <w:szCs w:val="18"/>
        </w:rPr>
        <w:t>)</w:t>
      </w:r>
      <w:r>
        <w:rPr>
          <w:rFonts w:ascii="Georgia" w:eastAsia="Times New Roman" w:hAnsi="Georgia" w:cs="Times New Roman"/>
          <w:color w:val="333333"/>
          <w:sz w:val="20"/>
          <w:szCs w:val="20"/>
        </w:rPr>
        <w:t> must be between 0 and 1: </w:t>
      </w:r>
      <w:r>
        <w:rPr>
          <w:rFonts w:ascii="MathJax_Main" w:eastAsia="Times New Roman" w:hAnsi="MathJax_Main" w:cs="Times New Roman"/>
          <w:color w:val="333333"/>
          <w:sz w:val="18"/>
          <w:szCs w:val="18"/>
        </w:rPr>
        <w:t>0≤</w:t>
      </w:r>
      <w:r>
        <w:rPr>
          <w:rFonts w:ascii="MathJax_Math" w:eastAsia="Times New Roman" w:hAnsi="MathJax_Math" w:cs="Times New Roman"/>
          <w:i/>
          <w:iCs/>
          <w:color w:val="333333"/>
          <w:sz w:val="18"/>
          <w:szCs w:val="18"/>
        </w:rPr>
        <w:t>P</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x</w:t>
      </w:r>
      <w:r>
        <w:rPr>
          <w:rFonts w:ascii="MathJax_Main" w:eastAsia="Times New Roman" w:hAnsi="MathJax_Main" w:cs="Times New Roman"/>
          <w:color w:val="333333"/>
          <w:sz w:val="18"/>
          <w:szCs w:val="18"/>
        </w:rPr>
        <w:t>)≤1.</w:t>
      </w:r>
    </w:p>
    <w:p w:rsidR="00AD77BB" w:rsidRDefault="00B45BA0">
      <w:pPr>
        <w:numPr>
          <w:ilvl w:val="0"/>
          <w:numId w:val="100"/>
        </w:numPr>
        <w:shd w:val="clear" w:color="auto" w:fill="F4F4F4"/>
        <w:spacing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sum of all the probabilities is 1: </w:t>
      </w:r>
      <w:r>
        <w:rPr>
          <w:rFonts w:ascii="MathJax_Main" w:eastAsia="Times New Roman" w:hAnsi="MathJax_Main" w:cs="Times New Roman"/>
          <w:color w:val="333333"/>
          <w:sz w:val="18"/>
          <w:szCs w:val="18"/>
        </w:rPr>
        <w:t>Σ</w:t>
      </w:r>
      <w:r>
        <w:rPr>
          <w:rFonts w:ascii="MathJax_Math" w:eastAsia="Times New Roman" w:hAnsi="MathJax_Math" w:cs="Times New Roman"/>
          <w:i/>
          <w:iCs/>
          <w:color w:val="333333"/>
          <w:sz w:val="18"/>
          <w:szCs w:val="18"/>
        </w:rPr>
        <w:t>P</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x</w:t>
      </w:r>
      <w:r>
        <w:rPr>
          <w:rFonts w:ascii="MathJax_Main" w:eastAsia="Times New Roman" w:hAnsi="MathJax_Main" w:cs="Times New Roman"/>
          <w:color w:val="333333"/>
          <w:sz w:val="18"/>
          <w:szCs w:val="18"/>
        </w:rPr>
        <w:t>)=1.</w:t>
      </w:r>
    </w:p>
    <w:p w:rsidR="00AD77BB" w:rsidRDefault="00B45BA0">
      <w:pPr>
        <w:shd w:val="clear" w:color="auto" w:fill="FFFFFF" w:themeFill="background1"/>
        <w:spacing w:line="360" w:lineRule="auto"/>
        <w:textAlignment w:val="baseline"/>
        <w:rPr>
          <w:rFonts w:ascii="Georgia" w:eastAsia="Times New Roman" w:hAnsi="Georgia" w:cs="Times New Roman"/>
          <w:color w:val="333333"/>
          <w:sz w:val="20"/>
          <w:szCs w:val="20"/>
        </w:rPr>
      </w:pPr>
      <w:r>
        <w:rPr>
          <w:rFonts w:ascii="Georgia" w:eastAsia="Times New Roman" w:hAnsi="Georgia" w:cs="Times New Roman"/>
          <w:noProof/>
          <w:color w:val="333333"/>
          <w:sz w:val="20"/>
          <w:szCs w:val="20"/>
        </w:rPr>
        <w:lastRenderedPageBreak/>
        <w:drawing>
          <wp:inline distT="0" distB="0" distL="0" distR="0" wp14:anchorId="3C240AF8" wp14:editId="4DC5966C">
            <wp:extent cx="5924550" cy="5553075"/>
            <wp:effectExtent l="0" t="0" r="0" b="9525"/>
            <wp:docPr id="11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24550" cy="5553075"/>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30288E45" wp14:editId="1EE6A929">
            <wp:extent cx="5991225" cy="7048500"/>
            <wp:effectExtent l="0" t="0" r="9525" b="0"/>
            <wp:docPr id="111"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91225" cy="7048500"/>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11F4574C" wp14:editId="65C5CA6F">
            <wp:extent cx="5991225" cy="6848475"/>
            <wp:effectExtent l="0" t="0" r="9525" b="9525"/>
            <wp:docPr id="112"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91225" cy="6848475"/>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6FF3FDA1" wp14:editId="7E560C9C">
            <wp:extent cx="6038850" cy="4838700"/>
            <wp:effectExtent l="0" t="0" r="0" b="0"/>
            <wp:docPr id="113"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38850" cy="4838700"/>
                    </a:xfrm>
                    <a:prstGeom prst="rect">
                      <a:avLst/>
                    </a:prstGeom>
                    <a:noFill/>
                    <a:ln>
                      <a:noFill/>
                    </a:ln>
                  </pic:spPr>
                </pic:pic>
              </a:graphicData>
            </a:graphic>
          </wp:inline>
        </w:drawing>
      </w:r>
    </w:p>
    <w:p w:rsidR="00AD77BB" w:rsidRDefault="00B45BA0">
      <w:pPr>
        <w:shd w:val="clear" w:color="auto" w:fill="E3EFF7"/>
        <w:spacing w:after="0" w:line="439" w:lineRule="atLeast"/>
        <w:ind w:left="300" w:right="375"/>
        <w:textAlignment w:val="baseline"/>
        <w:rPr>
          <w:rFonts w:ascii="Calibri" w:eastAsia="Times New Roman" w:hAnsi="Calibri" w:cs="Times New Roman"/>
          <w:i/>
          <w:iCs/>
          <w:color w:val="BB9966"/>
          <w:sz w:val="19"/>
          <w:szCs w:val="19"/>
        </w:rPr>
      </w:pPr>
      <w:r>
        <w:rPr>
          <w:rFonts w:ascii="Calibri" w:eastAsia="Times New Roman" w:hAnsi="Calibri" w:cs="Times New Roman"/>
          <w:i/>
          <w:iCs/>
          <w:color w:val="000000"/>
          <w:sz w:val="20"/>
          <w:szCs w:val="20"/>
        </w:rPr>
        <w:t>Figure 4.2</w:t>
      </w:r>
      <w:r>
        <w:rPr>
          <w:rFonts w:ascii="Calibri" w:eastAsia="Times New Roman" w:hAnsi="Calibri" w:cs="Times New Roman"/>
          <w:i/>
          <w:iCs/>
          <w:color w:val="BB9966"/>
          <w:sz w:val="19"/>
          <w:szCs w:val="19"/>
        </w:rPr>
        <w:t>Probability Distribution for Tossing Two Fair Dice</w:t>
      </w:r>
    </w:p>
    <w:p w:rsidR="00AD77BB" w:rsidRDefault="00B45BA0">
      <w:pPr>
        <w:pStyle w:val="para"/>
        <w:shd w:val="clear" w:color="auto" w:fill="FFFFFF" w:themeFill="background1"/>
        <w:spacing w:before="0" w:beforeAutospacing="0" w:after="0" w:afterAutospacing="0" w:line="360" w:lineRule="auto"/>
        <w:jc w:val="both"/>
        <w:textAlignment w:val="baseline"/>
      </w:pPr>
      <w:r>
        <w:rPr>
          <w:rFonts w:ascii="Calibri" w:hAnsi="Calibri"/>
          <w:noProof/>
          <w:color w:val="2689C6"/>
          <w:sz w:val="26"/>
          <w:szCs w:val="26"/>
          <w:shd w:val="clear" w:color="auto" w:fill="E3EFF7"/>
        </w:rPr>
        <w:drawing>
          <wp:inline distT="0" distB="0" distL="0" distR="0" wp14:anchorId="462EB7EE" wp14:editId="0952F7A9">
            <wp:extent cx="3476625" cy="2695575"/>
            <wp:effectExtent l="0" t="0" r="9525" b="9525"/>
            <wp:docPr id="114" name="Picture 126" descr="http://images.flatworldknowledge.com/shafer/shafer-fig0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images.flatworldknowledge.com/shafer/shafer-fig04_002.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76625" cy="2695575"/>
                    </a:xfrm>
                    <a:prstGeom prst="rect">
                      <a:avLst/>
                    </a:prstGeom>
                    <a:noFill/>
                    <a:ln>
                      <a:noFill/>
                    </a:ln>
                  </pic:spPr>
                </pic:pic>
              </a:graphicData>
            </a:graphic>
          </wp:inline>
        </w:drawing>
      </w:r>
    </w:p>
    <w:p w:rsidR="00AD77BB" w:rsidRDefault="00B45BA0">
      <w:pPr>
        <w:pStyle w:val="Heading2"/>
        <w:shd w:val="clear" w:color="auto" w:fill="FFFFFF"/>
        <w:spacing w:before="0" w:line="439" w:lineRule="atLeast"/>
        <w:textAlignment w:val="baseline"/>
        <w:rPr>
          <w:rFonts w:ascii="Calibri" w:hAnsi="Calibri"/>
          <w:color w:val="333333"/>
          <w:sz w:val="29"/>
          <w:szCs w:val="29"/>
        </w:rPr>
      </w:pPr>
      <w:r>
        <w:rPr>
          <w:rFonts w:ascii="Calibri" w:hAnsi="Calibri"/>
          <w:color w:val="333333"/>
          <w:sz w:val="29"/>
          <w:szCs w:val="29"/>
        </w:rPr>
        <w:lastRenderedPageBreak/>
        <w:t>The Mean and Standard Deviation of a Discrete Random Variable</w:t>
      </w:r>
    </w:p>
    <w:p w:rsidR="00AD77BB" w:rsidRDefault="00AD77BB"/>
    <w:p w:rsidR="00AD77BB" w:rsidRDefault="00B45BA0">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Definition</w:t>
      </w: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rPr>
        <w:t>The</w:t>
      </w:r>
      <w:r>
        <w:rPr>
          <w:rStyle w:val="apple-converted-space"/>
          <w:rFonts w:ascii="Georgia" w:eastAsiaTheme="majorEastAsia" w:hAnsi="Georgia"/>
          <w:color w:val="333333"/>
          <w:sz w:val="20"/>
          <w:szCs w:val="20"/>
        </w:rPr>
        <w:t> </w:t>
      </w:r>
      <w:r>
        <w:rPr>
          <w:rStyle w:val="marginterm"/>
          <w:rFonts w:ascii="Georgia" w:hAnsi="Georgia"/>
          <w:b/>
          <w:color w:val="333333"/>
          <w:sz w:val="20"/>
          <w:szCs w:val="20"/>
        </w:rPr>
        <w:t>mean</w:t>
      </w:r>
      <w:r>
        <w:rPr>
          <w:rStyle w:val="apple-converted-space"/>
          <w:rFonts w:ascii="Georgia" w:eastAsiaTheme="majorEastAsia" w:hAnsi="Georgia"/>
          <w:color w:val="333333"/>
          <w:sz w:val="20"/>
          <w:szCs w:val="20"/>
        </w:rPr>
        <w:t> </w:t>
      </w:r>
      <w:r>
        <w:rPr>
          <w:rStyle w:val="Emphasis"/>
          <w:rFonts w:ascii="Georgia" w:hAnsi="Georgia"/>
          <w:color w:val="333333"/>
          <w:sz w:val="20"/>
          <w:szCs w:val="20"/>
        </w:rPr>
        <w:t>(also called the</w:t>
      </w:r>
      <w:r>
        <w:rPr>
          <w:rStyle w:val="apple-converted-space"/>
          <w:rFonts w:ascii="Georgia" w:eastAsiaTheme="majorEastAsia" w:hAnsi="Georgia"/>
          <w:color w:val="333333"/>
          <w:sz w:val="20"/>
          <w:szCs w:val="20"/>
        </w:rPr>
        <w:t> </w:t>
      </w:r>
      <w:r>
        <w:rPr>
          <w:rStyle w:val="marginterm"/>
          <w:rFonts w:ascii="Georgia" w:hAnsi="Georgia"/>
          <w:b/>
          <w:color w:val="333333"/>
          <w:sz w:val="20"/>
          <w:szCs w:val="20"/>
        </w:rPr>
        <w:t>expected value</w:t>
      </w:r>
      <w:r>
        <w:rPr>
          <w:rStyle w:val="Emphasis"/>
          <w:rFonts w:ascii="Georgia" w:hAnsi="Georgia"/>
          <w:color w:val="333333"/>
          <w:sz w:val="20"/>
          <w:szCs w:val="20"/>
        </w:rPr>
        <w:t>) of a discrete random variable X</w:t>
      </w:r>
      <w:r>
        <w:rPr>
          <w:rStyle w:val="apple-converted-space"/>
          <w:rFonts w:ascii="Georgia" w:eastAsiaTheme="majorEastAsia" w:hAnsi="Georgia"/>
          <w:color w:val="333333"/>
          <w:sz w:val="20"/>
          <w:szCs w:val="20"/>
        </w:rPr>
        <w:t> </w:t>
      </w:r>
      <w:r>
        <w:rPr>
          <w:rStyle w:val="Emphasis"/>
          <w:rFonts w:ascii="Georgia" w:hAnsi="Georgia"/>
          <w:color w:val="333333"/>
          <w:sz w:val="20"/>
          <w:szCs w:val="20"/>
        </w:rPr>
        <w:t>is the number</w:t>
      </w:r>
    </w:p>
    <w:p w:rsidR="00AD77BB" w:rsidRDefault="00B45BA0">
      <w:pPr>
        <w:shd w:val="clear" w:color="auto" w:fill="F4F4F4"/>
        <w:spacing w:line="360" w:lineRule="auto"/>
        <w:jc w:val="center"/>
        <w:textAlignment w:val="baseline"/>
        <w:rPr>
          <w:rFonts w:ascii="Calibri" w:hAnsi="Calibri"/>
          <w:b/>
          <w:color w:val="555555"/>
          <w:sz w:val="23"/>
          <w:szCs w:val="23"/>
        </w:rPr>
      </w:pPr>
      <w:r>
        <w:rPr>
          <w:rStyle w:val="mi"/>
          <w:rFonts w:ascii="MathJax_Math" w:hAnsi="MathJax_Math"/>
          <w:b/>
          <w:i/>
          <w:iCs/>
          <w:color w:val="555555"/>
          <w:sz w:val="18"/>
          <w:szCs w:val="18"/>
        </w:rPr>
        <w:t>μ</w:t>
      </w:r>
      <w:r>
        <w:rPr>
          <w:rStyle w:val="mo"/>
          <w:rFonts w:ascii="MathJax_Main" w:hAnsi="MathJax_Main"/>
          <w:b/>
          <w:color w:val="555555"/>
          <w:sz w:val="18"/>
          <w:szCs w:val="18"/>
        </w:rPr>
        <w:t>=</w:t>
      </w:r>
      <w:r>
        <w:rPr>
          <w:rStyle w:val="mi"/>
          <w:rFonts w:ascii="MathJax_Math" w:hAnsi="MathJax_Math"/>
          <w:b/>
          <w:i/>
          <w:iCs/>
          <w:color w:val="555555"/>
          <w:sz w:val="18"/>
          <w:szCs w:val="18"/>
        </w:rPr>
        <w:t>E</w:t>
      </w:r>
      <w:r>
        <w:rPr>
          <w:rStyle w:val="mo"/>
          <w:rFonts w:ascii="MathJax_Main" w:hAnsi="MathJax_Main"/>
          <w:b/>
          <w:color w:val="555555"/>
          <w:sz w:val="18"/>
          <w:szCs w:val="18"/>
        </w:rPr>
        <w:t>(</w:t>
      </w:r>
      <w:r>
        <w:rPr>
          <w:rStyle w:val="mi"/>
          <w:rFonts w:ascii="MathJax_Math" w:hAnsi="MathJax_Math"/>
          <w:b/>
          <w:i/>
          <w:iCs/>
          <w:color w:val="555555"/>
          <w:sz w:val="18"/>
          <w:szCs w:val="18"/>
        </w:rPr>
        <w:t>X</w:t>
      </w:r>
      <w:r>
        <w:rPr>
          <w:rStyle w:val="mo"/>
          <w:rFonts w:ascii="MathJax_Main" w:hAnsi="MathJax_Main"/>
          <w:b/>
          <w:color w:val="555555"/>
          <w:sz w:val="18"/>
          <w:szCs w:val="18"/>
        </w:rPr>
        <w:t>)=</w:t>
      </w:r>
      <w:r>
        <w:rPr>
          <w:rStyle w:val="mi"/>
          <w:rFonts w:ascii="MathJax_Main" w:hAnsi="MathJax_Main"/>
          <w:b/>
          <w:color w:val="555555"/>
          <w:sz w:val="18"/>
          <w:szCs w:val="18"/>
        </w:rPr>
        <w:t>Σ</w:t>
      </w:r>
      <w:r>
        <w:rPr>
          <w:rStyle w:val="mi"/>
          <w:rFonts w:ascii="MathJax_Math" w:hAnsi="MathJax_Math"/>
          <w:b/>
          <w:i/>
          <w:iCs/>
          <w:color w:val="555555"/>
          <w:sz w:val="18"/>
          <w:szCs w:val="18"/>
        </w:rPr>
        <w:t>x</w:t>
      </w:r>
      <w:r>
        <w:rPr>
          <w:rStyle w:val="mtext"/>
          <w:rFonts w:ascii="MathJax_Main" w:hAnsi="MathJax_Main"/>
          <w:b/>
          <w:color w:val="555555"/>
          <w:sz w:val="18"/>
          <w:szCs w:val="18"/>
        </w:rPr>
        <w:t> </w:t>
      </w:r>
      <w:r>
        <w:rPr>
          <w:rStyle w:val="mi"/>
          <w:rFonts w:ascii="MathJax_Math" w:hAnsi="MathJax_Math"/>
          <w:b/>
          <w:i/>
          <w:iCs/>
          <w:color w:val="555555"/>
          <w:sz w:val="18"/>
          <w:szCs w:val="18"/>
        </w:rPr>
        <w:t>P</w:t>
      </w:r>
      <w:r>
        <w:rPr>
          <w:rStyle w:val="mo"/>
          <w:rFonts w:ascii="MathJax_Main" w:hAnsi="MathJax_Main"/>
          <w:b/>
          <w:color w:val="555555"/>
          <w:sz w:val="18"/>
          <w:szCs w:val="18"/>
        </w:rPr>
        <w:t>(</w:t>
      </w:r>
      <w:r>
        <w:rPr>
          <w:rStyle w:val="mi"/>
          <w:rFonts w:ascii="MathJax_Math" w:hAnsi="MathJax_Math"/>
          <w:b/>
          <w:i/>
          <w:iCs/>
          <w:color w:val="555555"/>
          <w:sz w:val="18"/>
          <w:szCs w:val="18"/>
        </w:rPr>
        <w:t>x</w:t>
      </w:r>
      <w:r>
        <w:rPr>
          <w:rStyle w:val="mo"/>
          <w:rFonts w:ascii="MathJax_Main" w:hAnsi="MathJax_Main"/>
          <w:b/>
          <w:color w:val="555555"/>
          <w:sz w:val="18"/>
          <w:szCs w:val="18"/>
        </w:rPr>
        <w:t>)</w:t>
      </w: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The mean of a random variable may be interpreted as the average of the values assumed by the random variable in repeated trials of the experiment.</w:t>
      </w:r>
    </w:p>
    <w:p w:rsidR="00AD77BB" w:rsidRDefault="00B45BA0">
      <w:pPr>
        <w:pStyle w:val="para"/>
        <w:shd w:val="clear" w:color="auto" w:fill="FFFFFF" w:themeFill="background1"/>
        <w:spacing w:before="0" w:beforeAutospacing="0" w:after="0" w:afterAutospacing="0" w:line="360" w:lineRule="auto"/>
        <w:jc w:val="both"/>
        <w:textAlignment w:val="baseline"/>
      </w:pPr>
      <w:r>
        <w:rPr>
          <w:noProof/>
        </w:rPr>
        <w:drawing>
          <wp:inline distT="0" distB="0" distL="0" distR="0" wp14:anchorId="4EF3CBD6" wp14:editId="79DFA87B">
            <wp:extent cx="5495925" cy="6210300"/>
            <wp:effectExtent l="0" t="0" r="9525" b="0"/>
            <wp:docPr id="115"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95925" cy="6210300"/>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144F6B6D" wp14:editId="45D8E7EC">
            <wp:extent cx="5715000" cy="6743700"/>
            <wp:effectExtent l="0" t="0" r="0" b="0"/>
            <wp:docPr id="116"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15000" cy="6743700"/>
                    </a:xfrm>
                    <a:prstGeom prst="rect">
                      <a:avLst/>
                    </a:prstGeom>
                    <a:noFill/>
                    <a:ln>
                      <a:noFill/>
                    </a:ln>
                  </pic:spPr>
                </pic:pic>
              </a:graphicData>
            </a:graphic>
          </wp:inline>
        </w:drawing>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concept of expected value is also basic to the insurance industry, as the following simplified example illustrates.</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lastRenderedPageBreak/>
        <w:t>EXAMPLE 5</w:t>
      </w:r>
    </w:p>
    <w:p w:rsidR="00AD77BB" w:rsidRDefault="00B45BA0">
      <w:pPr>
        <w:pStyle w:val="para"/>
        <w:shd w:val="clear" w:color="auto" w:fill="E3EFF7"/>
        <w:spacing w:before="150" w:beforeAutospacing="0" w:after="0" w:afterAutospacing="0" w:line="360" w:lineRule="auto"/>
        <w:ind w:left="302" w:right="374"/>
        <w:textAlignment w:val="baseline"/>
        <w:rPr>
          <w:rFonts w:ascii="Calibri" w:hAnsi="Calibri"/>
          <w:color w:val="333333"/>
          <w:sz w:val="20"/>
          <w:szCs w:val="20"/>
        </w:rPr>
      </w:pPr>
      <w:r>
        <w:rPr>
          <w:rFonts w:ascii="Calibri" w:hAnsi="Calibri"/>
          <w:color w:val="333333"/>
          <w:sz w:val="20"/>
          <w:szCs w:val="20"/>
        </w:rPr>
        <w:t>A life insurance company will sell a $200,000 one-year term life insurance policy to an individual in a particular risk group for a premium of $195. Find the expected value to the company of a single policy if a person in this risk group has a 99.97% chance of surviving one year.</w:t>
      </w:r>
    </w:p>
    <w:p w:rsidR="00AD77BB" w:rsidRDefault="00B45BA0">
      <w:pPr>
        <w:pStyle w:val="simpara"/>
        <w:shd w:val="clear" w:color="auto" w:fill="E3EFF7"/>
        <w:spacing w:before="150" w:beforeAutospacing="0" w:after="0" w:afterAutospacing="0" w:line="360" w:lineRule="auto"/>
        <w:ind w:left="302" w:right="374"/>
        <w:textAlignment w:val="baseline"/>
        <w:rPr>
          <w:rFonts w:ascii="Calibri" w:hAnsi="Calibri"/>
          <w:color w:val="333333"/>
          <w:sz w:val="20"/>
          <w:szCs w:val="20"/>
        </w:rPr>
      </w:pPr>
      <w:r>
        <w:rPr>
          <w:rFonts w:ascii="Calibri" w:hAnsi="Calibri"/>
          <w:color w:val="333333"/>
          <w:sz w:val="20"/>
          <w:szCs w:val="20"/>
        </w:rPr>
        <w:t>Solution:</w:t>
      </w:r>
    </w:p>
    <w:p w:rsidR="00AD77BB" w:rsidRDefault="00AD77BB">
      <w:pPr>
        <w:pStyle w:val="simpara"/>
        <w:shd w:val="clear" w:color="auto" w:fill="E3EFF7"/>
        <w:spacing w:before="150" w:beforeAutospacing="0" w:after="0" w:afterAutospacing="0" w:line="360" w:lineRule="auto"/>
        <w:ind w:left="302" w:right="374"/>
        <w:textAlignment w:val="baseline"/>
        <w:rPr>
          <w:rFonts w:ascii="Calibri" w:hAnsi="Calibri"/>
          <w:color w:val="333333"/>
          <w:sz w:val="20"/>
          <w:szCs w:val="20"/>
        </w:rPr>
      </w:pPr>
    </w:p>
    <w:p w:rsidR="00AD77BB" w:rsidRDefault="00B45BA0">
      <w:pPr>
        <w:pStyle w:val="para"/>
        <w:shd w:val="clear" w:color="auto" w:fill="E3EFF7"/>
        <w:spacing w:before="0" w:beforeAutospacing="0" w:after="0" w:afterAutospacing="0" w:line="360" w:lineRule="auto"/>
        <w:ind w:left="302" w:right="374"/>
        <w:textAlignment w:val="baseline"/>
        <w:rPr>
          <w:rFonts w:ascii="Calibri" w:hAnsi="Calibri"/>
          <w:color w:val="333333"/>
          <w:sz w:val="20"/>
          <w:szCs w:val="20"/>
        </w:rPr>
      </w:pPr>
      <w:r>
        <w:rPr>
          <w:rFonts w:ascii="Calibri" w:hAnsi="Calibri"/>
          <w:color w:val="333333"/>
          <w:sz w:val="20"/>
          <w:szCs w:val="20"/>
        </w:rPr>
        <w:t>Let</w:t>
      </w:r>
      <w:r>
        <w:rPr>
          <w:rStyle w:val="apple-converted-space"/>
          <w:rFonts w:ascii="Calibri" w:hAnsi="Calibri"/>
          <w:color w:val="333333"/>
          <w:sz w:val="20"/>
          <w:szCs w:val="20"/>
        </w:rPr>
        <w:t> </w:t>
      </w:r>
      <w:r>
        <w:rPr>
          <w:rStyle w:val="Emphasis"/>
          <w:rFonts w:ascii="Calibri" w:eastAsiaTheme="majorEastAsia"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denote the net gain to the company from the sale of one such policy. There are two possibilities: the insured person lives the whole year or the insured person dies before the year is up. Applying the “income minus outgo” principle, in the former case the value of</w:t>
      </w:r>
      <w:r>
        <w:rPr>
          <w:rStyle w:val="apple-converted-space"/>
          <w:rFonts w:ascii="Calibri" w:hAnsi="Calibri"/>
          <w:color w:val="333333"/>
          <w:sz w:val="20"/>
          <w:szCs w:val="20"/>
        </w:rPr>
        <w:t> </w:t>
      </w:r>
      <w:r>
        <w:rPr>
          <w:rStyle w:val="Emphasis"/>
          <w:rFonts w:ascii="Calibri" w:eastAsiaTheme="majorEastAsia"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is 195 − 0; in the latter case it is</w:t>
      </w:r>
      <w:r>
        <w:rPr>
          <w:rStyle w:val="apple-converted-space"/>
          <w:rFonts w:ascii="Calibri" w:hAnsi="Calibri"/>
          <w:color w:val="333333"/>
          <w:sz w:val="20"/>
          <w:szCs w:val="20"/>
        </w:rPr>
        <w:t> </w:t>
      </w:r>
      <w:r>
        <w:rPr>
          <w:rStyle w:val="mn"/>
          <w:rFonts w:ascii="MathJax_Main" w:hAnsi="MathJax_Main"/>
          <w:b/>
          <w:color w:val="333333"/>
          <w:sz w:val="15"/>
          <w:szCs w:val="15"/>
        </w:rPr>
        <w:t>195</w:t>
      </w:r>
      <w:r>
        <w:rPr>
          <w:rStyle w:val="mo"/>
          <w:rFonts w:ascii="MathJax_Main" w:hAnsi="MathJax_Main"/>
          <w:b/>
          <w:color w:val="333333"/>
          <w:sz w:val="15"/>
          <w:szCs w:val="15"/>
        </w:rPr>
        <w:t>−</w:t>
      </w:r>
      <w:r>
        <w:rPr>
          <w:rStyle w:val="mn"/>
          <w:rFonts w:ascii="MathJax_Main" w:hAnsi="MathJax_Main"/>
          <w:b/>
          <w:color w:val="333333"/>
          <w:sz w:val="15"/>
          <w:szCs w:val="15"/>
        </w:rPr>
        <w:t>200,000</w:t>
      </w:r>
      <w:r>
        <w:rPr>
          <w:rStyle w:val="mo"/>
          <w:rFonts w:ascii="MathJax_Main" w:hAnsi="MathJax_Main"/>
          <w:b/>
          <w:color w:val="333333"/>
          <w:sz w:val="15"/>
          <w:szCs w:val="15"/>
        </w:rPr>
        <w:t>=</w:t>
      </w:r>
      <w:r>
        <w:rPr>
          <w:rStyle w:val="mtext"/>
          <w:rFonts w:ascii="MathJax_Main" w:hAnsi="MathJax_Main"/>
          <w:b/>
          <w:color w:val="333333"/>
          <w:sz w:val="15"/>
          <w:szCs w:val="15"/>
        </w:rPr>
        <w:t>−</w:t>
      </w:r>
      <w:r>
        <w:rPr>
          <w:rStyle w:val="mn"/>
          <w:rFonts w:ascii="MathJax_Main" w:hAnsi="MathJax_Main"/>
          <w:b/>
          <w:color w:val="333333"/>
          <w:sz w:val="15"/>
          <w:szCs w:val="15"/>
        </w:rPr>
        <w:t>199,805</w:t>
      </w:r>
      <w:r>
        <w:rPr>
          <w:rStyle w:val="mo"/>
          <w:rFonts w:ascii="MathJax_Main" w:hAnsi="MathJax_Main"/>
          <w:color w:val="333333"/>
          <w:sz w:val="15"/>
          <w:szCs w:val="15"/>
        </w:rPr>
        <w:t>.</w:t>
      </w:r>
      <w:r>
        <w:rPr>
          <w:rStyle w:val="apple-converted-space"/>
          <w:rFonts w:ascii="Calibri" w:hAnsi="Calibri"/>
          <w:color w:val="333333"/>
          <w:sz w:val="20"/>
          <w:szCs w:val="20"/>
        </w:rPr>
        <w:t> </w:t>
      </w:r>
      <w:r>
        <w:rPr>
          <w:rFonts w:ascii="Calibri" w:hAnsi="Calibri"/>
          <w:color w:val="333333"/>
          <w:sz w:val="20"/>
          <w:szCs w:val="20"/>
        </w:rPr>
        <w:t>Since the probability in the first case is 0.9997 and in the second case is</w:t>
      </w:r>
      <w:r>
        <w:rPr>
          <w:rStyle w:val="apple-converted-space"/>
          <w:rFonts w:ascii="Calibri" w:hAnsi="Calibri"/>
          <w:color w:val="333333"/>
          <w:sz w:val="20"/>
          <w:szCs w:val="20"/>
        </w:rPr>
        <w:t> </w:t>
      </w:r>
      <w:r>
        <w:rPr>
          <w:rStyle w:val="mn"/>
          <w:rFonts w:ascii="MathJax_Main" w:hAnsi="MathJax_Main"/>
          <w:b/>
          <w:color w:val="333333"/>
          <w:sz w:val="15"/>
          <w:szCs w:val="15"/>
        </w:rPr>
        <w:t>1</w:t>
      </w:r>
      <w:r>
        <w:rPr>
          <w:rStyle w:val="mo"/>
          <w:rFonts w:ascii="MathJax_Main" w:hAnsi="MathJax_Main"/>
          <w:b/>
          <w:color w:val="333333"/>
          <w:sz w:val="15"/>
          <w:szCs w:val="15"/>
        </w:rPr>
        <w:t>−</w:t>
      </w:r>
      <w:r>
        <w:rPr>
          <w:rStyle w:val="mn"/>
          <w:rFonts w:ascii="MathJax_Main" w:hAnsi="MathJax_Main"/>
          <w:b/>
          <w:color w:val="333333"/>
          <w:sz w:val="15"/>
          <w:szCs w:val="15"/>
        </w:rPr>
        <w:t>0.9997</w:t>
      </w:r>
      <w:r>
        <w:rPr>
          <w:rStyle w:val="mo"/>
          <w:rFonts w:ascii="MathJax_Main" w:hAnsi="MathJax_Main"/>
          <w:b/>
          <w:color w:val="333333"/>
          <w:sz w:val="15"/>
          <w:szCs w:val="15"/>
        </w:rPr>
        <w:t>=</w:t>
      </w:r>
      <w:r>
        <w:rPr>
          <w:rStyle w:val="mn"/>
          <w:rFonts w:ascii="MathJax_Main" w:hAnsi="MathJax_Main"/>
          <w:b/>
          <w:color w:val="333333"/>
          <w:sz w:val="15"/>
          <w:szCs w:val="15"/>
        </w:rPr>
        <w:t>0.0003</w:t>
      </w:r>
      <w:r>
        <w:rPr>
          <w:rFonts w:ascii="Calibri" w:hAnsi="Calibri"/>
          <w:color w:val="333333"/>
          <w:sz w:val="20"/>
          <w:szCs w:val="20"/>
        </w:rPr>
        <w:t>, the probability distribution for</w:t>
      </w:r>
      <w:r>
        <w:rPr>
          <w:rStyle w:val="apple-converted-space"/>
          <w:rFonts w:ascii="Calibri" w:hAnsi="Calibri"/>
          <w:color w:val="333333"/>
          <w:sz w:val="20"/>
          <w:szCs w:val="20"/>
        </w:rPr>
        <w:t> </w:t>
      </w:r>
      <w:r>
        <w:rPr>
          <w:rStyle w:val="Emphasis"/>
          <w:rFonts w:ascii="Calibri" w:eastAsiaTheme="majorEastAsia"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is:</w:t>
      </w:r>
    </w:p>
    <w:p w:rsidR="00AD77BB" w:rsidRDefault="00B45BA0">
      <w:pPr>
        <w:pStyle w:val="para"/>
        <w:shd w:val="clear" w:color="auto" w:fill="FFFFFF" w:themeFill="background1"/>
        <w:spacing w:before="0" w:beforeAutospacing="0" w:after="0" w:afterAutospacing="0" w:line="360" w:lineRule="auto"/>
        <w:jc w:val="both"/>
        <w:textAlignment w:val="baseline"/>
      </w:pPr>
      <w:r>
        <w:rPr>
          <w:noProof/>
        </w:rPr>
        <w:drawing>
          <wp:inline distT="0" distB="0" distL="0" distR="0" wp14:anchorId="2D4632D6" wp14:editId="7918F702">
            <wp:extent cx="5743575" cy="2819400"/>
            <wp:effectExtent l="0" t="0" r="9525" b="0"/>
            <wp:docPr id="117"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43575" cy="2819400"/>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4DC8FB91" wp14:editId="3267BC79">
            <wp:extent cx="5791200" cy="6000750"/>
            <wp:effectExtent l="0" t="0" r="0" b="0"/>
            <wp:docPr id="118"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91200" cy="6000750"/>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50B63CC8" wp14:editId="7A46A1CA">
            <wp:extent cx="5791200" cy="7134225"/>
            <wp:effectExtent l="0" t="0" r="0" b="9525"/>
            <wp:docPr id="119"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91200" cy="7134225"/>
                    </a:xfrm>
                    <a:prstGeom prst="rect">
                      <a:avLst/>
                    </a:prstGeom>
                    <a:noFill/>
                    <a:ln>
                      <a:noFill/>
                    </a:ln>
                  </pic:spPr>
                </pic:pic>
              </a:graphicData>
            </a:graphic>
          </wp:inline>
        </w:drawing>
      </w:r>
    </w:p>
    <w:p w:rsidR="00AD77BB" w:rsidRDefault="00AD77BB">
      <w:pPr>
        <w:pStyle w:val="para"/>
        <w:shd w:val="clear" w:color="auto" w:fill="FFFFFF" w:themeFill="background1"/>
        <w:spacing w:before="0" w:beforeAutospacing="0" w:after="0" w:afterAutospacing="0" w:line="360" w:lineRule="auto"/>
        <w:jc w:val="both"/>
        <w:textAlignment w:val="baseline"/>
      </w:pPr>
    </w:p>
    <w:p w:rsidR="00AD77BB" w:rsidRDefault="00AD77BB">
      <w:pPr>
        <w:pStyle w:val="para"/>
        <w:shd w:val="clear" w:color="auto" w:fill="FFFFFF" w:themeFill="background1"/>
        <w:spacing w:before="0" w:beforeAutospacing="0" w:after="0" w:afterAutospacing="0" w:line="360" w:lineRule="auto"/>
        <w:jc w:val="both"/>
        <w:textAlignment w:val="baseline"/>
      </w:pPr>
    </w:p>
    <w:p w:rsidR="00AD77BB" w:rsidRDefault="00AD77BB">
      <w:pPr>
        <w:pStyle w:val="para"/>
        <w:shd w:val="clear" w:color="auto" w:fill="FFFFFF" w:themeFill="background1"/>
        <w:spacing w:before="0" w:beforeAutospacing="0" w:after="0" w:afterAutospacing="0" w:line="360" w:lineRule="auto"/>
        <w:jc w:val="both"/>
        <w:textAlignment w:val="baseline"/>
      </w:pPr>
    </w:p>
    <w:p w:rsidR="00AD77BB" w:rsidRDefault="00AD77BB">
      <w:pPr>
        <w:pStyle w:val="para"/>
        <w:shd w:val="clear" w:color="auto" w:fill="FFFFFF" w:themeFill="background1"/>
        <w:spacing w:before="0" w:beforeAutospacing="0" w:after="0" w:afterAutospacing="0" w:line="360" w:lineRule="auto"/>
        <w:jc w:val="both"/>
        <w:textAlignment w:val="baseline"/>
      </w:pPr>
    </w:p>
    <w:p w:rsidR="00AD77BB" w:rsidRDefault="00B45BA0">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lastRenderedPageBreak/>
        <w:t>Compute each of the following quantities.</w:t>
      </w:r>
    </w:p>
    <w:p w:rsidR="00AD77BB" w:rsidRDefault="00B45BA0">
      <w:pPr>
        <w:numPr>
          <w:ilvl w:val="0"/>
          <w:numId w:val="101"/>
        </w:numPr>
        <w:shd w:val="clear" w:color="auto" w:fill="DAEEF3" w:themeFill="accent5" w:themeFillTint="33"/>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w:t>
      </w:r>
    </w:p>
    <w:p w:rsidR="00AD77BB" w:rsidRDefault="00B45BA0">
      <w:pPr>
        <w:numPr>
          <w:ilvl w:val="0"/>
          <w:numId w:val="101"/>
        </w:num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(0)</w:t>
      </w:r>
      <w:r>
        <w:rPr>
          <w:rFonts w:ascii="MathJax_Main" w:eastAsia="Times New Roman" w:hAnsi="MathJax_Main" w:cs="Times New Roman"/>
          <w:color w:val="333333"/>
          <w:sz w:val="15"/>
          <w:szCs w:val="15"/>
        </w:rPr>
        <w:t>.</w:t>
      </w:r>
    </w:p>
    <w:p w:rsidR="00AD77BB" w:rsidRDefault="00B45BA0">
      <w:pPr>
        <w:numPr>
          <w:ilvl w:val="0"/>
          <w:numId w:val="101"/>
        </w:num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&gt; 0).</w:t>
      </w:r>
    </w:p>
    <w:p w:rsidR="00AD77BB" w:rsidRDefault="00B45BA0">
      <w:pPr>
        <w:numPr>
          <w:ilvl w:val="0"/>
          <w:numId w:val="101"/>
        </w:num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 0).</w:t>
      </w:r>
    </w:p>
    <w:p w:rsidR="00AD77BB" w:rsidRDefault="00B45BA0">
      <w:pPr>
        <w:numPr>
          <w:ilvl w:val="0"/>
          <w:numId w:val="101"/>
        </w:num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≤−2)</w:t>
      </w:r>
      <w:r>
        <w:rPr>
          <w:rFonts w:ascii="MathJax_Main" w:eastAsia="Times New Roman" w:hAnsi="MathJax_Main" w:cs="Times New Roman"/>
          <w:color w:val="333333"/>
          <w:sz w:val="15"/>
          <w:szCs w:val="15"/>
        </w:rPr>
        <w:t>.</w:t>
      </w:r>
    </w:p>
    <w:p w:rsidR="00AD77BB" w:rsidRDefault="00B45BA0">
      <w:pPr>
        <w:numPr>
          <w:ilvl w:val="0"/>
          <w:numId w:val="101"/>
        </w:num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mean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w:t>
      </w:r>
    </w:p>
    <w:p w:rsidR="00AD77BB" w:rsidRDefault="00B45BA0">
      <w:pPr>
        <w:numPr>
          <w:ilvl w:val="0"/>
          <w:numId w:val="101"/>
        </w:num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variance </w:t>
      </w:r>
      <w:r>
        <w:rPr>
          <w:rFonts w:ascii="MathJax_Math" w:eastAsia="Times New Roman" w:hAnsi="MathJax_Math" w:cs="Times New Roman"/>
          <w:i/>
          <w:iCs/>
          <w:color w:val="333333"/>
          <w:sz w:val="15"/>
          <w:szCs w:val="15"/>
        </w:rPr>
        <w:t>σ</w:t>
      </w:r>
      <w:r>
        <w:rPr>
          <w:rFonts w:ascii="MathJax_Main" w:eastAsia="Times New Roman" w:hAnsi="MathJax_Main" w:cs="Times New Roman"/>
          <w:color w:val="333333"/>
          <w:sz w:val="12"/>
          <w:szCs w:val="12"/>
        </w:rPr>
        <w:t>2</w:t>
      </w:r>
      <w:r>
        <w:rPr>
          <w:rFonts w:ascii="Calibri" w:eastAsia="Times New Roman" w:hAnsi="Calibri" w:cs="Times New Roman"/>
          <w:color w:val="333333"/>
          <w:sz w:val="20"/>
          <w:szCs w:val="20"/>
        </w:rPr>
        <w:t>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w:t>
      </w:r>
    </w:p>
    <w:p w:rsidR="00AD77BB" w:rsidRDefault="00B45BA0">
      <w:pPr>
        <w:numPr>
          <w:ilvl w:val="0"/>
          <w:numId w:val="101"/>
        </w:num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standard deviation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w:t>
      </w:r>
    </w:p>
    <w:p w:rsidR="00AD77BB" w:rsidRDefault="00B45BA0">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Solution:</w:t>
      </w:r>
    </w:p>
    <w:p w:rsidR="00AD77BB" w:rsidRDefault="00B45BA0">
      <w:pPr>
        <w:numPr>
          <w:ilvl w:val="0"/>
          <w:numId w:val="102"/>
        </w:numPr>
        <w:shd w:val="clear" w:color="auto" w:fill="DAEEF3" w:themeFill="accent5" w:themeFillTint="33"/>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Since all probabilities must add up to 1, </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5"/>
          <w:szCs w:val="15"/>
        </w:rPr>
        <w:t>=1−(0.2+0.5+0.1)=0.2.</w:t>
      </w:r>
    </w:p>
    <w:p w:rsidR="00AD77BB" w:rsidRDefault="00B45BA0">
      <w:pPr>
        <w:numPr>
          <w:ilvl w:val="0"/>
          <w:numId w:val="102"/>
        </w:num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Directly from the table,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(0)=0.5.</w:t>
      </w:r>
    </w:p>
    <w:p w:rsidR="00AD77BB" w:rsidRDefault="00B45BA0">
      <w:pPr>
        <w:numPr>
          <w:ilvl w:val="0"/>
          <w:numId w:val="102"/>
        </w:numPr>
        <w:shd w:val="clear" w:color="auto" w:fill="DAEEF3" w:themeFill="accent5" w:themeFillTint="33"/>
        <w:spacing w:after="0" w:line="439" w:lineRule="atLeast"/>
        <w:ind w:left="300" w:right="375"/>
        <w:textAlignment w:val="baseline"/>
        <w:rPr>
          <w:rFonts w:ascii="Calibri" w:eastAsia="Times New Roman" w:hAnsi="Calibri" w:cs="Times New Roman"/>
          <w:b/>
          <w:color w:val="333333"/>
          <w:sz w:val="20"/>
          <w:szCs w:val="20"/>
        </w:rPr>
      </w:pPr>
      <w:r>
        <w:rPr>
          <w:rFonts w:ascii="Calibri" w:eastAsia="Times New Roman" w:hAnsi="Calibri" w:cs="Times New Roman"/>
          <w:color w:val="333333"/>
          <w:sz w:val="20"/>
          <w:szCs w:val="20"/>
        </w:rPr>
        <w:t>From the table,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&gt;0)=</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(1)+</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(4)=0.2+0.1=0.3.</w:t>
      </w:r>
    </w:p>
    <w:p w:rsidR="00AD77BB" w:rsidRDefault="00B45BA0">
      <w:pPr>
        <w:numPr>
          <w:ilvl w:val="0"/>
          <w:numId w:val="102"/>
        </w:numPr>
        <w:shd w:val="clear" w:color="auto" w:fill="DAEEF3" w:themeFill="accent5" w:themeFillTint="33"/>
        <w:spacing w:after="0" w:line="439" w:lineRule="atLeast"/>
        <w:ind w:left="300" w:right="375"/>
        <w:textAlignment w:val="baseline"/>
        <w:rPr>
          <w:rFonts w:ascii="Calibri" w:eastAsia="Times New Roman" w:hAnsi="Calibri" w:cs="Times New Roman"/>
          <w:b/>
          <w:color w:val="333333"/>
          <w:sz w:val="20"/>
          <w:szCs w:val="20"/>
        </w:rPr>
      </w:pPr>
      <w:r>
        <w:rPr>
          <w:rFonts w:ascii="Calibri" w:eastAsia="Times New Roman" w:hAnsi="Calibri" w:cs="Times New Roman"/>
          <w:color w:val="333333"/>
          <w:sz w:val="20"/>
          <w:szCs w:val="20"/>
        </w:rPr>
        <w:t>From the table,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≥0)=</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(0)+</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(1)+</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(4)=0.5+0.2+0.1=0.8.</w:t>
      </w:r>
    </w:p>
    <w:p w:rsidR="00AD77BB" w:rsidRDefault="00B45BA0">
      <w:pPr>
        <w:numPr>
          <w:ilvl w:val="0"/>
          <w:numId w:val="102"/>
        </w:num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Since none of the numbers listed as possible values for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less than or equal to −2, the event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 −2 is impossible, so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 −2) = 0.</w:t>
      </w:r>
    </w:p>
    <w:p w:rsidR="00AD77BB" w:rsidRDefault="00B45BA0">
      <w:pPr>
        <w:numPr>
          <w:ilvl w:val="0"/>
          <w:numId w:val="102"/>
        </w:numPr>
        <w:shd w:val="clear" w:color="auto" w:fill="DAEEF3" w:themeFill="accent5" w:themeFillTint="33"/>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Using the formula in the definition of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w:t>
      </w:r>
    </w:p>
    <w:p w:rsidR="00AD77BB" w:rsidRDefault="00B45BA0">
      <w:pPr>
        <w:shd w:val="clear" w:color="auto" w:fill="DAEEF3" w:themeFill="accent5" w:themeFillTint="33"/>
        <w:spacing w:line="439" w:lineRule="atLeast"/>
        <w:ind w:left="300" w:right="375"/>
        <w:jc w:val="center"/>
        <w:textAlignment w:val="baseline"/>
        <w:rPr>
          <w:rFonts w:ascii="MathJax_Main" w:eastAsia="Times New Roman" w:hAnsi="MathJax_Main" w:cs="Times New Roman"/>
          <w:b/>
          <w:color w:val="333333"/>
          <w:sz w:val="15"/>
          <w:szCs w:val="15"/>
        </w:rPr>
      </w:pPr>
      <w:r>
        <w:rPr>
          <w:rFonts w:ascii="MathJax_Math" w:eastAsia="Times New Roman" w:hAnsi="MathJax_Math" w:cs="Times New Roman"/>
          <w:b/>
          <w:i/>
          <w:iCs/>
          <w:color w:val="333333"/>
          <w:sz w:val="15"/>
          <w:szCs w:val="15"/>
        </w:rPr>
        <w:t>μ</w:t>
      </w:r>
      <w:r>
        <w:rPr>
          <w:rFonts w:ascii="MathJax_Main" w:eastAsia="Times New Roman" w:hAnsi="MathJax_Main" w:cs="Times New Roman"/>
          <w:b/>
          <w:color w:val="333333"/>
          <w:sz w:val="15"/>
          <w:szCs w:val="15"/>
        </w:rPr>
        <w:t>=Σ</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)=(−1)</w:t>
      </w:r>
      <w:r>
        <w:rPr>
          <w:rFonts w:ascii="Cambria Math" w:eastAsia="Times New Roman" w:hAnsi="Cambria Math" w:cs="Cambria Math"/>
          <w:b/>
          <w:color w:val="333333"/>
          <w:sz w:val="15"/>
          <w:szCs w:val="15"/>
        </w:rPr>
        <w:t>⋅</w:t>
      </w:r>
      <w:r>
        <w:rPr>
          <w:rFonts w:ascii="MathJax_Main" w:eastAsia="Times New Roman" w:hAnsi="MathJax_Main" w:cs="Times New Roman"/>
          <w:b/>
          <w:color w:val="333333"/>
          <w:sz w:val="15"/>
          <w:szCs w:val="15"/>
        </w:rPr>
        <w:t>0.2+0</w:t>
      </w:r>
      <w:r>
        <w:rPr>
          <w:rFonts w:ascii="Cambria Math" w:eastAsia="Times New Roman" w:hAnsi="Cambria Math" w:cs="Cambria Math"/>
          <w:b/>
          <w:color w:val="333333"/>
          <w:sz w:val="15"/>
          <w:szCs w:val="15"/>
        </w:rPr>
        <w:t>⋅</w:t>
      </w:r>
      <w:r>
        <w:rPr>
          <w:rFonts w:ascii="MathJax_Main" w:eastAsia="Times New Roman" w:hAnsi="MathJax_Main" w:cs="Times New Roman"/>
          <w:b/>
          <w:color w:val="333333"/>
          <w:sz w:val="15"/>
          <w:szCs w:val="15"/>
        </w:rPr>
        <w:t>0.5+1</w:t>
      </w:r>
      <w:r>
        <w:rPr>
          <w:rFonts w:ascii="Cambria Math" w:eastAsia="Times New Roman" w:hAnsi="Cambria Math" w:cs="Cambria Math"/>
          <w:b/>
          <w:color w:val="333333"/>
          <w:sz w:val="15"/>
          <w:szCs w:val="15"/>
        </w:rPr>
        <w:t>⋅</w:t>
      </w:r>
      <w:r>
        <w:rPr>
          <w:rFonts w:ascii="MathJax_Main" w:eastAsia="Times New Roman" w:hAnsi="MathJax_Main" w:cs="Times New Roman"/>
          <w:b/>
          <w:color w:val="333333"/>
          <w:sz w:val="15"/>
          <w:szCs w:val="15"/>
        </w:rPr>
        <w:t>0.2+4</w:t>
      </w:r>
      <w:r>
        <w:rPr>
          <w:rFonts w:ascii="Cambria Math" w:eastAsia="Times New Roman" w:hAnsi="Cambria Math" w:cs="Cambria Math"/>
          <w:b/>
          <w:color w:val="333333"/>
          <w:sz w:val="15"/>
          <w:szCs w:val="15"/>
        </w:rPr>
        <w:t>⋅</w:t>
      </w:r>
      <w:r>
        <w:rPr>
          <w:rFonts w:ascii="MathJax_Main" w:eastAsia="Times New Roman" w:hAnsi="MathJax_Main" w:cs="Times New Roman"/>
          <w:b/>
          <w:color w:val="333333"/>
          <w:sz w:val="15"/>
          <w:szCs w:val="15"/>
        </w:rPr>
        <w:t>0.1=0.4</w:t>
      </w:r>
    </w:p>
    <w:p w:rsidR="00AD77BB" w:rsidRDefault="00B45BA0">
      <w:pPr>
        <w:shd w:val="clear" w:color="auto" w:fill="DAEEF3" w:themeFill="accent5" w:themeFillTint="33"/>
        <w:spacing w:line="439" w:lineRule="atLeast"/>
        <w:ind w:left="300" w:right="375"/>
        <w:jc w:val="center"/>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drawing>
          <wp:inline distT="0" distB="0" distL="0" distR="0" wp14:anchorId="02B9BA1F" wp14:editId="2A25F4C8">
            <wp:extent cx="5524500" cy="2124075"/>
            <wp:effectExtent l="0" t="0" r="0" b="9525"/>
            <wp:docPr id="120"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524500" cy="2124075"/>
                    </a:xfrm>
                    <a:prstGeom prst="rect">
                      <a:avLst/>
                    </a:prstGeom>
                    <a:noFill/>
                    <a:ln>
                      <a:noFill/>
                    </a:ln>
                  </pic:spPr>
                </pic:pic>
              </a:graphicData>
            </a:graphic>
          </wp:inline>
        </w:drawing>
      </w:r>
    </w:p>
    <w:p w:rsidR="00AD77BB" w:rsidRDefault="00AD77BB">
      <w:pPr>
        <w:shd w:val="clear" w:color="auto" w:fill="DAEEF3" w:themeFill="accent5" w:themeFillTint="33"/>
        <w:spacing w:line="439" w:lineRule="atLeast"/>
        <w:ind w:left="300" w:right="375"/>
        <w:jc w:val="center"/>
        <w:textAlignment w:val="baseline"/>
        <w:rPr>
          <w:rFonts w:ascii="Calibri" w:eastAsia="Times New Roman" w:hAnsi="Calibri" w:cs="Times New Roman"/>
          <w:b/>
          <w:color w:val="333333"/>
          <w:sz w:val="20"/>
          <w:szCs w:val="20"/>
        </w:rPr>
      </w:pPr>
    </w:p>
    <w:p w:rsidR="00AD77BB" w:rsidRDefault="00AD77BB">
      <w:pPr>
        <w:shd w:val="clear" w:color="auto" w:fill="DAEEF3" w:themeFill="accent5" w:themeFillTint="33"/>
        <w:spacing w:line="439" w:lineRule="atLeast"/>
        <w:ind w:left="300" w:right="375"/>
        <w:jc w:val="center"/>
        <w:textAlignment w:val="baseline"/>
        <w:rPr>
          <w:rFonts w:ascii="Calibri" w:eastAsia="Times New Roman" w:hAnsi="Calibri" w:cs="Times New Roman"/>
          <w:b/>
          <w:color w:val="333333"/>
          <w:sz w:val="20"/>
          <w:szCs w:val="20"/>
        </w:rPr>
      </w:pPr>
    </w:p>
    <w:p w:rsidR="00AD77BB" w:rsidRDefault="00AD77BB">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KEY TAKEAWAYS</w:t>
      </w:r>
    </w:p>
    <w:p w:rsidR="00AD77BB" w:rsidRDefault="00B45BA0">
      <w:pPr>
        <w:numPr>
          <w:ilvl w:val="0"/>
          <w:numId w:val="103"/>
        </w:numPr>
        <w:shd w:val="clear" w:color="auto" w:fill="DAEEF3" w:themeFill="accent5" w:themeFillTint="33"/>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probability distribution of a discrete random variable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a listing of each possible value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taken by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along with the probability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that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takes that value in one trial of the experiment.</w:t>
      </w:r>
    </w:p>
    <w:p w:rsidR="00AD77BB" w:rsidRDefault="00B45BA0">
      <w:pPr>
        <w:numPr>
          <w:ilvl w:val="0"/>
          <w:numId w:val="103"/>
        </w:numPr>
        <w:shd w:val="clear" w:color="auto" w:fill="DAEEF3" w:themeFill="accent5" w:themeFillTint="33"/>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mean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 of a discrete random variable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a number that indicates the average value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over numerous trials of the experiment. It is computed using the formula </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=Σ</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w:t>
      </w:r>
    </w:p>
    <w:p w:rsidR="00AD77BB" w:rsidRDefault="00B45BA0">
      <w:pPr>
        <w:numPr>
          <w:ilvl w:val="0"/>
          <w:numId w:val="103"/>
        </w:numPr>
        <w:shd w:val="clear" w:color="auto" w:fill="DAEEF3" w:themeFill="accent5" w:themeFillTint="33"/>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variance </w:t>
      </w:r>
      <w:r>
        <w:rPr>
          <w:rFonts w:ascii="MathJax_Math" w:eastAsia="Times New Roman" w:hAnsi="MathJax_Math" w:cs="Times New Roman"/>
          <w:i/>
          <w:iCs/>
          <w:color w:val="333333"/>
          <w:sz w:val="15"/>
          <w:szCs w:val="15"/>
        </w:rPr>
        <w:t>σ</w:t>
      </w:r>
      <w:r>
        <w:rPr>
          <w:rFonts w:ascii="MathJax_Main" w:eastAsia="Times New Roman" w:hAnsi="MathJax_Main" w:cs="Times New Roman"/>
          <w:color w:val="333333"/>
          <w:sz w:val="12"/>
          <w:szCs w:val="12"/>
        </w:rPr>
        <w:t>2</w:t>
      </w:r>
      <w:r>
        <w:rPr>
          <w:rFonts w:ascii="Calibri" w:eastAsia="Times New Roman" w:hAnsi="Calibri" w:cs="Times New Roman"/>
          <w:color w:val="333333"/>
          <w:sz w:val="20"/>
          <w:szCs w:val="20"/>
        </w:rPr>
        <w:t> and standard deviation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of a discrete random variable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are numbers that indicate the variability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over numerous trials of the experiment. They may be computed using the formula </w:t>
      </w:r>
      <w:r>
        <w:rPr>
          <w:rFonts w:ascii="MathJax_Math" w:eastAsia="Times New Roman" w:hAnsi="MathJax_Math" w:cs="Times New Roman"/>
          <w:b/>
          <w:i/>
          <w:iCs/>
          <w:color w:val="333333"/>
          <w:sz w:val="15"/>
          <w:szCs w:val="15"/>
        </w:rPr>
        <w:t>σ</w:t>
      </w:r>
      <w:r>
        <w:rPr>
          <w:rFonts w:ascii="MathJax_Main" w:eastAsia="Times New Roman" w:hAnsi="MathJax_Main" w:cs="Times New Roman"/>
          <w:b/>
          <w:color w:val="333333"/>
          <w:sz w:val="12"/>
          <w:szCs w:val="12"/>
          <w:vertAlign w:val="superscript"/>
        </w:rPr>
        <w:t>2</w:t>
      </w:r>
      <w:r>
        <w:rPr>
          <w:rFonts w:ascii="MathJax_Main" w:eastAsia="Times New Roman" w:hAnsi="MathJax_Main" w:cs="Times New Roman"/>
          <w:b/>
          <w:color w:val="333333"/>
          <w:sz w:val="15"/>
          <w:szCs w:val="15"/>
        </w:rPr>
        <w:t>=</w:t>
      </w:r>
      <w:r>
        <w:rPr>
          <w:rFonts w:ascii="MathJax_Size2" w:eastAsia="Times New Roman" w:hAnsi="MathJax_Size2" w:cs="Times New Roman"/>
          <w:b/>
          <w:color w:val="333333"/>
          <w:sz w:val="15"/>
          <w:szCs w:val="15"/>
        </w:rPr>
        <w:t>[</w:t>
      </w:r>
      <w:r>
        <w:rPr>
          <w:rFonts w:ascii="MathJax_Main" w:eastAsia="Times New Roman" w:hAnsi="MathJax_Main" w:cs="Times New Roman"/>
          <w:b/>
          <w:color w:val="333333"/>
          <w:sz w:val="15"/>
          <w:szCs w:val="15"/>
        </w:rPr>
        <w:t>Σ</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2"/>
          <w:szCs w:val="12"/>
          <w:vertAlign w:val="superscript"/>
        </w:rPr>
        <w:t>2</w:t>
      </w:r>
      <w:r>
        <w:rPr>
          <w:rFonts w:ascii="MathJax_Main" w:eastAsia="Times New Roman" w:hAnsi="MathJax_Main" w:cs="Times New Roman"/>
          <w:b/>
          <w:color w:val="333333"/>
          <w:sz w:val="15"/>
          <w:szCs w:val="15"/>
        </w:rPr>
        <w:t> </w:t>
      </w:r>
      <w:r>
        <w:rPr>
          <w:rFonts w:ascii="MathJax_Math" w:eastAsia="Times New Roman" w:hAnsi="MathJax_Math" w:cs="Times New Roman"/>
          <w:b/>
          <w:i/>
          <w:iCs/>
          <w:color w:val="333333"/>
          <w:sz w:val="15"/>
          <w:szCs w:val="15"/>
        </w:rPr>
        <w:t>P</w:t>
      </w:r>
      <w:r>
        <w:rPr>
          <w:rFonts w:ascii="MathJax_Size2" w:eastAsia="Times New Roman" w:hAnsi="MathJax_Size2" w:cs="Times New Roman"/>
          <w:b/>
          <w:color w:val="333333"/>
          <w:sz w:val="15"/>
          <w:szCs w:val="15"/>
        </w:rPr>
        <w:t>(</w:t>
      </w:r>
      <w:r>
        <w:rPr>
          <w:rFonts w:ascii="MathJax_Math" w:eastAsia="Times New Roman" w:hAnsi="MathJax_Math" w:cs="Times New Roman"/>
          <w:b/>
          <w:i/>
          <w:iCs/>
          <w:color w:val="333333"/>
          <w:sz w:val="15"/>
          <w:szCs w:val="15"/>
        </w:rPr>
        <w:t>x</w:t>
      </w:r>
      <w:r>
        <w:rPr>
          <w:rFonts w:ascii="MathJax_Size2" w:eastAsia="Times New Roman" w:hAnsi="MathJax_Size2" w:cs="Times New Roman"/>
          <w:b/>
          <w:color w:val="333333"/>
          <w:sz w:val="15"/>
          <w:szCs w:val="15"/>
        </w:rPr>
        <w:t>)</w:t>
      </w:r>
      <w:r>
        <w:rPr>
          <w:rFonts w:ascii="MathJax_Main" w:eastAsia="Times New Roman" w:hAnsi="MathJax_Main" w:cs="Times New Roman"/>
          <w:b/>
          <w:color w:val="333333"/>
          <w:sz w:val="15"/>
          <w:szCs w:val="15"/>
        </w:rPr>
        <w:t> </w:t>
      </w:r>
      <w:r>
        <w:rPr>
          <w:rFonts w:ascii="MathJax_Size2" w:eastAsia="Times New Roman" w:hAnsi="MathJax_Size2" w:cs="Times New Roman"/>
          <w:b/>
          <w:color w:val="333333"/>
          <w:sz w:val="15"/>
          <w:szCs w:val="15"/>
        </w:rPr>
        <w:t>]</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μ</w:t>
      </w:r>
      <w:r>
        <w:rPr>
          <w:rFonts w:ascii="MathJax_Main" w:eastAsia="Times New Roman" w:hAnsi="MathJax_Main" w:cs="Times New Roman"/>
          <w:b/>
          <w:color w:val="333333"/>
          <w:sz w:val="12"/>
          <w:szCs w:val="12"/>
          <w:vertAlign w:val="superscript"/>
        </w:rPr>
        <w:t>2</w:t>
      </w:r>
      <w:r>
        <w:rPr>
          <w:rFonts w:ascii="Calibri" w:eastAsia="Times New Roman" w:hAnsi="Calibri" w:cs="Times New Roman"/>
          <w:color w:val="333333"/>
          <w:sz w:val="20"/>
          <w:szCs w:val="20"/>
        </w:rPr>
        <w:t>, taking the square root to obtain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w:t>
      </w:r>
    </w:p>
    <w:p w:rsidR="00AD77BB" w:rsidRDefault="00B45BA0">
      <w:pPr>
        <w:shd w:val="clear" w:color="auto" w:fill="FFFFFF" w:themeFill="background1"/>
        <w:spacing w:line="439" w:lineRule="atLeast"/>
        <w:ind w:left="300" w:right="375"/>
        <w:jc w:val="center"/>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drawing>
          <wp:inline distT="0" distB="0" distL="0" distR="0" wp14:anchorId="0D2C5502" wp14:editId="78C5E89E">
            <wp:extent cx="5524500" cy="5981700"/>
            <wp:effectExtent l="0" t="0" r="0" b="0"/>
            <wp:docPr id="121"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524500" cy="5981700"/>
                    </a:xfrm>
                    <a:prstGeom prst="rect">
                      <a:avLst/>
                    </a:prstGeom>
                    <a:noFill/>
                    <a:ln>
                      <a:noFill/>
                    </a:ln>
                  </pic:spPr>
                </pic:pic>
              </a:graphicData>
            </a:graphic>
          </wp:inline>
        </w:drawing>
      </w:r>
    </w:p>
    <w:p w:rsidR="00AD77BB" w:rsidRDefault="00B45BA0">
      <w:pPr>
        <w:shd w:val="clear" w:color="auto" w:fill="FFFFFF" w:themeFill="background1"/>
        <w:spacing w:line="439" w:lineRule="atLeast"/>
        <w:ind w:left="300" w:right="375"/>
        <w:jc w:val="center"/>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5B79ECC2" wp14:editId="6F7CB5F3">
            <wp:extent cx="5334000" cy="6496050"/>
            <wp:effectExtent l="0" t="0" r="0" b="0"/>
            <wp:docPr id="122"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34000" cy="6496050"/>
                    </a:xfrm>
                    <a:prstGeom prst="rect">
                      <a:avLst/>
                    </a:prstGeom>
                    <a:noFill/>
                    <a:ln>
                      <a:noFill/>
                    </a:ln>
                  </pic:spPr>
                </pic:pic>
              </a:graphicData>
            </a:graphic>
          </wp:inline>
        </w:drawing>
      </w:r>
    </w:p>
    <w:p w:rsidR="00AD77BB" w:rsidRDefault="00B45BA0">
      <w:pPr>
        <w:shd w:val="clear" w:color="auto" w:fill="FFFFFF" w:themeFill="background1"/>
        <w:spacing w:line="439" w:lineRule="atLeast"/>
        <w:ind w:left="300" w:right="375"/>
        <w:jc w:val="center"/>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1E5D2590" wp14:editId="7676C992">
            <wp:extent cx="5572125" cy="6486525"/>
            <wp:effectExtent l="0" t="0" r="9525" b="9525"/>
            <wp:docPr id="123"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572125" cy="6486525"/>
                    </a:xfrm>
                    <a:prstGeom prst="rect">
                      <a:avLst/>
                    </a:prstGeom>
                    <a:noFill/>
                    <a:ln>
                      <a:noFill/>
                    </a:ln>
                  </pic:spPr>
                </pic:pic>
              </a:graphicData>
            </a:graphic>
          </wp:inline>
        </w:drawing>
      </w:r>
    </w:p>
    <w:p w:rsidR="00AD77BB" w:rsidRDefault="00B45BA0">
      <w:pPr>
        <w:shd w:val="clear" w:color="auto" w:fill="FFFFFF" w:themeFill="background1"/>
        <w:spacing w:line="439" w:lineRule="atLeast"/>
        <w:ind w:left="300" w:right="375"/>
        <w:jc w:val="center"/>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461FD216" wp14:editId="4DCB6CFC">
            <wp:extent cx="5648325" cy="6419850"/>
            <wp:effectExtent l="0" t="0" r="9525" b="0"/>
            <wp:docPr id="124"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48325" cy="6419850"/>
                    </a:xfrm>
                    <a:prstGeom prst="rect">
                      <a:avLst/>
                    </a:prstGeom>
                    <a:noFill/>
                    <a:ln>
                      <a:noFill/>
                    </a:ln>
                  </pic:spPr>
                </pic:pic>
              </a:graphicData>
            </a:graphic>
          </wp:inline>
        </w:drawing>
      </w:r>
    </w:p>
    <w:p w:rsidR="00AD77BB" w:rsidRDefault="00B45BA0">
      <w:pPr>
        <w:numPr>
          <w:ilvl w:val="0"/>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Let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denote the number of times a fair coin lands heads in three tosses. Construct the probability distribution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w:t>
      </w:r>
    </w:p>
    <w:p w:rsidR="00AD77BB" w:rsidRDefault="00B45BA0">
      <w:pPr>
        <w:numPr>
          <w:ilvl w:val="0"/>
          <w:numId w:val="10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Five thousand lottery tickets are sold for $1 each. One ticket will win $1,000, two tickets will win $500 each, and ten tickets will win $100 each. Let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denote the net gain from the purchase of a randomly selected ticket.</w:t>
      </w:r>
    </w:p>
    <w:p w:rsidR="00AD77BB" w:rsidRDefault="00B45BA0">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the probability distribution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w:t>
      </w:r>
    </w:p>
    <w:p w:rsidR="00AD77BB" w:rsidRDefault="00B45BA0">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expected value </w:t>
      </w:r>
      <w:r>
        <w:rPr>
          <w:rFonts w:ascii="MathJax_Math" w:eastAsia="Times New Roman" w:hAnsi="MathJax_Math" w:cs="Times New Roman"/>
          <w:b/>
          <w:i/>
          <w:iCs/>
          <w:color w:val="333333"/>
          <w:sz w:val="15"/>
          <w:szCs w:val="15"/>
        </w:rPr>
        <w:t>E</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w:t>
      </w:r>
      <w:r>
        <w:rPr>
          <w:rFonts w:ascii="Calibri" w:eastAsia="Times New Roman" w:hAnsi="Calibri" w:cs="Times New Roman"/>
          <w:color w:val="333333"/>
          <w:sz w:val="20"/>
          <w:szCs w:val="20"/>
        </w:rPr>
        <w:t>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Interpret its meaning.</w:t>
      </w:r>
    </w:p>
    <w:p w:rsidR="00AD77BB" w:rsidRDefault="00B45BA0">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standard deviation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w:t>
      </w:r>
    </w:p>
    <w:p w:rsidR="00AD77BB" w:rsidRDefault="00B45BA0">
      <w:pPr>
        <w:numPr>
          <w:ilvl w:val="0"/>
          <w:numId w:val="10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Seven thousand lottery tickets are sold for $5 each. One ticket will win $2,000, two tickets will win $750 each, and five tickets will win $100 each. Let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denote the net gain from the purchase of a randomly selected ticket.</w:t>
      </w:r>
    </w:p>
    <w:p w:rsidR="00AD77BB" w:rsidRDefault="00B45BA0">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the probability distribution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w:t>
      </w:r>
    </w:p>
    <w:p w:rsidR="00AD77BB" w:rsidRDefault="00B45BA0">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expected value </w:t>
      </w:r>
      <w:r>
        <w:rPr>
          <w:rFonts w:ascii="MathJax_Math" w:eastAsia="Times New Roman" w:hAnsi="MathJax_Math" w:cs="Times New Roman"/>
          <w:b/>
          <w:i/>
          <w:iCs/>
          <w:color w:val="333333"/>
          <w:sz w:val="15"/>
          <w:szCs w:val="15"/>
        </w:rPr>
        <w:t>E</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w:t>
      </w:r>
      <w:r>
        <w:rPr>
          <w:rFonts w:ascii="Calibri" w:eastAsia="Times New Roman" w:hAnsi="Calibri" w:cs="Times New Roman"/>
          <w:color w:val="333333"/>
          <w:sz w:val="20"/>
          <w:szCs w:val="20"/>
        </w:rPr>
        <w:t>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Interpret its meaning.</w:t>
      </w:r>
    </w:p>
    <w:p w:rsidR="00AD77BB" w:rsidRDefault="00B45BA0">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standard deviation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w:t>
      </w:r>
    </w:p>
    <w:p w:rsidR="00AD77BB" w:rsidRDefault="00B45BA0">
      <w:pPr>
        <w:numPr>
          <w:ilvl w:val="0"/>
          <w:numId w:val="10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insurance company will sell a $90,000 one-year term life insurance policy to an individual in a particular risk group for a premium of $478. Find the expected value to the company of a single policy if a person in this risk group has a 99.62% chance of surviving one year.</w:t>
      </w:r>
    </w:p>
    <w:p w:rsidR="00AD77BB" w:rsidRDefault="00AD77BB">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p>
    <w:p w:rsidR="00AD77BB" w:rsidRDefault="00B45BA0">
      <w:pPr>
        <w:numPr>
          <w:ilvl w:val="0"/>
          <w:numId w:val="10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insurance company will sell a $10,000 one-year term life insurance policy to an individual in a particular risk group for a premium of $368. Find the expected value to the company of a single policy if a person in this risk group has a 97.25% chance of surviving one year.</w:t>
      </w:r>
    </w:p>
    <w:p w:rsidR="00AD77BB" w:rsidRDefault="00AD77BB">
      <w:pPr>
        <w:pStyle w:val="ListParagraph"/>
        <w:shd w:val="clear" w:color="auto" w:fill="DAEEF3" w:themeFill="accent5" w:themeFillTint="33"/>
        <w:spacing w:line="360" w:lineRule="auto"/>
        <w:rPr>
          <w:rFonts w:ascii="Calibri" w:eastAsia="Times New Roman" w:hAnsi="Calibri" w:cs="Times New Roman"/>
          <w:color w:val="333333"/>
          <w:sz w:val="20"/>
          <w:szCs w:val="20"/>
        </w:rPr>
      </w:pPr>
    </w:p>
    <w:p w:rsidR="00AD77BB" w:rsidRDefault="00AD77BB">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p>
    <w:p w:rsidR="00AD77BB" w:rsidRDefault="00B45BA0">
      <w:pPr>
        <w:numPr>
          <w:ilvl w:val="0"/>
          <w:numId w:val="10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insurance company estimates that the probability that an individual in a particular risk group will survive one year is 0.9825. Such a person wishes to buy a $150,000 one-year term life insurance policy. Let </w:t>
      </w:r>
      <w:r>
        <w:rPr>
          <w:rFonts w:ascii="Calibri" w:eastAsia="Times New Roman" w:hAnsi="Calibri" w:cs="Times New Roman"/>
          <w:i/>
          <w:iCs/>
          <w:color w:val="333333"/>
          <w:sz w:val="20"/>
          <w:szCs w:val="20"/>
        </w:rPr>
        <w:t>C</w:t>
      </w:r>
      <w:r>
        <w:rPr>
          <w:rFonts w:ascii="Calibri" w:eastAsia="Times New Roman" w:hAnsi="Calibri" w:cs="Times New Roman"/>
          <w:color w:val="333333"/>
          <w:sz w:val="20"/>
          <w:szCs w:val="20"/>
        </w:rPr>
        <w:t> denote how much the insurance company charges such a person for such a policy.</w:t>
      </w:r>
    </w:p>
    <w:p w:rsidR="00AD77BB" w:rsidRDefault="00B45BA0">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the probability distribution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(Two entries in the table will contain</w:t>
      </w:r>
      <w:r>
        <w:rPr>
          <w:rFonts w:ascii="Calibri" w:eastAsia="Times New Roman" w:hAnsi="Calibri" w:cs="Times New Roman"/>
          <w:i/>
          <w:iCs/>
          <w:color w:val="333333"/>
          <w:sz w:val="20"/>
          <w:szCs w:val="20"/>
        </w:rPr>
        <w:t>C</w:t>
      </w:r>
      <w:r>
        <w:rPr>
          <w:rFonts w:ascii="Calibri" w:eastAsia="Times New Roman" w:hAnsi="Calibri" w:cs="Times New Roman"/>
          <w:color w:val="333333"/>
          <w:sz w:val="20"/>
          <w:szCs w:val="20"/>
        </w:rPr>
        <w:t>.)</w:t>
      </w:r>
    </w:p>
    <w:p w:rsidR="00AD77BB" w:rsidRDefault="00B45BA0">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expected value </w:t>
      </w:r>
      <w:r>
        <w:rPr>
          <w:rFonts w:ascii="MathJax_Math" w:eastAsia="Times New Roman" w:hAnsi="MathJax_Math" w:cs="Times New Roman"/>
          <w:b/>
          <w:i/>
          <w:iCs/>
          <w:color w:val="333333"/>
          <w:sz w:val="15"/>
          <w:szCs w:val="15"/>
        </w:rPr>
        <w:t>E</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w:t>
      </w:r>
      <w:r>
        <w:rPr>
          <w:rFonts w:ascii="Calibri" w:eastAsia="Times New Roman" w:hAnsi="Calibri" w:cs="Times New Roman"/>
          <w:color w:val="333333"/>
          <w:sz w:val="20"/>
          <w:szCs w:val="20"/>
        </w:rPr>
        <w:t>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w:t>
      </w:r>
    </w:p>
    <w:p w:rsidR="00AD77BB" w:rsidRDefault="00B45BA0">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Determine the value </w:t>
      </w:r>
      <w:r>
        <w:rPr>
          <w:rFonts w:ascii="Calibri" w:eastAsia="Times New Roman" w:hAnsi="Calibri" w:cs="Times New Roman"/>
          <w:i/>
          <w:iCs/>
          <w:color w:val="333333"/>
          <w:sz w:val="20"/>
          <w:szCs w:val="20"/>
        </w:rPr>
        <w:t>C</w:t>
      </w:r>
      <w:r>
        <w:rPr>
          <w:rFonts w:ascii="Calibri" w:eastAsia="Times New Roman" w:hAnsi="Calibri" w:cs="Times New Roman"/>
          <w:color w:val="333333"/>
          <w:sz w:val="20"/>
          <w:szCs w:val="20"/>
        </w:rPr>
        <w:t> must have in order for the company to break even on all such policies (that is, to average a net gain of zero per policy on such policies).</w:t>
      </w:r>
    </w:p>
    <w:p w:rsidR="00AD77BB" w:rsidRDefault="00B45BA0">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Determine the value </w:t>
      </w:r>
      <w:r>
        <w:rPr>
          <w:rFonts w:ascii="Calibri" w:eastAsia="Times New Roman" w:hAnsi="Calibri" w:cs="Times New Roman"/>
          <w:i/>
          <w:iCs/>
          <w:color w:val="333333"/>
          <w:sz w:val="20"/>
          <w:szCs w:val="20"/>
        </w:rPr>
        <w:t>C</w:t>
      </w:r>
      <w:r>
        <w:rPr>
          <w:rFonts w:ascii="Calibri" w:eastAsia="Times New Roman" w:hAnsi="Calibri" w:cs="Times New Roman"/>
          <w:color w:val="333333"/>
          <w:sz w:val="20"/>
          <w:szCs w:val="20"/>
        </w:rPr>
        <w:t> must have in order for the company to average a net gain of $250 per policy on all such policies.</w:t>
      </w:r>
    </w:p>
    <w:p w:rsidR="00AD77BB" w:rsidRDefault="00B45BA0">
      <w:pPr>
        <w:numPr>
          <w:ilvl w:val="0"/>
          <w:numId w:val="104"/>
        </w:numPr>
        <w:shd w:val="clear" w:color="auto" w:fill="DAEEF3" w:themeFill="accent5" w:themeFillTint="33"/>
        <w:spacing w:after="0" w:line="360" w:lineRule="auto"/>
        <w:ind w:left="328" w:hangingChars="164" w:hanging="328"/>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insurance company estimates that the probability that an individual in a particular risk group will survive one year is 0.99. Such a person wishes to buy a $75,000 one-year term life insurance policy. Let </w:t>
      </w:r>
      <w:r>
        <w:rPr>
          <w:rFonts w:ascii="Calibri" w:eastAsia="Times New Roman" w:hAnsi="Calibri" w:cs="Times New Roman"/>
          <w:i/>
          <w:iCs/>
          <w:color w:val="333333"/>
          <w:sz w:val="20"/>
          <w:szCs w:val="20"/>
        </w:rPr>
        <w:t>C</w:t>
      </w:r>
      <w:r>
        <w:rPr>
          <w:rFonts w:ascii="Calibri" w:eastAsia="Times New Roman" w:hAnsi="Calibri" w:cs="Times New Roman"/>
          <w:color w:val="333333"/>
          <w:sz w:val="20"/>
          <w:szCs w:val="20"/>
        </w:rPr>
        <w:t> denote how much the insurance company charges such a person for such a policy.</w:t>
      </w:r>
    </w:p>
    <w:p w:rsidR="00AD77BB" w:rsidRDefault="00B45BA0">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the probability distribution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(Two entries in the table will contain</w:t>
      </w:r>
      <w:r>
        <w:rPr>
          <w:rFonts w:ascii="Calibri" w:eastAsia="Times New Roman" w:hAnsi="Calibri" w:cs="Times New Roman"/>
          <w:i/>
          <w:iCs/>
          <w:color w:val="333333"/>
          <w:sz w:val="20"/>
          <w:szCs w:val="20"/>
        </w:rPr>
        <w:t>C</w:t>
      </w:r>
      <w:r>
        <w:rPr>
          <w:rFonts w:ascii="Calibri" w:eastAsia="Times New Roman" w:hAnsi="Calibri" w:cs="Times New Roman"/>
          <w:color w:val="333333"/>
          <w:sz w:val="20"/>
          <w:szCs w:val="20"/>
        </w:rPr>
        <w:t>.)</w:t>
      </w:r>
    </w:p>
    <w:p w:rsidR="00AD77BB" w:rsidRDefault="00B45BA0">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expected value </w:t>
      </w:r>
      <w:r>
        <w:rPr>
          <w:rFonts w:ascii="MathJax_Math" w:eastAsia="Times New Roman" w:hAnsi="MathJax_Math" w:cs="Times New Roman"/>
          <w:b/>
          <w:i/>
          <w:iCs/>
          <w:color w:val="333333"/>
          <w:sz w:val="15"/>
          <w:szCs w:val="15"/>
        </w:rPr>
        <w:t>E</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w:t>
      </w:r>
      <w:r>
        <w:rPr>
          <w:rFonts w:ascii="Calibri" w:eastAsia="Times New Roman" w:hAnsi="Calibri" w:cs="Times New Roman"/>
          <w:b/>
          <w:color w:val="333333"/>
          <w:sz w:val="20"/>
          <w:szCs w:val="20"/>
        </w:rPr>
        <w:t> </w:t>
      </w:r>
      <w:r>
        <w:rPr>
          <w:rFonts w:ascii="Calibri" w:eastAsia="Times New Roman" w:hAnsi="Calibri" w:cs="Times New Roman"/>
          <w:color w:val="333333"/>
          <w:sz w:val="20"/>
          <w:szCs w:val="20"/>
        </w:rPr>
        <w:t>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w:t>
      </w:r>
    </w:p>
    <w:p w:rsidR="00AD77BB" w:rsidRDefault="00B45BA0">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Determine the value </w:t>
      </w:r>
      <w:r>
        <w:rPr>
          <w:rFonts w:ascii="Calibri" w:eastAsia="Times New Roman" w:hAnsi="Calibri" w:cs="Times New Roman"/>
          <w:i/>
          <w:iCs/>
          <w:color w:val="333333"/>
          <w:sz w:val="20"/>
          <w:szCs w:val="20"/>
        </w:rPr>
        <w:t>C</w:t>
      </w:r>
      <w:r>
        <w:rPr>
          <w:rFonts w:ascii="Calibri" w:eastAsia="Times New Roman" w:hAnsi="Calibri" w:cs="Times New Roman"/>
          <w:color w:val="333333"/>
          <w:sz w:val="20"/>
          <w:szCs w:val="20"/>
        </w:rPr>
        <w:t> must have in order for the company to break even on all such policies (that is, to average a net gain of zero per policy on such policies).</w:t>
      </w:r>
    </w:p>
    <w:p w:rsidR="00AD77BB" w:rsidRDefault="00B45BA0">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Determine the value </w:t>
      </w:r>
      <w:r>
        <w:rPr>
          <w:rFonts w:ascii="Calibri" w:eastAsia="Times New Roman" w:hAnsi="Calibri" w:cs="Times New Roman"/>
          <w:i/>
          <w:iCs/>
          <w:color w:val="333333"/>
          <w:sz w:val="20"/>
          <w:szCs w:val="20"/>
        </w:rPr>
        <w:t>C</w:t>
      </w:r>
      <w:r>
        <w:rPr>
          <w:rFonts w:ascii="Calibri" w:eastAsia="Times New Roman" w:hAnsi="Calibri" w:cs="Times New Roman"/>
          <w:color w:val="333333"/>
          <w:sz w:val="20"/>
          <w:szCs w:val="20"/>
        </w:rPr>
        <w:t> must have in order for the company to average a net gain of $150 per policy on all such policies.</w:t>
      </w:r>
    </w:p>
    <w:p w:rsidR="00AD77BB" w:rsidRDefault="00B45BA0">
      <w:pPr>
        <w:numPr>
          <w:ilvl w:val="0"/>
          <w:numId w:val="104"/>
        </w:numPr>
        <w:shd w:val="clear" w:color="auto" w:fill="DAEEF3" w:themeFill="accent5" w:themeFillTint="33"/>
        <w:spacing w:after="0" w:line="360" w:lineRule="auto"/>
        <w:ind w:left="328" w:hangingChars="164" w:hanging="328"/>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A roulette wheel has 38 slots. Thirty-six slots are numbered from 1 to 36; half of them are red and half are black. The remaining two slots are numbered 0 and 00 and are green. In a $1 bet on red, the bettor pays $1 to </w:t>
      </w:r>
      <w:r>
        <w:rPr>
          <w:rFonts w:ascii="Calibri" w:eastAsia="Times New Roman" w:hAnsi="Calibri" w:cs="Times New Roman"/>
          <w:color w:val="333333"/>
          <w:sz w:val="20"/>
          <w:szCs w:val="20"/>
        </w:rPr>
        <w:lastRenderedPageBreak/>
        <w:t>play. If the ball lands in a red slot, he receives back the dollar he bet plus an additional dollar. If the ball does not land on red he loses his dollar. Let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denote the net gain to the bettor on one play of the game.</w:t>
      </w:r>
    </w:p>
    <w:p w:rsidR="00AD77BB" w:rsidRDefault="00B45BA0">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the probability distribution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w:t>
      </w:r>
    </w:p>
    <w:p w:rsidR="00AD77BB" w:rsidRDefault="00B45BA0">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expected value </w:t>
      </w:r>
      <w:r>
        <w:rPr>
          <w:rFonts w:ascii="MathJax_Math" w:eastAsia="Times New Roman" w:hAnsi="MathJax_Math" w:cs="Times New Roman"/>
          <w:b/>
          <w:i/>
          <w:iCs/>
          <w:color w:val="333333"/>
          <w:sz w:val="15"/>
          <w:szCs w:val="15"/>
        </w:rPr>
        <w:t>E</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w:t>
      </w:r>
      <w:r>
        <w:rPr>
          <w:rFonts w:ascii="Calibri" w:eastAsia="Times New Roman" w:hAnsi="Calibri" w:cs="Times New Roman"/>
          <w:color w:val="333333"/>
          <w:sz w:val="20"/>
          <w:szCs w:val="20"/>
        </w:rPr>
        <w:t>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and interpret its meaning in the context of the problem.</w:t>
      </w:r>
    </w:p>
    <w:p w:rsidR="00AD77BB" w:rsidRDefault="00B45BA0">
      <w:pPr>
        <w:numPr>
          <w:ilvl w:val="1"/>
          <w:numId w:val="10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standard deviation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w:t>
      </w:r>
    </w:p>
    <w:p w:rsidR="00AD77BB" w:rsidRDefault="00B45BA0">
      <w:pPr>
        <w:numPr>
          <w:ilvl w:val="0"/>
          <w:numId w:val="10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hAnsi="Calibri"/>
          <w:color w:val="333333"/>
          <w:sz w:val="20"/>
          <w:szCs w:val="20"/>
          <w:shd w:val="clear" w:color="auto" w:fill="E3EFF7"/>
        </w:rPr>
        <w:t>A roulette wheel has 38 slots. Thirty-six slots are numbered from 1 to 36; the remaining two slots are numbered 0 and 00. Suppose the “number” 00 is considered not to be even, but the number 0 is still even. In a $1 bet on even, the bettor pays $1 to play. If the ball lands in an even numbered slot, he receives back the dollar he bet plus an additional dollar. If the ball does not land on an even numbered slot, he loses his dollar. Let</w:t>
      </w:r>
      <w:r>
        <w:rPr>
          <w:rStyle w:val="apple-converted-space"/>
          <w:rFonts w:ascii="Calibri" w:hAnsi="Calibri"/>
          <w:color w:val="333333"/>
          <w:sz w:val="20"/>
          <w:szCs w:val="20"/>
          <w:shd w:val="clear" w:color="auto" w:fill="E3EFF7"/>
        </w:rPr>
        <w:t> </w:t>
      </w:r>
      <w:r>
        <w:rPr>
          <w:rStyle w:val="Emphasis"/>
          <w:rFonts w:ascii="Calibri" w:hAnsi="Calibri"/>
          <w:color w:val="333333"/>
          <w:sz w:val="20"/>
          <w:szCs w:val="20"/>
          <w:shd w:val="clear" w:color="auto" w:fill="E3EFF7"/>
        </w:rPr>
        <w:t>X</w:t>
      </w:r>
      <w:r>
        <w:rPr>
          <w:rStyle w:val="apple-converted-space"/>
          <w:rFonts w:ascii="Calibri" w:hAnsi="Calibri"/>
          <w:color w:val="333333"/>
          <w:sz w:val="20"/>
          <w:szCs w:val="20"/>
          <w:shd w:val="clear" w:color="auto" w:fill="E3EFF7"/>
        </w:rPr>
        <w:t> </w:t>
      </w:r>
      <w:r>
        <w:rPr>
          <w:rFonts w:ascii="Calibri" w:hAnsi="Calibri"/>
          <w:color w:val="333333"/>
          <w:sz w:val="20"/>
          <w:szCs w:val="20"/>
          <w:shd w:val="clear" w:color="auto" w:fill="E3EFF7"/>
        </w:rPr>
        <w:t>denote the net gain to the bettor on one play of the game.</w:t>
      </w:r>
    </w:p>
    <w:p w:rsidR="00AD77BB" w:rsidRDefault="00B45BA0">
      <w:pPr>
        <w:pStyle w:val="ListParagraph"/>
        <w:numPr>
          <w:ilvl w:val="1"/>
          <w:numId w:val="104"/>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Construct the probability distribution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w:t>
      </w:r>
    </w:p>
    <w:p w:rsidR="00AD77BB" w:rsidRDefault="00B45BA0">
      <w:pPr>
        <w:pStyle w:val="ListParagraph"/>
        <w:numPr>
          <w:ilvl w:val="1"/>
          <w:numId w:val="104"/>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expected value </w:t>
      </w:r>
      <w:r>
        <w:rPr>
          <w:rFonts w:ascii="MathJax_Math" w:eastAsia="Times New Roman" w:hAnsi="MathJax_Math" w:cs="Times New Roman"/>
          <w:b/>
          <w:i/>
          <w:iCs/>
          <w:color w:val="333333"/>
          <w:sz w:val="15"/>
          <w:szCs w:val="15"/>
        </w:rPr>
        <w:t>E</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w:t>
      </w:r>
      <w:r>
        <w:rPr>
          <w:rFonts w:ascii="Calibri" w:eastAsia="Times New Roman" w:hAnsi="Calibri" w:cs="Times New Roman"/>
          <w:color w:val="333333"/>
          <w:sz w:val="20"/>
          <w:szCs w:val="20"/>
        </w:rPr>
        <w:t>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and explain why this game is not offered in a casino (where 0 is not considered even).</w:t>
      </w:r>
    </w:p>
    <w:p w:rsidR="00AD77BB" w:rsidRDefault="00B45BA0">
      <w:pPr>
        <w:pStyle w:val="ListParagraph"/>
        <w:numPr>
          <w:ilvl w:val="1"/>
          <w:numId w:val="104"/>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standard deviation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w:t>
      </w:r>
    </w:p>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1020D4F8" wp14:editId="5696E444">
            <wp:extent cx="4667250" cy="4781550"/>
            <wp:effectExtent l="0" t="0" r="0" b="0"/>
            <wp:docPr id="125"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667250" cy="4781550"/>
                    </a:xfrm>
                    <a:prstGeom prst="rect">
                      <a:avLst/>
                    </a:prstGeom>
                    <a:noFill/>
                    <a:ln>
                      <a:noFill/>
                    </a:ln>
                  </pic:spPr>
                </pic:pic>
              </a:graphicData>
            </a:graphic>
          </wp:inline>
        </w:drawing>
      </w:r>
    </w:p>
    <w:p w:rsidR="00AD77BB" w:rsidRDefault="00AD77BB">
      <w:pPr>
        <w:shd w:val="clear" w:color="auto" w:fill="FFFFFF" w:themeFill="background1"/>
        <w:spacing w:line="439" w:lineRule="atLeast"/>
        <w:ind w:left="300" w:right="375"/>
        <w:jc w:val="center"/>
        <w:textAlignment w:val="baseline"/>
        <w:rPr>
          <w:rFonts w:ascii="Calibri" w:eastAsia="Times New Roman" w:hAnsi="Calibri" w:cs="Times New Roman"/>
          <w:b/>
          <w:color w:val="333333"/>
          <w:sz w:val="20"/>
          <w:szCs w:val="20"/>
        </w:rPr>
      </w:pPr>
    </w:p>
    <w:p w:rsidR="00AD77BB" w:rsidRDefault="00B45BA0">
      <w:pPr>
        <w:pStyle w:val="para"/>
        <w:shd w:val="clear" w:color="auto" w:fill="FFFFFF" w:themeFill="background1"/>
        <w:spacing w:before="0" w:beforeAutospacing="0" w:after="0" w:afterAutospacing="0" w:line="360" w:lineRule="auto"/>
        <w:jc w:val="both"/>
        <w:textAlignment w:val="baseline"/>
      </w:pPr>
      <w:r>
        <w:rPr>
          <w:noProof/>
        </w:rPr>
        <w:drawing>
          <wp:inline distT="0" distB="0" distL="0" distR="0" wp14:anchorId="75BFEB0D" wp14:editId="5EA95692">
            <wp:extent cx="6105525" cy="7277100"/>
            <wp:effectExtent l="0" t="0" r="9525" b="0"/>
            <wp:docPr id="126"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05525" cy="7277100"/>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216AFAD4" wp14:editId="20255E0D">
            <wp:extent cx="6134100" cy="7086600"/>
            <wp:effectExtent l="0" t="0" r="0" b="0"/>
            <wp:docPr id="127"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34100" cy="7086600"/>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5495D3B1" wp14:editId="12E70545">
            <wp:extent cx="6105525" cy="6191250"/>
            <wp:effectExtent l="0" t="0" r="9525" b="0"/>
            <wp:docPr id="128"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05525" cy="6191250"/>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43C1E4FC" wp14:editId="007A64E1">
            <wp:extent cx="6076950" cy="7010400"/>
            <wp:effectExtent l="0" t="0" r="0" b="0"/>
            <wp:docPr id="129"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076950" cy="7010400"/>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727CAA3B" wp14:editId="339B96DE">
            <wp:extent cx="5934075" cy="6972300"/>
            <wp:effectExtent l="0" t="0" r="9525" b="0"/>
            <wp:docPr id="130"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34075" cy="6972300"/>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72F78435" wp14:editId="1C97E2FC">
            <wp:extent cx="5905500" cy="4914900"/>
            <wp:effectExtent l="0" t="0" r="0" b="0"/>
            <wp:docPr id="131"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05500" cy="4914900"/>
                    </a:xfrm>
                    <a:prstGeom prst="rect">
                      <a:avLst/>
                    </a:prstGeom>
                    <a:noFill/>
                    <a:ln>
                      <a:noFill/>
                    </a:ln>
                  </pic:spPr>
                </pic:pic>
              </a:graphicData>
            </a:graphic>
          </wp:inline>
        </w:drawing>
      </w:r>
    </w:p>
    <w:p w:rsidR="00AD77BB" w:rsidRDefault="00B45B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4.3</w:t>
      </w:r>
      <w:r>
        <w:rPr>
          <w:rStyle w:val="apple-converted-space"/>
          <w:rFonts w:ascii="Calibri" w:hAnsi="Calibri"/>
          <w:color w:val="333333"/>
        </w:rPr>
        <w:t> </w:t>
      </w:r>
      <w:r>
        <w:rPr>
          <w:rFonts w:ascii="Calibri" w:hAnsi="Calibri"/>
          <w:color w:val="333333"/>
        </w:rPr>
        <w:t>The Binomial Distribution</w:t>
      </w:r>
    </w:p>
    <w:p w:rsidR="00AD77BB" w:rsidRDefault="00AD77BB"/>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AD77BB" w:rsidRDefault="00B45BA0">
      <w:pPr>
        <w:numPr>
          <w:ilvl w:val="0"/>
          <w:numId w:val="105"/>
        </w:numPr>
        <w:shd w:val="clear" w:color="auto" w:fill="EAE9DC"/>
        <w:spacing w:after="0" w:line="360" w:lineRule="auto"/>
        <w:ind w:left="360" w:right="375"/>
        <w:textAlignment w:val="baseline"/>
        <w:rPr>
          <w:rFonts w:ascii="Calibri" w:hAnsi="Calibri"/>
          <w:color w:val="333333"/>
          <w:sz w:val="20"/>
          <w:szCs w:val="20"/>
        </w:rPr>
      </w:pPr>
      <w:r>
        <w:rPr>
          <w:rFonts w:ascii="Calibri" w:hAnsi="Calibri"/>
          <w:color w:val="333333"/>
          <w:sz w:val="20"/>
          <w:szCs w:val="20"/>
        </w:rPr>
        <w:t>To learn the concept of a binomial random variable.</w:t>
      </w:r>
    </w:p>
    <w:p w:rsidR="00AD77BB" w:rsidRDefault="00B45BA0">
      <w:pPr>
        <w:numPr>
          <w:ilvl w:val="0"/>
          <w:numId w:val="105"/>
        </w:numPr>
        <w:shd w:val="clear" w:color="auto" w:fill="EAE9DC"/>
        <w:spacing w:after="0" w:line="360" w:lineRule="auto"/>
        <w:ind w:left="360" w:right="375"/>
        <w:textAlignment w:val="baseline"/>
        <w:rPr>
          <w:rFonts w:ascii="Calibri" w:hAnsi="Calibri"/>
          <w:color w:val="333333"/>
          <w:sz w:val="20"/>
          <w:szCs w:val="20"/>
        </w:rPr>
      </w:pPr>
      <w:r>
        <w:rPr>
          <w:rFonts w:ascii="Calibri" w:hAnsi="Calibri"/>
          <w:color w:val="333333"/>
          <w:sz w:val="20"/>
          <w:szCs w:val="20"/>
        </w:rPr>
        <w:t>To learn how to recognize a random variable as being a binomial random variable.</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experiment of tossing a fair coin three times and the experiment of observing the genders according to birth order of the children in a randomly selected three-child family are completely different, but the random variables that count the number of heads in the coin toss and the number of boys in the family (assuming the two genders are equally likely) are the same random variable, the one with probability distribution</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themeFill="background1"/>
        <w:spacing w:before="0" w:beforeAutospacing="0" w:after="0" w:afterAutospacing="0" w:line="360" w:lineRule="auto"/>
        <w:jc w:val="both"/>
        <w:textAlignment w:val="baseline"/>
        <w:rPr>
          <w:rFonts w:ascii="Georgia" w:eastAsiaTheme="minorHAnsi" w:hAnsi="Georgia" w:cstheme="minorBidi"/>
          <w:color w:val="333333"/>
          <w:sz w:val="20"/>
          <w:szCs w:val="20"/>
          <w:shd w:val="clear" w:color="auto" w:fill="FFFFFF"/>
        </w:rPr>
      </w:pPr>
      <w:r>
        <w:rPr>
          <w:rFonts w:ascii="Georgia" w:eastAsiaTheme="minorHAnsi" w:hAnsi="Georgia" w:cstheme="minorBidi"/>
          <w:color w:val="333333"/>
          <w:sz w:val="20"/>
          <w:szCs w:val="20"/>
          <w:shd w:val="clear" w:color="auto" w:fill="FFFFFF"/>
        </w:rPr>
        <w:lastRenderedPageBreak/>
        <w:t>A histogram that graphically illustrates this probability distribution is given in</w:t>
      </w:r>
      <w:r>
        <w:rPr>
          <w:rFonts w:ascii="Georgia" w:eastAsiaTheme="minorHAnsi" w:hAnsi="Georgia" w:cstheme="minorBidi"/>
          <w:color w:val="2689C6"/>
          <w:sz w:val="20"/>
          <w:szCs w:val="20"/>
          <w:shd w:val="clear" w:color="auto" w:fill="FFFFFF"/>
        </w:rPr>
        <w:t>Figure 4.4 "Probability Distribution for Three Coins and Three Children"</w:t>
      </w:r>
      <w:r>
        <w:rPr>
          <w:rFonts w:ascii="Georgia" w:eastAsiaTheme="minorHAnsi" w:hAnsi="Georgia" w:cstheme="minorBidi"/>
          <w:color w:val="333333"/>
          <w:sz w:val="20"/>
          <w:szCs w:val="20"/>
          <w:shd w:val="clear" w:color="auto" w:fill="FFFFFF"/>
        </w:rPr>
        <w:t xml:space="preserve">. What is common to the two experiments is that we perform three identical and independent trials of the same action, each trial has only two outcomes (heads or tails, boy or girl), and the probability of success is the same number, 0.5, on every trial. The random variable that is generated is called </w:t>
      </w:r>
      <w:r>
        <w:rPr>
          <w:rFonts w:ascii="Georgia" w:eastAsiaTheme="minorHAnsi" w:hAnsi="Georgia" w:cstheme="minorBidi"/>
          <w:b/>
          <w:color w:val="333333"/>
          <w:sz w:val="20"/>
          <w:szCs w:val="20"/>
          <w:shd w:val="clear" w:color="auto" w:fill="FFFFFF"/>
        </w:rPr>
        <w:t>the binomial random variable</w:t>
      </w:r>
      <w:r>
        <w:rPr>
          <w:rFonts w:ascii="Georgia" w:eastAsiaTheme="minorHAnsi" w:hAnsi="Georgia" w:cstheme="minorBidi"/>
          <w:color w:val="333333"/>
          <w:sz w:val="20"/>
          <w:szCs w:val="20"/>
          <w:shd w:val="clear" w:color="auto" w:fill="FFFFFF"/>
        </w:rPr>
        <w:t> </w:t>
      </w:r>
      <w:r>
        <w:rPr>
          <w:rFonts w:ascii="Georgia" w:eastAsiaTheme="minorHAnsi" w:hAnsi="Georgia" w:cstheme="minorBidi"/>
          <w:b/>
          <w:bCs/>
          <w:color w:val="333333"/>
          <w:sz w:val="20"/>
          <w:szCs w:val="20"/>
          <w:shd w:val="clear" w:color="auto" w:fill="FFFFFF"/>
        </w:rPr>
        <w:t>with parameters</w:t>
      </w:r>
      <w:r>
        <w:rPr>
          <w:rFonts w:ascii="Georgia" w:eastAsiaTheme="minorHAnsi" w:hAnsi="Georgia" w:cstheme="minorBidi"/>
          <w:color w:val="333333"/>
          <w:sz w:val="20"/>
          <w:szCs w:val="20"/>
          <w:shd w:val="clear" w:color="auto" w:fill="FFFFFF"/>
        </w:rPr>
        <w:t> </w:t>
      </w:r>
      <w:r>
        <w:rPr>
          <w:rFonts w:ascii="Georgia" w:eastAsiaTheme="minorHAnsi" w:hAnsi="Georgia" w:cstheme="minorBidi"/>
          <w:i/>
          <w:iCs/>
          <w:color w:val="333333"/>
          <w:sz w:val="20"/>
          <w:szCs w:val="20"/>
          <w:shd w:val="clear" w:color="auto" w:fill="FFFFFF"/>
        </w:rPr>
        <w:t>n</w:t>
      </w:r>
      <w:r>
        <w:rPr>
          <w:rFonts w:ascii="Georgia" w:eastAsiaTheme="minorHAnsi" w:hAnsi="Georgia" w:cstheme="minorBidi"/>
          <w:color w:val="333333"/>
          <w:sz w:val="20"/>
          <w:szCs w:val="20"/>
          <w:shd w:val="clear" w:color="auto" w:fill="FFFFFF"/>
        </w:rPr>
        <w:t> = 3 </w:t>
      </w:r>
      <w:r>
        <w:rPr>
          <w:rFonts w:ascii="Georgia" w:eastAsiaTheme="minorHAnsi" w:hAnsi="Georgia" w:cstheme="minorBidi"/>
          <w:b/>
          <w:bCs/>
          <w:color w:val="333333"/>
          <w:sz w:val="20"/>
          <w:szCs w:val="20"/>
          <w:shd w:val="clear" w:color="auto" w:fill="FFFFFF"/>
        </w:rPr>
        <w:t>and</w:t>
      </w:r>
      <w:r>
        <w:rPr>
          <w:rFonts w:ascii="Georgia" w:eastAsiaTheme="minorHAnsi" w:hAnsi="Georgia" w:cstheme="minorBidi"/>
          <w:color w:val="333333"/>
          <w:sz w:val="20"/>
          <w:szCs w:val="20"/>
          <w:shd w:val="clear" w:color="auto" w:fill="FFFFFF"/>
        </w:rPr>
        <w:t> </w:t>
      </w:r>
      <w:r>
        <w:rPr>
          <w:rFonts w:ascii="Georgia" w:eastAsiaTheme="minorHAnsi" w:hAnsi="Georgia" w:cstheme="minorBidi"/>
          <w:i/>
          <w:iCs/>
          <w:color w:val="333333"/>
          <w:sz w:val="20"/>
          <w:szCs w:val="20"/>
          <w:shd w:val="clear" w:color="auto" w:fill="FFFFFF"/>
        </w:rPr>
        <w:t>p</w:t>
      </w:r>
      <w:r>
        <w:rPr>
          <w:rFonts w:ascii="Georgia" w:eastAsiaTheme="minorHAnsi" w:hAnsi="Georgia" w:cstheme="minorBidi"/>
          <w:color w:val="333333"/>
          <w:sz w:val="20"/>
          <w:szCs w:val="20"/>
          <w:shd w:val="clear" w:color="auto" w:fill="FFFFFF"/>
        </w:rPr>
        <w:t> = 0.5. This is just one case of a general situation.</w:t>
      </w:r>
    </w:p>
    <w:p w:rsidR="00AD77BB" w:rsidRDefault="00B45BA0">
      <w:pPr>
        <w:pStyle w:val="Title5"/>
        <w:shd w:val="clear" w:color="auto" w:fill="FFFFFF"/>
        <w:spacing w:before="0" w:beforeAutospacing="0" w:after="0" w:afterAutospacing="0" w:line="439" w:lineRule="atLeast"/>
        <w:textAlignment w:val="baseline"/>
        <w:rPr>
          <w:rFonts w:ascii="Georgia" w:hAnsi="Georgia"/>
          <w:i/>
          <w:iCs/>
          <w:color w:val="BB9966"/>
          <w:sz w:val="19"/>
          <w:szCs w:val="19"/>
        </w:rPr>
      </w:pPr>
      <w:r>
        <w:rPr>
          <w:rStyle w:val="title-prefix"/>
          <w:rFonts w:ascii="Georgia" w:hAnsi="Georgia"/>
          <w:i/>
          <w:iCs/>
          <w:color w:val="000000"/>
          <w:sz w:val="20"/>
          <w:szCs w:val="20"/>
        </w:rPr>
        <w:t>Figure 4.4</w:t>
      </w:r>
      <w:r>
        <w:rPr>
          <w:rStyle w:val="apple-converted-space"/>
          <w:rFonts w:ascii="Georgia" w:hAnsi="Georgia"/>
          <w:i/>
          <w:iCs/>
          <w:color w:val="BB9966"/>
          <w:sz w:val="19"/>
          <w:szCs w:val="19"/>
        </w:rPr>
        <w:t> </w:t>
      </w:r>
      <w:r>
        <w:rPr>
          <w:rFonts w:ascii="Georgia" w:hAnsi="Georgia"/>
          <w:i/>
          <w:iCs/>
          <w:color w:val="BB9966"/>
          <w:sz w:val="19"/>
          <w:szCs w:val="19"/>
        </w:rPr>
        <w:t>Probability Distribution for Three Coins and Three Children</w:t>
      </w:r>
    </w:p>
    <w:p w:rsidR="00AD77BB" w:rsidRDefault="00B45BA0">
      <w:pPr>
        <w:pStyle w:val="para"/>
        <w:shd w:val="clear" w:color="auto" w:fill="FFFFFF" w:themeFill="background1"/>
        <w:spacing w:before="0" w:beforeAutospacing="0" w:after="0" w:afterAutospacing="0" w:line="360" w:lineRule="auto"/>
        <w:jc w:val="both"/>
        <w:textAlignment w:val="baseline"/>
      </w:pPr>
      <w:r>
        <w:rPr>
          <w:rFonts w:ascii="Calibri" w:hAnsi="Calibri"/>
          <w:noProof/>
          <w:color w:val="2689C6"/>
          <w:sz w:val="26"/>
          <w:szCs w:val="26"/>
          <w:shd w:val="clear" w:color="auto" w:fill="FFFFFF"/>
        </w:rPr>
        <w:drawing>
          <wp:inline distT="0" distB="0" distL="0" distR="0" wp14:anchorId="09EBAF72" wp14:editId="31B67059">
            <wp:extent cx="5286375" cy="4038600"/>
            <wp:effectExtent l="0" t="0" r="9525" b="0"/>
            <wp:docPr id="132" name="Picture 132" descr="http://images.flatworldknowledge.com/shafer/shafer-fig0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images.flatworldknowledge.com/shafer/shafer-fig04_004.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286375" cy="4038600"/>
                    </a:xfrm>
                    <a:prstGeom prst="rect">
                      <a:avLst/>
                    </a:prstGeom>
                    <a:noFill/>
                    <a:ln>
                      <a:noFill/>
                    </a:ln>
                  </pic:spPr>
                </pic:pic>
              </a:graphicData>
            </a:graphic>
          </wp:inline>
        </w:drawing>
      </w:r>
    </w:p>
    <w:p w:rsidR="00AD77BB" w:rsidRDefault="00B45BA0">
      <w:pPr>
        <w:spacing w:after="0" w:line="264" w:lineRule="atLeast"/>
        <w:textAlignment w:val="baseline"/>
        <w:outlineLvl w:val="2"/>
        <w:rPr>
          <w:rFonts w:ascii="Calibri" w:eastAsia="Times New Roman" w:hAnsi="Calibri" w:cs="Times New Roman"/>
          <w:b/>
          <w:bCs/>
          <w:color w:val="333333"/>
          <w:sz w:val="31"/>
          <w:szCs w:val="31"/>
        </w:rPr>
      </w:pPr>
      <w:r>
        <w:rPr>
          <w:rFonts w:ascii="Calibri" w:eastAsia="Times New Roman" w:hAnsi="Calibri" w:cs="Times New Roman"/>
          <w:b/>
          <w:bCs/>
          <w:color w:val="333333"/>
          <w:sz w:val="31"/>
          <w:szCs w:val="31"/>
        </w:rPr>
        <w:br/>
        <w:t>Definition</w:t>
      </w:r>
    </w:p>
    <w:p w:rsidR="00AD77BB" w:rsidRDefault="00AD77BB">
      <w:pPr>
        <w:spacing w:after="0" w:line="264" w:lineRule="atLeast"/>
        <w:textAlignment w:val="baseline"/>
        <w:outlineLvl w:val="2"/>
        <w:rPr>
          <w:rFonts w:ascii="Calibri" w:eastAsia="Times New Roman" w:hAnsi="Calibri" w:cs="Times New Roman"/>
          <w:b/>
          <w:bCs/>
          <w:color w:val="333333"/>
          <w:sz w:val="31"/>
          <w:szCs w:val="31"/>
        </w:rPr>
      </w:pPr>
    </w:p>
    <w:p w:rsidR="00AD77BB" w:rsidRDefault="00B45BA0">
      <w:pPr>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i/>
          <w:iCs/>
          <w:color w:val="333333"/>
          <w:sz w:val="20"/>
          <w:szCs w:val="20"/>
        </w:rPr>
        <w:t>Suppose a random experiment has the following characteristics.</w:t>
      </w:r>
    </w:p>
    <w:p w:rsidR="00AD77BB" w:rsidRDefault="00B45BA0">
      <w:pPr>
        <w:numPr>
          <w:ilvl w:val="0"/>
          <w:numId w:val="106"/>
        </w:numPr>
        <w:spacing w:after="0"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There are</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n</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identical and independent trials of a common procedure.</w:t>
      </w:r>
    </w:p>
    <w:p w:rsidR="00AD77BB" w:rsidRDefault="00B45BA0">
      <w:pPr>
        <w:numPr>
          <w:ilvl w:val="0"/>
          <w:numId w:val="106"/>
        </w:numPr>
        <w:spacing w:after="0"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There are exactly two possible outcomes for each trial, one termed “success” and the other “failure.”</w:t>
      </w:r>
    </w:p>
    <w:p w:rsidR="00AD77BB" w:rsidRDefault="00B45BA0">
      <w:pPr>
        <w:numPr>
          <w:ilvl w:val="0"/>
          <w:numId w:val="106"/>
        </w:numPr>
        <w:spacing w:after="0"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The probability of success on any one trial is the same number</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p</w:t>
      </w:r>
      <w:r>
        <w:rPr>
          <w:rFonts w:ascii="Georgia" w:eastAsia="Times New Roman" w:hAnsi="Georgia" w:cs="Times New Roman"/>
          <w:color w:val="333333"/>
          <w:sz w:val="20"/>
          <w:szCs w:val="20"/>
        </w:rPr>
        <w:t>.</w:t>
      </w:r>
    </w:p>
    <w:p w:rsidR="00AD77BB" w:rsidRDefault="00B45BA0">
      <w:pPr>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i/>
          <w:iCs/>
          <w:color w:val="333333"/>
          <w:sz w:val="20"/>
          <w:szCs w:val="20"/>
        </w:rPr>
        <w:t>Then the discrete random variable</w:t>
      </w:r>
      <w:r>
        <w:rPr>
          <w:rFonts w:ascii="Georgia" w:eastAsia="Times New Roman" w:hAnsi="Georgia" w:cs="Times New Roman"/>
          <w:color w:val="333333"/>
          <w:sz w:val="21"/>
          <w:szCs w:val="21"/>
        </w:rPr>
        <w:t> </w:t>
      </w:r>
      <w:r>
        <w:rPr>
          <w:rFonts w:ascii="Georgia" w:eastAsia="Times New Roman" w:hAnsi="Georgia" w:cs="Times New Roman"/>
          <w:i/>
          <w:iCs/>
          <w:color w:val="333333"/>
          <w:sz w:val="20"/>
          <w:szCs w:val="20"/>
        </w:rPr>
        <w:t>X</w:t>
      </w:r>
      <w:r>
        <w:rPr>
          <w:rFonts w:ascii="Georgia" w:eastAsia="Times New Roman" w:hAnsi="Georgia" w:cs="Times New Roman"/>
          <w:color w:val="333333"/>
          <w:sz w:val="21"/>
          <w:szCs w:val="21"/>
        </w:rPr>
        <w:t> </w:t>
      </w:r>
      <w:r>
        <w:rPr>
          <w:rFonts w:ascii="Georgia" w:eastAsia="Times New Roman" w:hAnsi="Georgia" w:cs="Times New Roman"/>
          <w:i/>
          <w:iCs/>
          <w:color w:val="333333"/>
          <w:sz w:val="20"/>
          <w:szCs w:val="20"/>
        </w:rPr>
        <w:t>that counts the number of successes in the</w:t>
      </w:r>
      <w:r>
        <w:rPr>
          <w:rFonts w:ascii="Georgia" w:eastAsia="Times New Roman" w:hAnsi="Georgia" w:cs="Times New Roman"/>
          <w:color w:val="333333"/>
          <w:sz w:val="21"/>
          <w:szCs w:val="21"/>
        </w:rPr>
        <w:t> </w:t>
      </w:r>
      <w:r>
        <w:rPr>
          <w:rFonts w:ascii="Georgia" w:eastAsia="Times New Roman" w:hAnsi="Georgia" w:cs="Times New Roman"/>
          <w:i/>
          <w:iCs/>
          <w:color w:val="333333"/>
          <w:sz w:val="20"/>
          <w:szCs w:val="20"/>
        </w:rPr>
        <w:t>n</w:t>
      </w:r>
      <w:r>
        <w:rPr>
          <w:rFonts w:ascii="Georgia" w:eastAsia="Times New Roman" w:hAnsi="Georgia" w:cs="Times New Roman"/>
          <w:color w:val="333333"/>
          <w:sz w:val="21"/>
          <w:szCs w:val="21"/>
        </w:rPr>
        <w:t> </w:t>
      </w:r>
      <w:r>
        <w:rPr>
          <w:rFonts w:ascii="Georgia" w:eastAsia="Times New Roman" w:hAnsi="Georgia" w:cs="Times New Roman"/>
          <w:i/>
          <w:iCs/>
          <w:color w:val="333333"/>
          <w:sz w:val="20"/>
          <w:szCs w:val="20"/>
        </w:rPr>
        <w:t>trials is the</w:t>
      </w:r>
      <w:r>
        <w:rPr>
          <w:rFonts w:ascii="Georgia" w:eastAsia="Times New Roman" w:hAnsi="Georgia" w:cs="Times New Roman"/>
          <w:color w:val="333333"/>
          <w:sz w:val="21"/>
          <w:szCs w:val="21"/>
        </w:rPr>
        <w:t> </w:t>
      </w:r>
      <w:r>
        <w:rPr>
          <w:rFonts w:ascii="Georgia" w:eastAsia="Times New Roman" w:hAnsi="Georgia" w:cs="Times New Roman"/>
          <w:b/>
          <w:bCs/>
          <w:color w:val="333333"/>
          <w:sz w:val="20"/>
          <w:szCs w:val="20"/>
        </w:rPr>
        <w:t>binomial random variable with parameters</w:t>
      </w:r>
      <w:r>
        <w:rPr>
          <w:rFonts w:ascii="Georgia" w:eastAsia="Times New Roman" w:hAnsi="Georgia" w:cs="Times New Roman"/>
          <w:color w:val="333333"/>
          <w:sz w:val="21"/>
          <w:szCs w:val="21"/>
        </w:rPr>
        <w:t> </w:t>
      </w:r>
      <w:r>
        <w:rPr>
          <w:rFonts w:ascii="Georgia" w:eastAsia="Times New Roman" w:hAnsi="Georgia" w:cs="Times New Roman"/>
          <w:i/>
          <w:iCs/>
          <w:color w:val="333333"/>
          <w:sz w:val="20"/>
          <w:szCs w:val="20"/>
        </w:rPr>
        <w:t>n</w:t>
      </w:r>
      <w:r>
        <w:rPr>
          <w:rFonts w:ascii="Georgia" w:eastAsia="Times New Roman" w:hAnsi="Georgia" w:cs="Times New Roman"/>
          <w:b/>
          <w:bCs/>
          <w:color w:val="333333"/>
          <w:sz w:val="20"/>
          <w:szCs w:val="20"/>
        </w:rPr>
        <w:t>and</w:t>
      </w:r>
      <w:r>
        <w:rPr>
          <w:rFonts w:ascii="Georgia" w:eastAsia="Times New Roman" w:hAnsi="Georgia" w:cs="Times New Roman"/>
          <w:color w:val="333333"/>
          <w:sz w:val="21"/>
          <w:szCs w:val="21"/>
        </w:rPr>
        <w:t> </w:t>
      </w:r>
      <w:r>
        <w:rPr>
          <w:rFonts w:ascii="Georgia" w:eastAsia="Times New Roman" w:hAnsi="Georgia" w:cs="Times New Roman"/>
          <w:i/>
          <w:iCs/>
          <w:color w:val="333333"/>
          <w:sz w:val="20"/>
          <w:szCs w:val="20"/>
        </w:rPr>
        <w:t>p. We also say that</w:t>
      </w:r>
      <w:r>
        <w:rPr>
          <w:rFonts w:ascii="Georgia" w:eastAsia="Times New Roman" w:hAnsi="Georgia" w:cs="Times New Roman"/>
          <w:color w:val="333333"/>
          <w:sz w:val="21"/>
          <w:szCs w:val="21"/>
        </w:rPr>
        <w:t> </w:t>
      </w:r>
      <w:r>
        <w:rPr>
          <w:rFonts w:ascii="Georgia" w:eastAsia="Times New Roman" w:hAnsi="Georgia" w:cs="Times New Roman"/>
          <w:i/>
          <w:iCs/>
          <w:color w:val="333333"/>
          <w:sz w:val="20"/>
          <w:szCs w:val="20"/>
        </w:rPr>
        <w:t>X</w:t>
      </w:r>
      <w:r>
        <w:rPr>
          <w:rFonts w:ascii="Georgia" w:eastAsia="Times New Roman" w:hAnsi="Georgia" w:cs="Times New Roman"/>
          <w:color w:val="333333"/>
          <w:sz w:val="21"/>
          <w:szCs w:val="21"/>
        </w:rPr>
        <w:t> </w:t>
      </w:r>
      <w:r>
        <w:rPr>
          <w:rFonts w:ascii="Georgia" w:eastAsia="Times New Roman" w:hAnsi="Georgia" w:cs="Times New Roman"/>
          <w:b/>
          <w:bCs/>
          <w:color w:val="333333"/>
          <w:sz w:val="20"/>
          <w:szCs w:val="20"/>
        </w:rPr>
        <w:t>has a binomial distribution</w:t>
      </w:r>
      <w:r>
        <w:rPr>
          <w:rFonts w:ascii="Georgia" w:eastAsia="Times New Roman" w:hAnsi="Georgia" w:cs="Times New Roman"/>
          <w:color w:val="333333"/>
          <w:sz w:val="21"/>
          <w:szCs w:val="21"/>
        </w:rPr>
        <w:t> </w:t>
      </w:r>
      <w:r>
        <w:rPr>
          <w:rFonts w:ascii="Georgia" w:eastAsia="Times New Roman" w:hAnsi="Georgia" w:cs="Times New Roman"/>
          <w:b/>
          <w:bCs/>
          <w:color w:val="333333"/>
          <w:sz w:val="20"/>
          <w:szCs w:val="20"/>
        </w:rPr>
        <w:t>with parameters</w:t>
      </w:r>
      <w:r>
        <w:rPr>
          <w:rFonts w:ascii="Georgia" w:eastAsia="Times New Roman" w:hAnsi="Georgia" w:cs="Times New Roman"/>
          <w:color w:val="333333"/>
          <w:sz w:val="21"/>
          <w:szCs w:val="21"/>
        </w:rPr>
        <w:t> </w:t>
      </w:r>
      <w:r>
        <w:rPr>
          <w:rFonts w:ascii="Georgia" w:eastAsia="Times New Roman" w:hAnsi="Georgia" w:cs="Times New Roman"/>
          <w:i/>
          <w:iCs/>
          <w:color w:val="333333"/>
          <w:sz w:val="20"/>
          <w:szCs w:val="20"/>
        </w:rPr>
        <w:t>n</w:t>
      </w:r>
      <w:r>
        <w:rPr>
          <w:rFonts w:ascii="Georgia" w:eastAsia="Times New Roman" w:hAnsi="Georgia" w:cs="Times New Roman"/>
          <w:color w:val="333333"/>
          <w:sz w:val="21"/>
          <w:szCs w:val="21"/>
        </w:rPr>
        <w:t> </w:t>
      </w:r>
      <w:r>
        <w:rPr>
          <w:rFonts w:ascii="Georgia" w:eastAsia="Times New Roman" w:hAnsi="Georgia" w:cs="Times New Roman"/>
          <w:b/>
          <w:bCs/>
          <w:color w:val="333333"/>
          <w:sz w:val="20"/>
          <w:szCs w:val="20"/>
        </w:rPr>
        <w:t>and</w:t>
      </w:r>
      <w:r>
        <w:rPr>
          <w:rFonts w:ascii="Georgia" w:eastAsia="Times New Roman" w:hAnsi="Georgia" w:cs="Times New Roman"/>
          <w:color w:val="333333"/>
          <w:sz w:val="21"/>
          <w:szCs w:val="21"/>
        </w:rPr>
        <w:t> </w:t>
      </w:r>
      <w:r>
        <w:rPr>
          <w:rFonts w:ascii="Georgia" w:eastAsia="Times New Roman" w:hAnsi="Georgia" w:cs="Times New Roman"/>
          <w:i/>
          <w:iCs/>
          <w:color w:val="333333"/>
          <w:sz w:val="20"/>
          <w:szCs w:val="20"/>
        </w:rPr>
        <w:t>p</w:t>
      </w:r>
      <w:r>
        <w:rPr>
          <w:rFonts w:ascii="Georgia" w:eastAsia="Times New Roman" w:hAnsi="Georgia" w:cs="Times New Roman"/>
          <w:color w:val="333333"/>
          <w:sz w:val="21"/>
          <w:szCs w:val="21"/>
        </w:rPr>
        <w:t>.</w:t>
      </w:r>
    </w:p>
    <w:p w:rsidR="00AD77BB" w:rsidRDefault="00AD77BB">
      <w:pPr>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The following four examples illustrate the definition. Note how in every case “success” is the outcome that is counted, not the outcome that we prefer or think is better in some sense.</w:t>
      </w:r>
    </w:p>
    <w:p w:rsidR="00AD77BB" w:rsidRDefault="00B45BA0">
      <w:pPr>
        <w:numPr>
          <w:ilvl w:val="0"/>
          <w:numId w:val="107"/>
        </w:numPr>
        <w:shd w:val="clear" w:color="auto" w:fill="FFFFFF"/>
        <w:spacing w:after="0"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 random sample of 125 students is selected from a large college in which the proportion of students who are females is 57%. Suppose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denotes the number of female students in the sample. In this situation there are </w:t>
      </w:r>
      <w:r>
        <w:rPr>
          <w:rFonts w:ascii="Georgia" w:eastAsia="Times New Roman" w:hAnsi="Georgia" w:cs="Times New Roman"/>
          <w:i/>
          <w:iCs/>
          <w:color w:val="333333"/>
          <w:sz w:val="20"/>
          <w:szCs w:val="20"/>
        </w:rPr>
        <w:t>n</w:t>
      </w:r>
      <w:r>
        <w:rPr>
          <w:rFonts w:ascii="Georgia" w:eastAsia="Times New Roman" w:hAnsi="Georgia" w:cs="Times New Roman"/>
          <w:color w:val="333333"/>
          <w:sz w:val="20"/>
          <w:szCs w:val="20"/>
        </w:rPr>
        <w:t> = 125 identical and independent trials of a common procedure, selecting a student at random; there are exactly two possible outcomes for each trial, “success” (what we are counting, that the student be female) and “failure;” and finally the probability of success on any one trial is the same number </w:t>
      </w:r>
      <w:r>
        <w:rPr>
          <w:rFonts w:ascii="Georgia" w:eastAsia="Times New Roman" w:hAnsi="Georgia" w:cs="Times New Roman"/>
          <w:i/>
          <w:iCs/>
          <w:color w:val="333333"/>
          <w:sz w:val="20"/>
          <w:szCs w:val="20"/>
        </w:rPr>
        <w:t>p</w:t>
      </w:r>
      <w:r>
        <w:rPr>
          <w:rFonts w:ascii="Georgia" w:eastAsia="Times New Roman" w:hAnsi="Georgia" w:cs="Times New Roman"/>
          <w:color w:val="333333"/>
          <w:sz w:val="20"/>
          <w:szCs w:val="20"/>
        </w:rPr>
        <w:t>= 0.57.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is a binomial random variable with parameters </w:t>
      </w:r>
      <w:r>
        <w:rPr>
          <w:rFonts w:ascii="Georgia" w:eastAsia="Times New Roman" w:hAnsi="Georgia" w:cs="Times New Roman"/>
          <w:i/>
          <w:iCs/>
          <w:color w:val="333333"/>
          <w:sz w:val="20"/>
          <w:szCs w:val="20"/>
        </w:rPr>
        <w:t>n</w:t>
      </w:r>
      <w:r>
        <w:rPr>
          <w:rFonts w:ascii="Georgia" w:eastAsia="Times New Roman" w:hAnsi="Georgia" w:cs="Times New Roman"/>
          <w:color w:val="333333"/>
          <w:sz w:val="20"/>
          <w:szCs w:val="20"/>
        </w:rPr>
        <w:t> = 125 and </w:t>
      </w:r>
      <w:r>
        <w:rPr>
          <w:rFonts w:ascii="Georgia" w:eastAsia="Times New Roman" w:hAnsi="Georgia" w:cs="Times New Roman"/>
          <w:i/>
          <w:iCs/>
          <w:color w:val="333333"/>
          <w:sz w:val="20"/>
          <w:szCs w:val="20"/>
        </w:rPr>
        <w:t>p</w:t>
      </w:r>
      <w:r>
        <w:rPr>
          <w:rFonts w:ascii="Georgia" w:eastAsia="Times New Roman" w:hAnsi="Georgia" w:cs="Times New Roman"/>
          <w:color w:val="333333"/>
          <w:sz w:val="20"/>
          <w:szCs w:val="20"/>
        </w:rPr>
        <w:t> = 0.57.</w:t>
      </w:r>
    </w:p>
    <w:p w:rsidR="00AD77BB" w:rsidRDefault="00B45BA0">
      <w:pPr>
        <w:numPr>
          <w:ilvl w:val="0"/>
          <w:numId w:val="107"/>
        </w:numPr>
        <w:shd w:val="clear" w:color="auto" w:fill="FFFFFF"/>
        <w:spacing w:after="0"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 multiple-choice test has 15 questions, each of which has five choices. An unprepared student taking the test answers each of the questions completely randomly by choosing an arbitrary answer from the five provided. Suppose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denotes the number of answers that the student gets right.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is a binomial random variable with parameters </w:t>
      </w:r>
      <w:r>
        <w:rPr>
          <w:rFonts w:ascii="Georgia" w:eastAsia="Times New Roman" w:hAnsi="Georgia" w:cs="Times New Roman"/>
          <w:i/>
          <w:iCs/>
          <w:color w:val="333333"/>
          <w:sz w:val="20"/>
          <w:szCs w:val="20"/>
        </w:rPr>
        <w:t>n</w:t>
      </w:r>
      <w:r>
        <w:rPr>
          <w:rFonts w:ascii="Georgia" w:eastAsia="Times New Roman" w:hAnsi="Georgia" w:cs="Times New Roman"/>
          <w:color w:val="333333"/>
          <w:sz w:val="20"/>
          <w:szCs w:val="20"/>
        </w:rPr>
        <w:t> = 15 and</w:t>
      </w:r>
      <w:r>
        <w:rPr>
          <w:rFonts w:ascii="Georgia" w:eastAsia="Times New Roman" w:hAnsi="Georgia" w:cs="Times New Roman"/>
          <w:b/>
          <w:color w:val="333333"/>
          <w:sz w:val="20"/>
          <w:szCs w:val="20"/>
        </w:rPr>
        <w:t> </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=1/5=0.20.</w:t>
      </w:r>
    </w:p>
    <w:p w:rsidR="00AD77BB" w:rsidRDefault="00B45BA0">
      <w:pPr>
        <w:numPr>
          <w:ilvl w:val="0"/>
          <w:numId w:val="107"/>
        </w:numPr>
        <w:shd w:val="clear" w:color="auto" w:fill="FFFFFF"/>
        <w:spacing w:after="0"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a survey of 1,000 registered voters each voter is asked if he intends to vote for a candidate Titania Queen in the upcoming election. Suppose </w:t>
      </w:r>
      <w:r>
        <w:rPr>
          <w:rFonts w:ascii="Georgia" w:eastAsia="Times New Roman" w:hAnsi="Georgia" w:cs="Times New Roman"/>
          <w:i/>
          <w:iCs/>
          <w:color w:val="333333"/>
          <w:sz w:val="20"/>
          <w:szCs w:val="20"/>
        </w:rPr>
        <w:t xml:space="preserve">X </w:t>
      </w:r>
      <w:r>
        <w:rPr>
          <w:rFonts w:ascii="Georgia" w:eastAsia="Times New Roman" w:hAnsi="Georgia" w:cs="Times New Roman"/>
          <w:color w:val="333333"/>
          <w:sz w:val="20"/>
          <w:szCs w:val="20"/>
        </w:rPr>
        <w:t>denotes the number of voters in the survey who intend to vote for Titania Queen.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is a binomial random variable with </w:t>
      </w:r>
      <w:r>
        <w:rPr>
          <w:rFonts w:ascii="Georgia" w:eastAsia="Times New Roman" w:hAnsi="Georgia" w:cs="Times New Roman"/>
          <w:i/>
          <w:iCs/>
          <w:color w:val="333333"/>
          <w:sz w:val="20"/>
          <w:szCs w:val="20"/>
        </w:rPr>
        <w:t>n</w:t>
      </w:r>
      <w:r>
        <w:rPr>
          <w:rFonts w:ascii="Georgia" w:eastAsia="Times New Roman" w:hAnsi="Georgia" w:cs="Times New Roman"/>
          <w:color w:val="333333"/>
          <w:sz w:val="20"/>
          <w:szCs w:val="20"/>
        </w:rPr>
        <w:t> = 1000 and </w:t>
      </w:r>
      <w:r>
        <w:rPr>
          <w:rFonts w:ascii="Georgia" w:eastAsia="Times New Roman" w:hAnsi="Georgia" w:cs="Times New Roman"/>
          <w:i/>
          <w:iCs/>
          <w:color w:val="333333"/>
          <w:sz w:val="20"/>
          <w:szCs w:val="20"/>
        </w:rPr>
        <w:t>p</w:t>
      </w:r>
      <w:r>
        <w:rPr>
          <w:rFonts w:ascii="Georgia" w:eastAsia="Times New Roman" w:hAnsi="Georgia" w:cs="Times New Roman"/>
          <w:color w:val="333333"/>
          <w:sz w:val="20"/>
          <w:szCs w:val="20"/>
        </w:rPr>
        <w:t> equal to the true proportion of voters (surveyed or not) who intend to vote for Titania Queen.</w:t>
      </w:r>
    </w:p>
    <w:p w:rsidR="00AD77BB" w:rsidRDefault="00B45BA0">
      <w:pPr>
        <w:numPr>
          <w:ilvl w:val="0"/>
          <w:numId w:val="107"/>
        </w:numPr>
        <w:shd w:val="clear" w:color="auto" w:fill="FFFFFF"/>
        <w:spacing w:after="0" w:line="360" w:lineRule="auto"/>
        <w:ind w:left="360"/>
        <w:textAlignment w:val="baseline"/>
        <w:rPr>
          <w:rFonts w:ascii="Georgia" w:eastAsia="Times New Roman" w:hAnsi="Georgia" w:cs="Times New Roman"/>
          <w:color w:val="333333"/>
          <w:sz w:val="20"/>
          <w:szCs w:val="20"/>
        </w:rPr>
      </w:pPr>
      <w:r>
        <w:rPr>
          <w:rFonts w:ascii="Georgia" w:hAnsi="Georgia"/>
          <w:color w:val="333333"/>
          <w:sz w:val="20"/>
          <w:szCs w:val="20"/>
          <w:shd w:val="clear" w:color="auto" w:fill="FFFFFF"/>
        </w:rPr>
        <w:t>An experimental medication was given to 30 patients with a certain medical condition. Suppose</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X</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denotes the number of patients who develop severe side effects.</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X</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is a binomial random variable with</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n</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 30 and</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p</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equal to the true probability that a patient with the underlying condition will experience severe side effects if given that medication.</w:t>
      </w:r>
    </w:p>
    <w:p w:rsidR="00AD77BB" w:rsidRDefault="00B45BA0">
      <w:pPr>
        <w:pStyle w:val="Heading2"/>
        <w:shd w:val="clear" w:color="auto" w:fill="FFFFFF"/>
        <w:spacing w:before="0" w:line="439" w:lineRule="atLeast"/>
        <w:textAlignment w:val="baseline"/>
        <w:rPr>
          <w:rFonts w:ascii="Calibri" w:hAnsi="Calibri"/>
          <w:color w:val="333333"/>
          <w:sz w:val="29"/>
          <w:szCs w:val="29"/>
        </w:rPr>
      </w:pPr>
      <w:r>
        <w:rPr>
          <w:rFonts w:ascii="Calibri" w:hAnsi="Calibri"/>
          <w:color w:val="333333"/>
          <w:sz w:val="29"/>
          <w:szCs w:val="29"/>
        </w:rPr>
        <w:t>Probability Formula for a Binomial Random Variable</w:t>
      </w:r>
    </w:p>
    <w:p w:rsidR="00AD77BB" w:rsidRDefault="00AD77BB"/>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Often the most difficult aspect of working a problem that involves the binomial random variable is recognizing that the random variable in question has a binomial distribution. Once that is known, probabilities can be computed using the following formula.</w:t>
      </w:r>
    </w:p>
    <w:p w:rsidR="00AD77BB" w:rsidRDefault="00B45BA0">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3F00C832" wp14:editId="1C0CF30B">
            <wp:extent cx="4638675" cy="2543175"/>
            <wp:effectExtent l="0" t="0" r="9525" b="9525"/>
            <wp:docPr id="13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638675" cy="2543175"/>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37D4AE69" wp14:editId="7533BB92">
            <wp:extent cx="5514975" cy="6734175"/>
            <wp:effectExtent l="0" t="0" r="9525" b="9525"/>
            <wp:docPr id="134"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514975" cy="6734175"/>
                    </a:xfrm>
                    <a:prstGeom prst="rect">
                      <a:avLst/>
                    </a:prstGeom>
                    <a:noFill/>
                    <a:ln>
                      <a:noFill/>
                    </a:ln>
                  </pic:spPr>
                </pic:pic>
              </a:graphicData>
            </a:graphic>
          </wp:inline>
        </w:drawing>
      </w:r>
    </w:p>
    <w:p w:rsidR="00AD77BB" w:rsidRDefault="00B45BA0">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5CAFD08A" wp14:editId="5FE02BC0">
            <wp:extent cx="5676900" cy="4667250"/>
            <wp:effectExtent l="0" t="0" r="0" b="0"/>
            <wp:docPr id="135"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76900" cy="4667250"/>
                    </a:xfrm>
                    <a:prstGeom prst="rect">
                      <a:avLst/>
                    </a:prstGeom>
                    <a:noFill/>
                    <a:ln>
                      <a:noFill/>
                    </a:ln>
                  </pic:spPr>
                </pic:pic>
              </a:graphicData>
            </a:graphic>
          </wp:inline>
        </w:drawing>
      </w:r>
    </w:p>
    <w:p w:rsidR="00AD77BB" w:rsidRDefault="00B45BA0">
      <w:pPr>
        <w:pStyle w:val="Title5"/>
        <w:shd w:val="clear" w:color="auto" w:fill="E3EFF7"/>
        <w:spacing w:before="0" w:beforeAutospacing="0" w:after="0" w:afterAutospacing="0" w:line="439" w:lineRule="atLeast"/>
        <w:ind w:left="300" w:right="375"/>
        <w:textAlignment w:val="baseline"/>
        <w:rPr>
          <w:rFonts w:ascii="Calibri" w:hAnsi="Calibri"/>
          <w:i/>
          <w:iCs/>
          <w:color w:val="BB9966"/>
          <w:sz w:val="19"/>
          <w:szCs w:val="19"/>
        </w:rPr>
      </w:pPr>
      <w:r>
        <w:rPr>
          <w:rStyle w:val="title-prefix"/>
          <w:rFonts w:ascii="Calibri" w:hAnsi="Calibri"/>
          <w:i/>
          <w:iCs/>
          <w:color w:val="000000"/>
          <w:sz w:val="20"/>
          <w:szCs w:val="20"/>
        </w:rPr>
        <w:t>Figure</w:t>
      </w:r>
      <w:r>
        <w:rPr>
          <w:rStyle w:val="apple-converted-space"/>
          <w:rFonts w:ascii="Calibri" w:hAnsi="Calibri"/>
          <w:i/>
          <w:iCs/>
          <w:color w:val="000000"/>
          <w:sz w:val="20"/>
          <w:szCs w:val="20"/>
        </w:rPr>
        <w:t> </w:t>
      </w:r>
      <w:r>
        <w:rPr>
          <w:rStyle w:val="title-prefix"/>
          <w:rFonts w:ascii="Calibri" w:hAnsi="Calibri"/>
          <w:i/>
          <w:iCs/>
          <w:color w:val="000000"/>
          <w:sz w:val="20"/>
          <w:szCs w:val="20"/>
        </w:rPr>
        <w:t>4.5</w:t>
      </w:r>
      <w:r>
        <w:rPr>
          <w:rFonts w:ascii="Calibri" w:hAnsi="Calibri"/>
          <w:i/>
          <w:iCs/>
          <w:color w:val="BB9966"/>
          <w:sz w:val="19"/>
          <w:szCs w:val="19"/>
        </w:rPr>
        <w:t>Probability Distribution of the Binomial Random Variable in</w:t>
      </w:r>
      <w:r>
        <w:rPr>
          <w:rStyle w:val="apple-converted-space"/>
          <w:rFonts w:ascii="Calibri" w:hAnsi="Calibri"/>
          <w:i/>
          <w:iCs/>
          <w:color w:val="BB9966"/>
          <w:sz w:val="19"/>
          <w:szCs w:val="19"/>
        </w:rPr>
        <w:t> </w:t>
      </w:r>
      <w:r>
        <w:rPr>
          <w:rFonts w:ascii="Calibri" w:hAnsi="Calibri"/>
          <w:i/>
          <w:iCs/>
          <w:color w:val="2689C6"/>
          <w:sz w:val="19"/>
          <w:szCs w:val="19"/>
        </w:rPr>
        <w:t>Note 4.29 "Example 7"</w:t>
      </w:r>
    </w:p>
    <w:p w:rsidR="00AD77BB" w:rsidRDefault="00B45BA0">
      <w:pPr>
        <w:pStyle w:val="para"/>
        <w:shd w:val="clear" w:color="auto" w:fill="FFFFFF" w:themeFill="background1"/>
        <w:spacing w:before="0" w:beforeAutospacing="0" w:after="0" w:afterAutospacing="0" w:line="360" w:lineRule="auto"/>
        <w:jc w:val="both"/>
        <w:textAlignment w:val="baseline"/>
      </w:pPr>
      <w:r>
        <w:rPr>
          <w:noProof/>
        </w:rPr>
        <w:drawing>
          <wp:anchor distT="0" distB="0" distL="114300" distR="114300" simplePos="0" relativeHeight="251671552" behindDoc="0" locked="0" layoutInCell="1" allowOverlap="1" wp14:anchorId="35FB5AFD" wp14:editId="06DE6784">
            <wp:simplePos x="0" y="0"/>
            <wp:positionH relativeFrom="column">
              <wp:align>left</wp:align>
            </wp:positionH>
            <wp:positionV relativeFrom="paragraph">
              <wp:align>top</wp:align>
            </wp:positionV>
            <wp:extent cx="4004310" cy="3152775"/>
            <wp:effectExtent l="0" t="0" r="0" b="9525"/>
            <wp:wrapSquare wrapText="bothSides"/>
            <wp:docPr id="486" name="Picture 148" descr="http://images.flatworldknowledge.com/shafer/shafer-fig0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images.flatworldknowledge.com/shafer/shafer-fig04_005.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004310" cy="3152775"/>
                    </a:xfrm>
                    <a:prstGeom prst="rect">
                      <a:avLst/>
                    </a:prstGeom>
                    <a:noFill/>
                  </pic:spPr>
                </pic:pic>
              </a:graphicData>
            </a:graphic>
            <wp14:sizeRelH relativeFrom="page">
              <wp14:pctWidth>0</wp14:pctWidth>
            </wp14:sizeRelH>
            <wp14:sizeRelV relativeFrom="page">
              <wp14:pctHeight>0</wp14:pctHeight>
            </wp14:sizeRelV>
          </wp:anchor>
        </w:drawing>
      </w:r>
      <w:r>
        <w:br w:type="textWrapping" w:clear="all"/>
      </w:r>
      <w:r>
        <w:rPr>
          <w:noProof/>
        </w:rPr>
        <w:lastRenderedPageBreak/>
        <w:drawing>
          <wp:inline distT="0" distB="0" distL="0" distR="0" wp14:anchorId="1D35F0FF" wp14:editId="396B2966">
            <wp:extent cx="5581650" cy="2533650"/>
            <wp:effectExtent l="0" t="0" r="0" b="0"/>
            <wp:docPr id="136"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81650" cy="2533650"/>
                    </a:xfrm>
                    <a:prstGeom prst="rect">
                      <a:avLst/>
                    </a:prstGeom>
                    <a:noFill/>
                    <a:ln>
                      <a:noFill/>
                    </a:ln>
                  </pic:spPr>
                </pic:pic>
              </a:graphicData>
            </a:graphic>
          </wp:inline>
        </w:drawing>
      </w:r>
    </w:p>
    <w:p w:rsidR="00AD77BB" w:rsidRDefault="00B45BA0">
      <w:pPr>
        <w:pStyle w:val="Heading2"/>
        <w:shd w:val="clear" w:color="auto" w:fill="FFFFFF"/>
        <w:spacing w:before="0" w:line="439" w:lineRule="atLeast"/>
        <w:textAlignment w:val="baseline"/>
        <w:rPr>
          <w:rFonts w:ascii="Calibri" w:hAnsi="Calibri"/>
          <w:color w:val="333333"/>
          <w:sz w:val="29"/>
          <w:szCs w:val="29"/>
        </w:rPr>
      </w:pPr>
      <w:r>
        <w:rPr>
          <w:rFonts w:ascii="Calibri" w:hAnsi="Calibri"/>
          <w:color w:val="333333"/>
          <w:sz w:val="29"/>
          <w:szCs w:val="29"/>
        </w:rPr>
        <w:t>Special Formulas for the Mean and Standard Deviation of a Binomial Random Variable</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Since a binomial random variable is a discrete random variable, the formulas for its mean, variance, and standard deviation given in the previous section apply to it, as we just saw in</w:t>
      </w:r>
      <w:r>
        <w:rPr>
          <w:rStyle w:val="apple-converted-space"/>
          <w:rFonts w:ascii="Georgia" w:hAnsi="Georgia"/>
          <w:color w:val="333333"/>
          <w:sz w:val="21"/>
          <w:szCs w:val="21"/>
        </w:rPr>
        <w:t> </w:t>
      </w:r>
      <w:r>
        <w:rPr>
          <w:rFonts w:ascii="Georgia" w:hAnsi="Georgia"/>
          <w:color w:val="2689C6"/>
          <w:sz w:val="21"/>
          <w:szCs w:val="21"/>
        </w:rPr>
        <w:t>Note 4.29 "Example 7"</w:t>
      </w:r>
      <w:r>
        <w:rPr>
          <w:rStyle w:val="apple-converted-space"/>
          <w:rFonts w:ascii="Georgia" w:hAnsi="Georgia"/>
          <w:color w:val="333333"/>
          <w:sz w:val="21"/>
          <w:szCs w:val="21"/>
        </w:rPr>
        <w:t> </w:t>
      </w:r>
      <w:r>
        <w:rPr>
          <w:rFonts w:ascii="Georgia" w:hAnsi="Georgia"/>
          <w:color w:val="333333"/>
          <w:sz w:val="21"/>
          <w:szCs w:val="21"/>
        </w:rPr>
        <w:t>in the case of the mean. However, for the binomial random variable there are much simpler formulas.</w:t>
      </w:r>
    </w:p>
    <w:p w:rsidR="00AD77BB" w:rsidRDefault="00B45BA0">
      <w:pPr>
        <w:pStyle w:val="para"/>
        <w:shd w:val="clear" w:color="auto" w:fill="FFFFFF" w:themeFill="background1"/>
        <w:spacing w:before="0" w:beforeAutospacing="0" w:after="0" w:afterAutospacing="0" w:line="360" w:lineRule="auto"/>
        <w:jc w:val="both"/>
        <w:textAlignment w:val="baseline"/>
      </w:pPr>
      <w:r>
        <w:rPr>
          <w:noProof/>
        </w:rPr>
        <w:drawing>
          <wp:inline distT="0" distB="0" distL="0" distR="0" wp14:anchorId="5F2001D3" wp14:editId="69F2D856">
            <wp:extent cx="4810125" cy="3962400"/>
            <wp:effectExtent l="0" t="0" r="9525" b="0"/>
            <wp:docPr id="137"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810125" cy="3962400"/>
                    </a:xfrm>
                    <a:prstGeom prst="rect">
                      <a:avLst/>
                    </a:prstGeom>
                    <a:noFill/>
                    <a:ln>
                      <a:noFill/>
                    </a:ln>
                  </pic:spPr>
                </pic:pic>
              </a:graphicData>
            </a:graphic>
          </wp:inline>
        </w:drawing>
      </w:r>
    </w:p>
    <w:p w:rsidR="00AD77BB" w:rsidRDefault="00B45BA0">
      <w:pPr>
        <w:pStyle w:val="Heading2"/>
        <w:shd w:val="clear" w:color="auto" w:fill="FFFFFF"/>
        <w:spacing w:before="0" w:line="439" w:lineRule="atLeast"/>
        <w:textAlignment w:val="baseline"/>
        <w:rPr>
          <w:rFonts w:ascii="Calibri" w:hAnsi="Calibri"/>
          <w:color w:val="333333"/>
          <w:sz w:val="29"/>
          <w:szCs w:val="29"/>
        </w:rPr>
      </w:pPr>
      <w:r>
        <w:rPr>
          <w:rFonts w:ascii="Calibri" w:hAnsi="Calibri"/>
          <w:color w:val="333333"/>
          <w:sz w:val="29"/>
          <w:szCs w:val="29"/>
        </w:rPr>
        <w:lastRenderedPageBreak/>
        <w:t>The Cumulative Probability Distribution of a Binomial Random Variable</w:t>
      </w:r>
    </w:p>
    <w:p w:rsidR="00AD77BB" w:rsidRDefault="00AD77BB"/>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 order to allow a broader range of more realistic problems</w:t>
      </w:r>
      <w:r>
        <w:rPr>
          <w:rStyle w:val="apple-converted-space"/>
          <w:rFonts w:ascii="Georgia" w:hAnsi="Georgia"/>
          <w:color w:val="333333"/>
          <w:sz w:val="21"/>
          <w:szCs w:val="21"/>
        </w:rPr>
        <w:t> </w:t>
      </w:r>
      <w:r>
        <w:rPr>
          <w:rFonts w:ascii="Georgia" w:hAnsi="Georgia"/>
          <w:color w:val="2689C6"/>
          <w:sz w:val="21"/>
          <w:szCs w:val="21"/>
        </w:rPr>
        <w:t>Chapter 12 "Appendix"</w:t>
      </w:r>
      <w:r>
        <w:rPr>
          <w:rStyle w:val="apple-converted-space"/>
          <w:rFonts w:ascii="Georgia" w:hAnsi="Georgia"/>
          <w:color w:val="333333"/>
          <w:sz w:val="21"/>
          <w:szCs w:val="21"/>
        </w:rPr>
        <w:t> </w:t>
      </w:r>
      <w:r>
        <w:rPr>
          <w:rFonts w:ascii="Georgia" w:hAnsi="Georgia"/>
          <w:color w:val="333333"/>
          <w:sz w:val="21"/>
          <w:szCs w:val="21"/>
        </w:rPr>
        <w:t>contains probability tables for binomial random variables for various choices of the parameters</w:t>
      </w:r>
      <w:r>
        <w:rPr>
          <w:rStyle w:val="apple-converted-space"/>
          <w:rFonts w:ascii="Georgia" w:hAnsi="Georgia"/>
          <w:color w:val="333333"/>
          <w:sz w:val="21"/>
          <w:szCs w:val="21"/>
        </w:rPr>
        <w:t> </w:t>
      </w:r>
      <w:r>
        <w:rPr>
          <w:rStyle w:val="Emphasis"/>
          <w:rFonts w:ascii="Georgia" w:hAnsi="Georgia"/>
          <w:color w:val="333333"/>
          <w:sz w:val="20"/>
          <w:szCs w:val="20"/>
        </w:rPr>
        <w:t>n</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rPr>
        <w:t>p</w:t>
      </w:r>
      <w:r>
        <w:rPr>
          <w:rFonts w:ascii="Georgia" w:hAnsi="Georgia"/>
          <w:color w:val="333333"/>
          <w:sz w:val="21"/>
          <w:szCs w:val="21"/>
        </w:rPr>
        <w:t>. These tables are not the probability distributions that we have seen so far, but are</w:t>
      </w:r>
      <w:r>
        <w:rPr>
          <w:rStyle w:val="apple-converted-space"/>
          <w:rFonts w:ascii="Georgia" w:hAnsi="Georgia"/>
          <w:color w:val="333333"/>
          <w:sz w:val="21"/>
          <w:szCs w:val="21"/>
        </w:rPr>
        <w:t> </w:t>
      </w:r>
      <w:r>
        <w:rPr>
          <w:rStyle w:val="Emphasis"/>
          <w:rFonts w:ascii="Georgia" w:hAnsi="Georgia"/>
          <w:color w:val="333333"/>
          <w:sz w:val="20"/>
          <w:szCs w:val="20"/>
        </w:rPr>
        <w:t>cumulative</w:t>
      </w:r>
      <w:r>
        <w:rPr>
          <w:rStyle w:val="apple-converted-space"/>
          <w:rFonts w:ascii="Georgia" w:hAnsi="Georgia"/>
          <w:color w:val="333333"/>
          <w:sz w:val="21"/>
          <w:szCs w:val="21"/>
        </w:rPr>
        <w:t> </w:t>
      </w:r>
      <w:r>
        <w:rPr>
          <w:rFonts w:ascii="Georgia" w:hAnsi="Georgia"/>
          <w:color w:val="333333"/>
          <w:sz w:val="21"/>
          <w:szCs w:val="21"/>
        </w:rPr>
        <w:t>probability distributions. In the place of the probability</w:t>
      </w:r>
      <w:r>
        <w:rPr>
          <w:rStyle w:val="apple-converted-space"/>
          <w:rFonts w:ascii="Georgia" w:hAnsi="Georgia"/>
          <w:color w:val="333333"/>
          <w:sz w:val="21"/>
          <w:szCs w:val="21"/>
        </w:rPr>
        <w:t> </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x</w:t>
      </w:r>
      <w:r>
        <w:rPr>
          <w:rStyle w:val="mo"/>
          <w:rFonts w:ascii="MathJax_Main" w:hAnsi="MathJax_Main"/>
          <w:b/>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 xml:space="preserve">the table contains the probability </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spacing w:line="360" w:lineRule="auto"/>
        <w:jc w:val="center"/>
        <w:textAlignment w:val="baseline"/>
        <w:rPr>
          <w:rFonts w:ascii="Calibri" w:hAnsi="Calibri"/>
          <w:b/>
          <w:color w:val="555555"/>
          <w:sz w:val="23"/>
          <w:szCs w:val="23"/>
          <w:shd w:val="clear" w:color="auto" w:fill="FFFFFF"/>
        </w:rPr>
      </w:pPr>
      <w:r>
        <w:rPr>
          <w:rStyle w:val="mi"/>
          <w:rFonts w:ascii="MathJax_Math" w:hAnsi="MathJax_Math"/>
          <w:b/>
          <w:i/>
          <w:iCs/>
          <w:color w:val="555555"/>
          <w:sz w:val="18"/>
          <w:szCs w:val="18"/>
          <w:shd w:val="clear" w:color="auto" w:fill="FFFFFF"/>
        </w:rPr>
        <w:t>P</w:t>
      </w:r>
      <w:r>
        <w:rPr>
          <w:rStyle w:val="mo"/>
          <w:rFonts w:ascii="MathJax_Main" w:hAnsi="MathJax_Main"/>
          <w:b/>
          <w:color w:val="555555"/>
          <w:sz w:val="18"/>
          <w:szCs w:val="18"/>
          <w:shd w:val="clear" w:color="auto" w:fill="FFFFFF"/>
        </w:rPr>
        <w:t>(</w:t>
      </w:r>
      <w:r>
        <w:rPr>
          <w:rStyle w:val="mi"/>
          <w:rFonts w:ascii="MathJax_Math" w:hAnsi="MathJax_Math"/>
          <w:b/>
          <w:i/>
          <w:iCs/>
          <w:color w:val="555555"/>
          <w:sz w:val="18"/>
          <w:szCs w:val="18"/>
          <w:shd w:val="clear" w:color="auto" w:fill="FFFFFF"/>
        </w:rPr>
        <w:t>X</w:t>
      </w:r>
      <w:r>
        <w:rPr>
          <w:rStyle w:val="mo"/>
          <w:rFonts w:ascii="MathJax_Main" w:hAnsi="MathJax_Main"/>
          <w:b/>
          <w:color w:val="555555"/>
          <w:sz w:val="18"/>
          <w:szCs w:val="18"/>
          <w:shd w:val="clear" w:color="auto" w:fill="FFFFFF"/>
        </w:rPr>
        <w:t>≤</w:t>
      </w:r>
      <w:r>
        <w:rPr>
          <w:rStyle w:val="mi"/>
          <w:rFonts w:ascii="MathJax_Math" w:hAnsi="MathJax_Math"/>
          <w:b/>
          <w:i/>
          <w:iCs/>
          <w:color w:val="555555"/>
          <w:sz w:val="18"/>
          <w:szCs w:val="18"/>
          <w:shd w:val="clear" w:color="auto" w:fill="FFFFFF"/>
        </w:rPr>
        <w:t>x</w:t>
      </w:r>
      <w:r>
        <w:rPr>
          <w:rStyle w:val="mo"/>
          <w:rFonts w:ascii="MathJax_Main" w:hAnsi="MathJax_Main"/>
          <w:b/>
          <w:color w:val="555555"/>
          <w:sz w:val="18"/>
          <w:szCs w:val="18"/>
          <w:shd w:val="clear" w:color="auto" w:fill="FFFFFF"/>
        </w:rPr>
        <w:t>)=</w:t>
      </w:r>
      <w:r>
        <w:rPr>
          <w:rStyle w:val="mi"/>
          <w:rFonts w:ascii="MathJax_Math" w:hAnsi="MathJax_Math"/>
          <w:b/>
          <w:i/>
          <w:iCs/>
          <w:color w:val="555555"/>
          <w:sz w:val="18"/>
          <w:szCs w:val="18"/>
          <w:shd w:val="clear" w:color="auto" w:fill="FFFFFF"/>
        </w:rPr>
        <w:t>P</w:t>
      </w:r>
      <w:r>
        <w:rPr>
          <w:rStyle w:val="mo"/>
          <w:rFonts w:ascii="MathJax_Main" w:hAnsi="MathJax_Main"/>
          <w:b/>
          <w:color w:val="555555"/>
          <w:sz w:val="18"/>
          <w:szCs w:val="18"/>
          <w:shd w:val="clear" w:color="auto" w:fill="FFFFFF"/>
        </w:rPr>
        <w:t>(</w:t>
      </w:r>
      <w:r>
        <w:rPr>
          <w:rStyle w:val="mn"/>
          <w:rFonts w:ascii="MathJax_Main" w:hAnsi="MathJax_Main"/>
          <w:b/>
          <w:color w:val="555555"/>
          <w:sz w:val="18"/>
          <w:szCs w:val="18"/>
          <w:shd w:val="clear" w:color="auto" w:fill="FFFFFF"/>
        </w:rPr>
        <w:t>0</w:t>
      </w:r>
      <w:r>
        <w:rPr>
          <w:rStyle w:val="mo"/>
          <w:rFonts w:ascii="MathJax_Main" w:hAnsi="MathJax_Main"/>
          <w:b/>
          <w:color w:val="555555"/>
          <w:sz w:val="18"/>
          <w:szCs w:val="18"/>
          <w:shd w:val="clear" w:color="auto" w:fill="FFFFFF"/>
        </w:rPr>
        <w:t>)+</w:t>
      </w:r>
      <w:r>
        <w:rPr>
          <w:rStyle w:val="mi"/>
          <w:rFonts w:ascii="MathJax_Math" w:hAnsi="MathJax_Math"/>
          <w:b/>
          <w:i/>
          <w:iCs/>
          <w:color w:val="555555"/>
          <w:sz w:val="18"/>
          <w:szCs w:val="18"/>
          <w:shd w:val="clear" w:color="auto" w:fill="FFFFFF"/>
        </w:rPr>
        <w:t>P</w:t>
      </w:r>
      <w:r>
        <w:rPr>
          <w:rStyle w:val="mo"/>
          <w:rFonts w:ascii="MathJax_Main" w:hAnsi="MathJax_Main"/>
          <w:b/>
          <w:color w:val="555555"/>
          <w:sz w:val="18"/>
          <w:szCs w:val="18"/>
          <w:shd w:val="clear" w:color="auto" w:fill="FFFFFF"/>
        </w:rPr>
        <w:t>(</w:t>
      </w:r>
      <w:r>
        <w:rPr>
          <w:rStyle w:val="mn"/>
          <w:rFonts w:ascii="MathJax_Main" w:hAnsi="MathJax_Main"/>
          <w:b/>
          <w:color w:val="555555"/>
          <w:sz w:val="18"/>
          <w:szCs w:val="18"/>
          <w:shd w:val="clear" w:color="auto" w:fill="FFFFFF"/>
        </w:rPr>
        <w:t>1</w:t>
      </w:r>
      <w:r>
        <w:rPr>
          <w:rStyle w:val="mo"/>
          <w:rFonts w:ascii="MathJax_Main" w:hAnsi="MathJax_Main"/>
          <w:b/>
          <w:color w:val="555555"/>
          <w:sz w:val="18"/>
          <w:szCs w:val="18"/>
          <w:shd w:val="clear" w:color="auto" w:fill="FFFFFF"/>
        </w:rPr>
        <w:t>)+</w:t>
      </w:r>
      <w:r>
        <w:rPr>
          <w:rStyle w:val="mtext"/>
          <w:rFonts w:ascii="MathJax_Main" w:hAnsi="MathJax_Main"/>
          <w:b/>
          <w:color w:val="555555"/>
          <w:sz w:val="18"/>
          <w:szCs w:val="18"/>
          <w:shd w:val="clear" w:color="auto" w:fill="FFFFFF"/>
        </w:rPr>
        <w:t> </w:t>
      </w:r>
      <w:r>
        <w:rPr>
          <w:rStyle w:val="mtext"/>
          <w:rFonts w:ascii="Cambria Math" w:hAnsi="Cambria Math" w:cs="Cambria Math"/>
          <w:b/>
          <w:color w:val="555555"/>
          <w:sz w:val="18"/>
          <w:szCs w:val="18"/>
          <w:shd w:val="clear" w:color="auto" w:fill="FFFFFF"/>
        </w:rPr>
        <w:t>⋅</w:t>
      </w:r>
      <w:r>
        <w:rPr>
          <w:rStyle w:val="mtext"/>
          <w:rFonts w:ascii="MathJax_Main" w:hAnsi="MathJax_Main"/>
          <w:b/>
          <w:color w:val="555555"/>
          <w:sz w:val="18"/>
          <w:szCs w:val="18"/>
          <w:shd w:val="clear" w:color="auto" w:fill="FFFFFF"/>
        </w:rPr>
        <w:t xml:space="preserve"> </w:t>
      </w:r>
      <w:r>
        <w:rPr>
          <w:rStyle w:val="mtext"/>
          <w:rFonts w:ascii="Cambria Math" w:hAnsi="Cambria Math" w:cs="Cambria Math"/>
          <w:b/>
          <w:color w:val="555555"/>
          <w:sz w:val="18"/>
          <w:szCs w:val="18"/>
          <w:shd w:val="clear" w:color="auto" w:fill="FFFFFF"/>
        </w:rPr>
        <w:t>⋅</w:t>
      </w:r>
      <w:r>
        <w:rPr>
          <w:rStyle w:val="mtext"/>
          <w:rFonts w:ascii="MathJax_Main" w:hAnsi="MathJax_Main"/>
          <w:b/>
          <w:color w:val="555555"/>
          <w:sz w:val="18"/>
          <w:szCs w:val="18"/>
          <w:shd w:val="clear" w:color="auto" w:fill="FFFFFF"/>
        </w:rPr>
        <w:t xml:space="preserve"> </w:t>
      </w:r>
      <w:r>
        <w:rPr>
          <w:rStyle w:val="mtext"/>
          <w:rFonts w:ascii="Cambria Math" w:hAnsi="Cambria Math" w:cs="Cambria Math"/>
          <w:b/>
          <w:color w:val="555555"/>
          <w:sz w:val="18"/>
          <w:szCs w:val="18"/>
          <w:shd w:val="clear" w:color="auto" w:fill="FFFFFF"/>
        </w:rPr>
        <w:t>⋅</w:t>
      </w:r>
      <w:r>
        <w:rPr>
          <w:rStyle w:val="mtext"/>
          <w:rFonts w:ascii="MathJax_Main" w:hAnsi="MathJax_Main"/>
          <w:b/>
          <w:color w:val="555555"/>
          <w:sz w:val="18"/>
          <w:szCs w:val="18"/>
          <w:shd w:val="clear" w:color="auto" w:fill="FFFFFF"/>
        </w:rPr>
        <w:t> </w:t>
      </w:r>
      <w:r>
        <w:rPr>
          <w:rStyle w:val="mo"/>
          <w:rFonts w:ascii="MathJax_Main" w:hAnsi="MathJax_Main"/>
          <w:b/>
          <w:color w:val="555555"/>
          <w:sz w:val="18"/>
          <w:szCs w:val="18"/>
          <w:shd w:val="clear" w:color="auto" w:fill="FFFFFF"/>
        </w:rPr>
        <w:t>+</w:t>
      </w:r>
      <w:r>
        <w:rPr>
          <w:rStyle w:val="mi"/>
          <w:rFonts w:ascii="MathJax_Math" w:hAnsi="MathJax_Math"/>
          <w:b/>
          <w:i/>
          <w:iCs/>
          <w:color w:val="555555"/>
          <w:sz w:val="18"/>
          <w:szCs w:val="18"/>
          <w:shd w:val="clear" w:color="auto" w:fill="FFFFFF"/>
        </w:rPr>
        <w:t>P</w:t>
      </w:r>
      <w:r>
        <w:rPr>
          <w:rStyle w:val="mo"/>
          <w:rFonts w:ascii="MathJax_Main" w:hAnsi="MathJax_Main"/>
          <w:b/>
          <w:color w:val="555555"/>
          <w:sz w:val="18"/>
          <w:szCs w:val="18"/>
          <w:shd w:val="clear" w:color="auto" w:fill="FFFFFF"/>
        </w:rPr>
        <w:t>(</w:t>
      </w:r>
      <w:r>
        <w:rPr>
          <w:rStyle w:val="mi"/>
          <w:rFonts w:ascii="MathJax_Math" w:hAnsi="MathJax_Math"/>
          <w:b/>
          <w:i/>
          <w:iCs/>
          <w:color w:val="555555"/>
          <w:sz w:val="18"/>
          <w:szCs w:val="18"/>
          <w:shd w:val="clear" w:color="auto" w:fill="FFFFFF"/>
        </w:rPr>
        <w:t>x</w:t>
      </w:r>
      <w:r>
        <w:rPr>
          <w:rStyle w:val="mo"/>
          <w:rFonts w:ascii="MathJax_Main" w:hAnsi="MathJax_Main"/>
          <w:b/>
          <w:color w:val="555555"/>
          <w:sz w:val="18"/>
          <w:szCs w:val="18"/>
          <w:shd w:val="clear" w:color="auto" w:fill="FFFFFF"/>
        </w:rPr>
        <w:t>)</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This is illustrated in</w:t>
      </w:r>
      <w:r>
        <w:rPr>
          <w:rStyle w:val="apple-converted-space"/>
          <w:rFonts w:ascii="Georgia" w:hAnsi="Georgia"/>
          <w:color w:val="333333"/>
          <w:sz w:val="21"/>
          <w:szCs w:val="21"/>
        </w:rPr>
        <w:t> </w:t>
      </w:r>
      <w:r>
        <w:rPr>
          <w:rFonts w:ascii="Georgia" w:hAnsi="Georgia"/>
          <w:color w:val="2689C6"/>
          <w:sz w:val="21"/>
          <w:szCs w:val="21"/>
        </w:rPr>
        <w:t>Figure 4.6 "Cumulative Probabilities"</w:t>
      </w:r>
      <w:r>
        <w:rPr>
          <w:rFonts w:ascii="Georgia" w:hAnsi="Georgia"/>
          <w:color w:val="333333"/>
          <w:sz w:val="21"/>
          <w:szCs w:val="21"/>
        </w:rPr>
        <w:t>. The probability entered in the table corresponds to the area of the shaded region. The reason for providing a cumulative table is that in practical problems that involve a binomial random variable typically the probability that is sought is of the form</w:t>
      </w:r>
      <w:r>
        <w:rPr>
          <w:rStyle w:val="apple-converted-space"/>
          <w:rFonts w:ascii="Georgia" w:hAnsi="Georgia"/>
          <w:color w:val="333333"/>
          <w:sz w:val="21"/>
          <w:szCs w:val="21"/>
        </w:rPr>
        <w:t> </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X</w:t>
      </w:r>
      <w:r>
        <w:rPr>
          <w:rStyle w:val="mo"/>
          <w:rFonts w:ascii="MathJax_Main" w:hAnsi="MathJax_Main"/>
          <w:b/>
          <w:color w:val="333333"/>
          <w:sz w:val="18"/>
          <w:szCs w:val="18"/>
        </w:rPr>
        <w:t>≤</w:t>
      </w:r>
      <w:r>
        <w:rPr>
          <w:rStyle w:val="mi"/>
          <w:rFonts w:ascii="MathJax_Math" w:hAnsi="MathJax_Math"/>
          <w:b/>
          <w:i/>
          <w:iCs/>
          <w:color w:val="333333"/>
          <w:sz w:val="18"/>
          <w:szCs w:val="18"/>
        </w:rPr>
        <w:t>x</w:t>
      </w:r>
      <w:r>
        <w:rPr>
          <w:rStyle w:val="mo"/>
          <w:rFonts w:ascii="MathJax_Main" w:hAnsi="MathJax_Main"/>
          <w:b/>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or</w:t>
      </w:r>
      <w:r>
        <w:rPr>
          <w:rStyle w:val="apple-converted-space"/>
          <w:rFonts w:ascii="Georgia" w:hAnsi="Georgia"/>
          <w:color w:val="333333"/>
          <w:sz w:val="21"/>
          <w:szCs w:val="21"/>
        </w:rPr>
        <w:t> </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X</w:t>
      </w:r>
      <w:r>
        <w:rPr>
          <w:rStyle w:val="mo"/>
          <w:rFonts w:ascii="MathJax_Main" w:hAnsi="MathJax_Main"/>
          <w:b/>
          <w:color w:val="333333"/>
          <w:sz w:val="18"/>
          <w:szCs w:val="18"/>
        </w:rPr>
        <w:t>≥</w:t>
      </w:r>
      <w:r>
        <w:rPr>
          <w:rStyle w:val="mi"/>
          <w:rFonts w:ascii="MathJax_Math" w:hAnsi="MathJax_Math"/>
          <w:b/>
          <w:i/>
          <w:iCs/>
          <w:color w:val="333333"/>
          <w:sz w:val="18"/>
          <w:szCs w:val="18"/>
        </w:rPr>
        <w:t>x</w:t>
      </w:r>
      <w:r>
        <w:rPr>
          <w:rStyle w:val="mo"/>
          <w:rFonts w:ascii="MathJax_Main" w:hAnsi="MathJax_Main"/>
          <w:b/>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The cumulative table is much easier to use for computing</w:t>
      </w:r>
      <w:r>
        <w:rPr>
          <w:rStyle w:val="apple-converted-space"/>
          <w:rFonts w:ascii="Georgia" w:hAnsi="Georgia"/>
          <w:color w:val="333333"/>
          <w:sz w:val="21"/>
          <w:szCs w:val="21"/>
        </w:rPr>
        <w:t> </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X</w:t>
      </w:r>
      <w:r>
        <w:rPr>
          <w:rStyle w:val="mo"/>
          <w:rFonts w:ascii="MathJax_Main" w:hAnsi="MathJax_Main"/>
          <w:b/>
          <w:color w:val="333333"/>
          <w:sz w:val="18"/>
          <w:szCs w:val="18"/>
        </w:rPr>
        <w:t>≤</w:t>
      </w:r>
      <w:r>
        <w:rPr>
          <w:rStyle w:val="mi"/>
          <w:rFonts w:ascii="MathJax_Math" w:hAnsi="MathJax_Math"/>
          <w:b/>
          <w:i/>
          <w:iCs/>
          <w:color w:val="333333"/>
          <w:sz w:val="18"/>
          <w:szCs w:val="18"/>
        </w:rPr>
        <w:t>x</w:t>
      </w:r>
      <w:r>
        <w:rPr>
          <w:rStyle w:val="mo"/>
          <w:rFonts w:ascii="MathJax_Main" w:hAnsi="MathJax_Main"/>
          <w:b/>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since all the individual probabilities have already been computed and added. The one table suffices for both</w:t>
      </w:r>
      <w:r>
        <w:rPr>
          <w:rStyle w:val="apple-converted-space"/>
          <w:rFonts w:ascii="Georgia" w:hAnsi="Georgia"/>
          <w:color w:val="333333"/>
          <w:sz w:val="21"/>
          <w:szCs w:val="21"/>
        </w:rPr>
        <w:t> </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X</w:t>
      </w:r>
      <w:r>
        <w:rPr>
          <w:rStyle w:val="mo"/>
          <w:rFonts w:ascii="MathJax_Main" w:hAnsi="MathJax_Main"/>
          <w:b/>
          <w:color w:val="333333"/>
          <w:sz w:val="18"/>
          <w:szCs w:val="18"/>
        </w:rPr>
        <w:t>≤</w:t>
      </w:r>
      <w:r>
        <w:rPr>
          <w:rStyle w:val="mi"/>
          <w:rFonts w:ascii="MathJax_Math" w:hAnsi="MathJax_Math"/>
          <w:b/>
          <w:i/>
          <w:iCs/>
          <w:color w:val="333333"/>
          <w:sz w:val="18"/>
          <w:szCs w:val="18"/>
        </w:rPr>
        <w:t>x</w:t>
      </w:r>
      <w:r>
        <w:rPr>
          <w:rStyle w:val="mo"/>
          <w:rFonts w:ascii="MathJax_Main" w:hAnsi="MathJax_Main"/>
          <w:b/>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or</w:t>
      </w:r>
      <w:r>
        <w:rPr>
          <w:rStyle w:val="apple-converted-space"/>
          <w:rFonts w:ascii="Georgia" w:hAnsi="Georgia"/>
          <w:color w:val="333333"/>
          <w:sz w:val="21"/>
          <w:szCs w:val="21"/>
        </w:rPr>
        <w:t> </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X</w:t>
      </w:r>
      <w:r>
        <w:rPr>
          <w:rStyle w:val="mo"/>
          <w:rFonts w:ascii="MathJax_Main" w:hAnsi="MathJax_Main"/>
          <w:b/>
          <w:color w:val="333333"/>
          <w:sz w:val="18"/>
          <w:szCs w:val="18"/>
        </w:rPr>
        <w:t>≥</w:t>
      </w:r>
      <w:r>
        <w:rPr>
          <w:rStyle w:val="mi"/>
          <w:rFonts w:ascii="MathJax_Math" w:hAnsi="MathJax_Math"/>
          <w:b/>
          <w:i/>
          <w:iCs/>
          <w:color w:val="333333"/>
          <w:sz w:val="18"/>
          <w:szCs w:val="18"/>
        </w:rPr>
        <w:t>x</w:t>
      </w:r>
      <w:r>
        <w:rPr>
          <w:rStyle w:val="mo"/>
          <w:rFonts w:ascii="MathJax_Main" w:hAnsi="MathJax_Main"/>
          <w:b/>
          <w:color w:val="333333"/>
          <w:sz w:val="18"/>
          <w:szCs w:val="18"/>
        </w:rPr>
        <w:t>)</w:t>
      </w:r>
      <w:r>
        <w:rPr>
          <w:rStyle w:val="apple-converted-space"/>
          <w:rFonts w:ascii="Georgia" w:hAnsi="Georgia"/>
          <w:b/>
          <w:color w:val="333333"/>
          <w:sz w:val="21"/>
          <w:szCs w:val="21"/>
        </w:rPr>
        <w:t> </w:t>
      </w:r>
      <w:r>
        <w:rPr>
          <w:rFonts w:ascii="Georgia" w:hAnsi="Georgia"/>
          <w:color w:val="333333"/>
          <w:sz w:val="21"/>
          <w:szCs w:val="21"/>
        </w:rPr>
        <w:t>and can be used to readily obtain probabilities of the form</w:t>
      </w:r>
      <w:r>
        <w:rPr>
          <w:rStyle w:val="apple-converted-space"/>
          <w:rFonts w:ascii="Georgia" w:hAnsi="Georgia"/>
          <w:color w:val="333333"/>
          <w:sz w:val="21"/>
          <w:szCs w:val="21"/>
        </w:rPr>
        <w:t> </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x</w:t>
      </w:r>
      <w:r>
        <w:rPr>
          <w:rStyle w:val="mo"/>
          <w:rFonts w:ascii="MathJax_Main" w:hAnsi="MathJax_Main"/>
          <w:b/>
          <w:color w:val="333333"/>
          <w:sz w:val="18"/>
          <w:szCs w:val="18"/>
        </w:rPr>
        <w:t>)</w:t>
      </w:r>
      <w:r>
        <w:rPr>
          <w:rFonts w:ascii="Georgia" w:hAnsi="Georgia"/>
          <w:b/>
          <w:color w:val="333333"/>
          <w:sz w:val="21"/>
          <w:szCs w:val="21"/>
        </w:rPr>
        <w:t>,</w:t>
      </w:r>
      <w:r>
        <w:rPr>
          <w:rFonts w:ascii="Georgia" w:hAnsi="Georgia"/>
          <w:color w:val="333333"/>
          <w:sz w:val="21"/>
          <w:szCs w:val="21"/>
        </w:rPr>
        <w:t xml:space="preserve"> too, because of the following formulas. The first is just the Probability Rule for Complements.</w:t>
      </w: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t>Figure 4.6</w:t>
      </w:r>
      <w:r>
        <w:rPr>
          <w:rFonts w:ascii="Georgia" w:eastAsia="Times New Roman" w:hAnsi="Georgia" w:cs="Times New Roman"/>
          <w:i/>
          <w:iCs/>
          <w:color w:val="BB9966"/>
          <w:sz w:val="19"/>
          <w:szCs w:val="19"/>
        </w:rPr>
        <w:t> Cumulative Probabilities</w:t>
      </w:r>
    </w:p>
    <w:p w:rsidR="00AD77BB" w:rsidRDefault="00B45BA0">
      <w:pPr>
        <w:pStyle w:val="para"/>
        <w:shd w:val="clear" w:color="auto" w:fill="FFFFFF" w:themeFill="background1"/>
        <w:spacing w:before="0" w:beforeAutospacing="0" w:after="0" w:afterAutospacing="0" w:line="360" w:lineRule="auto"/>
        <w:jc w:val="both"/>
        <w:textAlignment w:val="baseline"/>
      </w:pPr>
      <w:r>
        <w:rPr>
          <w:rFonts w:ascii="Calibri" w:hAnsi="Calibri"/>
          <w:noProof/>
          <w:color w:val="2689C6"/>
          <w:sz w:val="26"/>
          <w:szCs w:val="26"/>
          <w:shd w:val="clear" w:color="auto" w:fill="FFFFFF"/>
        </w:rPr>
        <w:drawing>
          <wp:inline distT="0" distB="0" distL="0" distR="0" wp14:anchorId="24624F88" wp14:editId="6A91EAA5">
            <wp:extent cx="5819775" cy="3933825"/>
            <wp:effectExtent l="0" t="0" r="9525" b="9525"/>
            <wp:docPr id="138" name="Picture 151" descr="http://images.flatworldknowledge.com/shafer/shafer-fig0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images.flatworldknowledge.com/shafer/shafer-fig04_006.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819775" cy="3933825"/>
                    </a:xfrm>
                    <a:prstGeom prst="rect">
                      <a:avLst/>
                    </a:prstGeom>
                    <a:noFill/>
                    <a:ln>
                      <a:noFill/>
                    </a:ln>
                  </pic:spPr>
                </pic:pic>
              </a:graphicData>
            </a:graphic>
          </wp:inline>
        </w:drawing>
      </w:r>
    </w:p>
    <w:p w:rsidR="00AD77BB" w:rsidRDefault="00B45BA0">
      <w:pPr>
        <w:shd w:val="clear" w:color="auto" w:fill="DAEEF3" w:themeFill="accent5" w:themeFillTint="33"/>
        <w:spacing w:after="0"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If </w:t>
      </w:r>
      <w:r>
        <w:rPr>
          <w:rFonts w:ascii="Georgia" w:eastAsia="Times New Roman" w:hAnsi="Georgia" w:cs="Times New Roman"/>
          <w:i/>
          <w:iCs/>
          <w:color w:val="333333"/>
          <w:sz w:val="20"/>
          <w:szCs w:val="20"/>
        </w:rPr>
        <w:t>X</w:t>
      </w:r>
      <w:r>
        <w:rPr>
          <w:rFonts w:ascii="Georgia" w:eastAsia="Times New Roman" w:hAnsi="Georgia" w:cs="Times New Roman"/>
          <w:color w:val="333333"/>
          <w:sz w:val="21"/>
          <w:szCs w:val="21"/>
        </w:rPr>
        <w:t> is a discrete random variable, then</w:t>
      </w:r>
    </w:p>
    <w:p w:rsidR="00AD77BB" w:rsidRDefault="00AD77BB">
      <w:pPr>
        <w:shd w:val="clear" w:color="auto" w:fill="DAEEF3" w:themeFill="accent5" w:themeFillTint="33"/>
        <w:spacing w:after="0" w:line="439" w:lineRule="atLeast"/>
        <w:textAlignment w:val="baseline"/>
        <w:rPr>
          <w:rFonts w:ascii="Georgia" w:eastAsia="Times New Roman" w:hAnsi="Georgia" w:cs="Times New Roman"/>
          <w:color w:val="333333"/>
          <w:sz w:val="21"/>
          <w:szCs w:val="21"/>
        </w:rPr>
      </w:pPr>
    </w:p>
    <w:p w:rsidR="00AD77BB" w:rsidRDefault="00B45BA0">
      <w:pPr>
        <w:shd w:val="clear" w:color="auto" w:fill="DAEEF3" w:themeFill="accent5" w:themeFillTint="33"/>
        <w:spacing w:line="270" w:lineRule="atLeast"/>
        <w:jc w:val="center"/>
        <w:textAlignment w:val="baseline"/>
        <w:rPr>
          <w:rFonts w:ascii="Calibri" w:eastAsia="Times New Roman" w:hAnsi="Calibri" w:cs="Times New Roman"/>
          <w:b/>
          <w:color w:val="555555"/>
          <w:sz w:val="23"/>
          <w:szCs w:val="23"/>
        </w:rPr>
      </w:pPr>
      <w:r>
        <w:rPr>
          <w:rFonts w:ascii="MathJax_Math" w:eastAsia="Times New Roman" w:hAnsi="MathJax_Math" w:cs="Times New Roman"/>
          <w:b/>
          <w:i/>
          <w:iCs/>
          <w:color w:val="555555"/>
          <w:sz w:val="18"/>
          <w:szCs w:val="18"/>
        </w:rPr>
        <w:t>P</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X</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x</w:t>
      </w:r>
      <w:r>
        <w:rPr>
          <w:rFonts w:ascii="MathJax_Main" w:eastAsia="Times New Roman" w:hAnsi="MathJax_Main" w:cs="Times New Roman"/>
          <w:b/>
          <w:color w:val="555555"/>
          <w:sz w:val="18"/>
          <w:szCs w:val="18"/>
        </w:rPr>
        <w:t>)=1−</w:t>
      </w:r>
      <w:r>
        <w:rPr>
          <w:rFonts w:ascii="MathJax_Math" w:eastAsia="Times New Roman" w:hAnsi="MathJax_Math" w:cs="Times New Roman"/>
          <w:b/>
          <w:i/>
          <w:iCs/>
          <w:color w:val="555555"/>
          <w:sz w:val="18"/>
          <w:szCs w:val="18"/>
        </w:rPr>
        <w:t>P</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X</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x</w:t>
      </w:r>
      <w:r>
        <w:rPr>
          <w:rFonts w:ascii="MathJax_Main" w:eastAsia="Times New Roman" w:hAnsi="MathJax_Main" w:cs="Times New Roman"/>
          <w:b/>
          <w:color w:val="555555"/>
          <w:sz w:val="18"/>
          <w:szCs w:val="18"/>
        </w:rPr>
        <w:t>−1)</w:t>
      </w:r>
      <w:r>
        <w:rPr>
          <w:rFonts w:ascii="MathJax_Main" w:eastAsia="Times New Roman" w:hAnsi="MathJax_Main" w:cs="Times New Roman"/>
          <w:b/>
          <w:color w:val="555555"/>
          <w:sz w:val="18"/>
          <w:szCs w:val="18"/>
        </w:rPr>
        <w:t> </w:t>
      </w:r>
      <w:r>
        <w:rPr>
          <w:rFonts w:ascii="MathJax_Main" w:eastAsia="Times New Roman" w:hAnsi="MathJax_Main" w:cs="Times New Roman"/>
          <w:b/>
          <w:color w:val="555555"/>
          <w:sz w:val="18"/>
          <w:szCs w:val="18"/>
        </w:rPr>
        <w:t> and</w:t>
      </w:r>
      <w:r>
        <w:rPr>
          <w:rFonts w:ascii="MathJax_Main" w:eastAsia="Times New Roman" w:hAnsi="MathJax_Main" w:cs="Times New Roman"/>
          <w:b/>
          <w:color w:val="555555"/>
          <w:sz w:val="18"/>
          <w:szCs w:val="18"/>
        </w:rPr>
        <w:t> </w:t>
      </w:r>
      <w:r>
        <w:rPr>
          <w:rFonts w:ascii="MathJax_Math" w:eastAsia="Times New Roman" w:hAnsi="MathJax_Math" w:cs="Times New Roman"/>
          <w:b/>
          <w:i/>
          <w:iCs/>
          <w:color w:val="555555"/>
          <w:sz w:val="18"/>
          <w:szCs w:val="18"/>
        </w:rPr>
        <w:t>P</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x</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P</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X</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x</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P</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X</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x</w:t>
      </w:r>
      <w:r>
        <w:rPr>
          <w:rFonts w:ascii="MathJax_Main" w:eastAsia="Times New Roman" w:hAnsi="MathJax_Main" w:cs="Times New Roman"/>
          <w:b/>
          <w:color w:val="555555"/>
          <w:sz w:val="18"/>
          <w:szCs w:val="18"/>
        </w:rPr>
        <w:t>−1)</w:t>
      </w:r>
    </w:p>
    <w:p w:rsidR="00AD77BB" w:rsidRDefault="00B45BA0">
      <w:pPr>
        <w:pStyle w:val="para"/>
        <w:shd w:val="clear" w:color="auto" w:fill="FFFFFF" w:themeFill="background1"/>
        <w:spacing w:before="0" w:beforeAutospacing="0" w:after="0" w:afterAutospacing="0" w:line="360" w:lineRule="auto"/>
        <w:jc w:val="both"/>
        <w:textAlignment w:val="baseline"/>
      </w:pPr>
      <w:r>
        <w:rPr>
          <w:noProof/>
        </w:rPr>
        <w:drawing>
          <wp:inline distT="0" distB="0" distL="0" distR="0" wp14:anchorId="7AE3BEC3" wp14:editId="0E1A4497">
            <wp:extent cx="6038850" cy="6238875"/>
            <wp:effectExtent l="0" t="0" r="0" b="9525"/>
            <wp:docPr id="139"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038850" cy="6238875"/>
                    </a:xfrm>
                    <a:prstGeom prst="rect">
                      <a:avLst/>
                    </a:prstGeom>
                    <a:noFill/>
                    <a:ln>
                      <a:noFill/>
                    </a:ln>
                  </pic:spPr>
                </pic:pic>
              </a:graphicData>
            </a:graphic>
          </wp:inline>
        </w:drawing>
      </w:r>
    </w:p>
    <w:p w:rsidR="00AD77BB" w:rsidRDefault="00AD77BB">
      <w:pPr>
        <w:shd w:val="clear" w:color="auto" w:fill="E3EFF7"/>
        <w:spacing w:after="0" w:line="366" w:lineRule="atLeast"/>
        <w:ind w:left="300" w:right="375"/>
        <w:textAlignment w:val="baseline"/>
        <w:rPr>
          <w:rFonts w:ascii="Calibri" w:eastAsia="Times New Roman" w:hAnsi="Calibri" w:cs="Times New Roman"/>
          <w:color w:val="333333"/>
          <w:sz w:val="20"/>
          <w:szCs w:val="20"/>
        </w:rPr>
      </w:pPr>
    </w:p>
    <w:p w:rsidR="00AD77BB" w:rsidRDefault="00AD77BB">
      <w:pPr>
        <w:shd w:val="clear" w:color="auto" w:fill="E3EFF7"/>
        <w:spacing w:after="0" w:line="366" w:lineRule="atLeast"/>
        <w:ind w:left="300" w:right="375"/>
        <w:textAlignment w:val="baseline"/>
        <w:rPr>
          <w:rFonts w:ascii="Calibri" w:eastAsia="Times New Roman" w:hAnsi="Calibri" w:cs="Times New Roman"/>
          <w:color w:val="333333"/>
          <w:sz w:val="20"/>
          <w:szCs w:val="20"/>
        </w:rPr>
      </w:pPr>
    </w:p>
    <w:p w:rsidR="00AD77BB" w:rsidRDefault="00AD77BB">
      <w:pPr>
        <w:shd w:val="clear" w:color="auto" w:fill="E3EFF7"/>
        <w:spacing w:after="0" w:line="366" w:lineRule="atLeast"/>
        <w:ind w:left="300" w:right="375"/>
        <w:textAlignment w:val="baseline"/>
        <w:rPr>
          <w:rFonts w:ascii="Calibri" w:eastAsia="Times New Roman" w:hAnsi="Calibri" w:cs="Times New Roman"/>
          <w:color w:val="333333"/>
          <w:sz w:val="20"/>
          <w:szCs w:val="20"/>
        </w:rPr>
      </w:pPr>
    </w:p>
    <w:p w:rsidR="00AD77BB" w:rsidRDefault="00B45BA0">
      <w:pPr>
        <w:pStyle w:val="ListParagraph"/>
        <w:numPr>
          <w:ilvl w:val="1"/>
          <w:numId w:val="108"/>
        </w:numPr>
        <w:shd w:val="clear" w:color="auto" w:fill="E3EFF7"/>
        <w:spacing w:after="0" w:line="366"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 xml:space="preserve"> The student must guess correctly on at least 60% of the questions, which is </w:t>
      </w:r>
      <w:r>
        <w:rPr>
          <w:rFonts w:ascii="MathJax_Main" w:eastAsia="Times New Roman" w:hAnsi="MathJax_Main" w:cs="Times New Roman"/>
          <w:color w:val="333333"/>
          <w:sz w:val="15"/>
          <w:szCs w:val="15"/>
        </w:rPr>
        <w:t>0.60</w:t>
      </w:r>
      <w:r>
        <w:rPr>
          <w:rFonts w:ascii="Cambria Math" w:eastAsia="Times New Roman" w:hAnsi="Cambria Math" w:cs="Cambria Math"/>
          <w:color w:val="333333"/>
          <w:sz w:val="15"/>
          <w:szCs w:val="15"/>
        </w:rPr>
        <w:t>⋅</w:t>
      </w:r>
      <w:r>
        <w:rPr>
          <w:rFonts w:ascii="MathJax_Main" w:eastAsia="Times New Roman" w:hAnsi="MathJax_Main" w:cs="Times New Roman"/>
          <w:color w:val="333333"/>
          <w:sz w:val="15"/>
          <w:szCs w:val="15"/>
        </w:rPr>
        <w:t>10=6</w:t>
      </w:r>
      <w:r>
        <w:rPr>
          <w:rFonts w:ascii="Calibri" w:eastAsia="Times New Roman" w:hAnsi="Calibri" w:cs="Times New Roman"/>
          <w:color w:val="333333"/>
          <w:sz w:val="20"/>
          <w:szCs w:val="20"/>
        </w:rPr>
        <w:t> questions. The probability sought is </w:t>
      </w:r>
      <w:r>
        <w:rPr>
          <w:rFonts w:ascii="Calibri" w:eastAsia="Times New Roman" w:hAnsi="Calibri" w:cs="Times New Roman"/>
          <w:i/>
          <w:iCs/>
          <w:color w:val="333333"/>
          <w:sz w:val="20"/>
          <w:szCs w:val="20"/>
        </w:rPr>
        <w:t>not</w:t>
      </w:r>
      <w:r>
        <w:rPr>
          <w:rFonts w:ascii="Calibri" w:eastAsia="Times New Roman" w:hAnsi="Calibri" w:cs="Times New Roman"/>
          <w:color w:val="333333"/>
          <w:sz w:val="20"/>
          <w:szCs w:val="20"/>
        </w:rPr>
        <w: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(6)</w:t>
      </w:r>
      <w:r>
        <w:rPr>
          <w:rFonts w:ascii="Calibri" w:eastAsia="Times New Roman" w:hAnsi="Calibri" w:cs="Times New Roman"/>
          <w:b/>
          <w:color w:val="333333"/>
          <w:sz w:val="20"/>
          <w:szCs w:val="20"/>
        </w:rPr>
        <w:t> </w:t>
      </w:r>
      <w:r>
        <w:rPr>
          <w:rFonts w:ascii="Calibri" w:eastAsia="Times New Roman" w:hAnsi="Calibri" w:cs="Times New Roman"/>
          <w:color w:val="333333"/>
          <w:sz w:val="20"/>
          <w:szCs w:val="20"/>
        </w:rPr>
        <w:t>(an easy mistake to make), but</w:t>
      </w:r>
    </w:p>
    <w:p w:rsidR="00AD77BB" w:rsidRDefault="00B45BA0">
      <w:pPr>
        <w:spacing w:line="366" w:lineRule="atLeast"/>
        <w:jc w:val="center"/>
        <w:textAlignment w:val="baseline"/>
        <w:rPr>
          <w:rFonts w:ascii="Calibri" w:eastAsia="Times New Roman" w:hAnsi="Calibri" w:cs="Times New Roman"/>
          <w:b/>
          <w:color w:val="333333"/>
          <w:sz w:val="20"/>
          <w:szCs w:val="20"/>
          <w:shd w:val="clear" w:color="auto" w:fill="E3EFF7"/>
        </w:rPr>
      </w:pPr>
      <w:r>
        <w:rPr>
          <w:rFonts w:ascii="MathJax_Math" w:eastAsia="Times New Roman" w:hAnsi="MathJax_Math" w:cs="Times New Roman"/>
          <w:b/>
          <w:i/>
          <w:iCs/>
          <w:color w:val="333333"/>
          <w:sz w:val="15"/>
          <w:szCs w:val="15"/>
          <w:shd w:val="clear" w:color="auto" w:fill="E3EFF7"/>
        </w:rPr>
        <w:t>P</w:t>
      </w:r>
      <w:r>
        <w:rPr>
          <w:rFonts w:ascii="MathJax_Main" w:eastAsia="Times New Roman" w:hAnsi="MathJax_Main" w:cs="Times New Roman"/>
          <w:b/>
          <w:color w:val="333333"/>
          <w:sz w:val="15"/>
          <w:szCs w:val="15"/>
          <w:shd w:val="clear" w:color="auto" w:fill="E3EFF7"/>
        </w:rPr>
        <w:t>(</w:t>
      </w:r>
      <w:r>
        <w:rPr>
          <w:rFonts w:ascii="MathJax_Math" w:eastAsia="Times New Roman" w:hAnsi="MathJax_Math" w:cs="Times New Roman"/>
          <w:b/>
          <w:i/>
          <w:iCs/>
          <w:color w:val="333333"/>
          <w:sz w:val="15"/>
          <w:szCs w:val="15"/>
          <w:shd w:val="clear" w:color="auto" w:fill="E3EFF7"/>
        </w:rPr>
        <w:t>X</w:t>
      </w:r>
      <w:r>
        <w:rPr>
          <w:rFonts w:ascii="MathJax_Main" w:eastAsia="Times New Roman" w:hAnsi="MathJax_Main" w:cs="Times New Roman"/>
          <w:b/>
          <w:color w:val="333333"/>
          <w:sz w:val="15"/>
          <w:szCs w:val="15"/>
          <w:shd w:val="clear" w:color="auto" w:fill="E3EFF7"/>
        </w:rPr>
        <w:t>≥6)=</w:t>
      </w:r>
      <w:r>
        <w:rPr>
          <w:rFonts w:ascii="MathJax_Math" w:eastAsia="Times New Roman" w:hAnsi="MathJax_Math" w:cs="Times New Roman"/>
          <w:b/>
          <w:i/>
          <w:iCs/>
          <w:color w:val="333333"/>
          <w:sz w:val="15"/>
          <w:szCs w:val="15"/>
          <w:shd w:val="clear" w:color="auto" w:fill="E3EFF7"/>
        </w:rPr>
        <w:t>P</w:t>
      </w:r>
      <w:r>
        <w:rPr>
          <w:rFonts w:ascii="MathJax_Main" w:eastAsia="Times New Roman" w:hAnsi="MathJax_Main" w:cs="Times New Roman"/>
          <w:b/>
          <w:color w:val="333333"/>
          <w:sz w:val="15"/>
          <w:szCs w:val="15"/>
          <w:shd w:val="clear" w:color="auto" w:fill="E3EFF7"/>
        </w:rPr>
        <w:t>(6)+</w:t>
      </w:r>
      <w:r>
        <w:rPr>
          <w:rFonts w:ascii="MathJax_Math" w:eastAsia="Times New Roman" w:hAnsi="MathJax_Math" w:cs="Times New Roman"/>
          <w:b/>
          <w:i/>
          <w:iCs/>
          <w:color w:val="333333"/>
          <w:sz w:val="15"/>
          <w:szCs w:val="15"/>
          <w:shd w:val="clear" w:color="auto" w:fill="E3EFF7"/>
        </w:rPr>
        <w:t>P</w:t>
      </w:r>
      <w:r>
        <w:rPr>
          <w:rFonts w:ascii="MathJax_Main" w:eastAsia="Times New Roman" w:hAnsi="MathJax_Main" w:cs="Times New Roman"/>
          <w:b/>
          <w:color w:val="333333"/>
          <w:sz w:val="15"/>
          <w:szCs w:val="15"/>
          <w:shd w:val="clear" w:color="auto" w:fill="E3EFF7"/>
        </w:rPr>
        <w:t>(7)+</w:t>
      </w:r>
      <w:r>
        <w:rPr>
          <w:rFonts w:ascii="MathJax_Math" w:eastAsia="Times New Roman" w:hAnsi="MathJax_Math" w:cs="Times New Roman"/>
          <w:b/>
          <w:i/>
          <w:iCs/>
          <w:color w:val="333333"/>
          <w:sz w:val="15"/>
          <w:szCs w:val="15"/>
          <w:shd w:val="clear" w:color="auto" w:fill="E3EFF7"/>
        </w:rPr>
        <w:t>P</w:t>
      </w:r>
      <w:r>
        <w:rPr>
          <w:rFonts w:ascii="MathJax_Main" w:eastAsia="Times New Roman" w:hAnsi="MathJax_Main" w:cs="Times New Roman"/>
          <w:b/>
          <w:color w:val="333333"/>
          <w:sz w:val="15"/>
          <w:szCs w:val="15"/>
          <w:shd w:val="clear" w:color="auto" w:fill="E3EFF7"/>
        </w:rPr>
        <w:t>(8)+</w:t>
      </w:r>
      <w:r>
        <w:rPr>
          <w:rFonts w:ascii="MathJax_Math" w:eastAsia="Times New Roman" w:hAnsi="MathJax_Math" w:cs="Times New Roman"/>
          <w:b/>
          <w:i/>
          <w:iCs/>
          <w:color w:val="333333"/>
          <w:sz w:val="15"/>
          <w:szCs w:val="15"/>
          <w:shd w:val="clear" w:color="auto" w:fill="E3EFF7"/>
        </w:rPr>
        <w:t>P</w:t>
      </w:r>
      <w:r>
        <w:rPr>
          <w:rFonts w:ascii="MathJax_Main" w:eastAsia="Times New Roman" w:hAnsi="MathJax_Main" w:cs="Times New Roman"/>
          <w:b/>
          <w:color w:val="333333"/>
          <w:sz w:val="15"/>
          <w:szCs w:val="15"/>
          <w:shd w:val="clear" w:color="auto" w:fill="E3EFF7"/>
        </w:rPr>
        <w:t>(9)+</w:t>
      </w:r>
      <w:r>
        <w:rPr>
          <w:rFonts w:ascii="MathJax_Math" w:eastAsia="Times New Roman" w:hAnsi="MathJax_Math" w:cs="Times New Roman"/>
          <w:b/>
          <w:i/>
          <w:iCs/>
          <w:color w:val="333333"/>
          <w:sz w:val="15"/>
          <w:szCs w:val="15"/>
          <w:shd w:val="clear" w:color="auto" w:fill="E3EFF7"/>
        </w:rPr>
        <w:t>P</w:t>
      </w:r>
      <w:r>
        <w:rPr>
          <w:rFonts w:ascii="MathJax_Main" w:eastAsia="Times New Roman" w:hAnsi="MathJax_Main" w:cs="Times New Roman"/>
          <w:b/>
          <w:color w:val="333333"/>
          <w:sz w:val="15"/>
          <w:szCs w:val="15"/>
          <w:shd w:val="clear" w:color="auto" w:fill="E3EFF7"/>
        </w:rPr>
        <w:t>(10)</w:t>
      </w:r>
    </w:p>
    <w:p w:rsidR="00AD77BB" w:rsidRDefault="00B45BA0">
      <w:pPr>
        <w:shd w:val="clear" w:color="auto" w:fill="E3EFF7"/>
        <w:spacing w:before="150" w:after="0" w:line="366"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Instead of computing each of these five numbers using the formula and adding them we can use the table to obtain</w:t>
      </w:r>
    </w:p>
    <w:p w:rsidR="00AD77BB" w:rsidRDefault="00B45BA0">
      <w:pPr>
        <w:spacing w:line="366" w:lineRule="atLeast"/>
        <w:jc w:val="center"/>
        <w:textAlignment w:val="baseline"/>
        <w:rPr>
          <w:rFonts w:ascii="Calibri" w:eastAsia="Times New Roman" w:hAnsi="Calibri" w:cs="Times New Roman"/>
          <w:b/>
          <w:color w:val="333333"/>
          <w:sz w:val="20"/>
          <w:szCs w:val="20"/>
          <w:shd w:val="clear" w:color="auto" w:fill="E3EFF7"/>
        </w:rPr>
      </w:pPr>
      <w:r>
        <w:rPr>
          <w:rFonts w:ascii="MathJax_Math" w:eastAsia="Times New Roman" w:hAnsi="MathJax_Math" w:cs="Times New Roman"/>
          <w:b/>
          <w:i/>
          <w:iCs/>
          <w:color w:val="333333"/>
          <w:sz w:val="15"/>
          <w:szCs w:val="15"/>
          <w:shd w:val="clear" w:color="auto" w:fill="E3EFF7"/>
        </w:rPr>
        <w:t>P</w:t>
      </w:r>
      <w:r>
        <w:rPr>
          <w:rFonts w:ascii="MathJax_Main" w:eastAsia="Times New Roman" w:hAnsi="MathJax_Main" w:cs="Times New Roman"/>
          <w:b/>
          <w:color w:val="333333"/>
          <w:sz w:val="15"/>
          <w:szCs w:val="15"/>
          <w:shd w:val="clear" w:color="auto" w:fill="E3EFF7"/>
        </w:rPr>
        <w:t>(</w:t>
      </w:r>
      <w:r>
        <w:rPr>
          <w:rFonts w:ascii="MathJax_Math" w:eastAsia="Times New Roman" w:hAnsi="MathJax_Math" w:cs="Times New Roman"/>
          <w:b/>
          <w:i/>
          <w:iCs/>
          <w:color w:val="333333"/>
          <w:sz w:val="15"/>
          <w:szCs w:val="15"/>
          <w:shd w:val="clear" w:color="auto" w:fill="E3EFF7"/>
        </w:rPr>
        <w:t>X</w:t>
      </w:r>
      <w:r>
        <w:rPr>
          <w:rFonts w:ascii="MathJax_Main" w:eastAsia="Times New Roman" w:hAnsi="MathJax_Main" w:cs="Times New Roman"/>
          <w:b/>
          <w:color w:val="333333"/>
          <w:sz w:val="15"/>
          <w:szCs w:val="15"/>
          <w:shd w:val="clear" w:color="auto" w:fill="E3EFF7"/>
        </w:rPr>
        <w:t>≥6)=1−</w:t>
      </w:r>
      <w:r>
        <w:rPr>
          <w:rFonts w:ascii="MathJax_Math" w:eastAsia="Times New Roman" w:hAnsi="MathJax_Math" w:cs="Times New Roman"/>
          <w:b/>
          <w:i/>
          <w:iCs/>
          <w:color w:val="333333"/>
          <w:sz w:val="15"/>
          <w:szCs w:val="15"/>
          <w:shd w:val="clear" w:color="auto" w:fill="E3EFF7"/>
        </w:rPr>
        <w:t>P</w:t>
      </w:r>
      <w:r>
        <w:rPr>
          <w:rFonts w:ascii="MathJax_Main" w:eastAsia="Times New Roman" w:hAnsi="MathJax_Main" w:cs="Times New Roman"/>
          <w:b/>
          <w:color w:val="333333"/>
          <w:sz w:val="15"/>
          <w:szCs w:val="15"/>
          <w:shd w:val="clear" w:color="auto" w:fill="E3EFF7"/>
        </w:rPr>
        <w:t>(</w:t>
      </w:r>
      <w:r>
        <w:rPr>
          <w:rFonts w:ascii="MathJax_Math" w:eastAsia="Times New Roman" w:hAnsi="MathJax_Math" w:cs="Times New Roman"/>
          <w:b/>
          <w:i/>
          <w:iCs/>
          <w:color w:val="333333"/>
          <w:sz w:val="15"/>
          <w:szCs w:val="15"/>
          <w:shd w:val="clear" w:color="auto" w:fill="E3EFF7"/>
        </w:rPr>
        <w:t>X</w:t>
      </w:r>
      <w:r>
        <w:rPr>
          <w:rFonts w:ascii="MathJax_Main" w:eastAsia="Times New Roman" w:hAnsi="MathJax_Main" w:cs="Times New Roman"/>
          <w:b/>
          <w:color w:val="333333"/>
          <w:sz w:val="15"/>
          <w:szCs w:val="15"/>
          <w:shd w:val="clear" w:color="auto" w:fill="E3EFF7"/>
        </w:rPr>
        <w:t>≤5)=1−0.6230=0.3770</w:t>
      </w:r>
    </w:p>
    <w:p w:rsidR="00AD77BB" w:rsidRDefault="00B45BA0">
      <w:pPr>
        <w:shd w:val="clear" w:color="auto" w:fill="E3EFF7"/>
        <w:spacing w:before="150" w:after="0" w:line="366"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is much less work and of sufficient accuracy for the situation at hand.</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10</w:t>
      </w:r>
    </w:p>
    <w:p w:rsidR="00AD77BB" w:rsidRDefault="00B45BA0">
      <w:pPr>
        <w:pStyle w:val="para"/>
        <w:shd w:val="clear" w:color="auto" w:fill="DAEEF3" w:themeFill="accent5" w:themeFillTint="33"/>
        <w:spacing w:before="15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An appliance repairman services five washing machines on site each day. One-third of the service calls require installation of a particular part.</w:t>
      </w:r>
    </w:p>
    <w:p w:rsidR="00AD77BB" w:rsidRDefault="00B45BA0">
      <w:pPr>
        <w:numPr>
          <w:ilvl w:val="0"/>
          <w:numId w:val="109"/>
        </w:numPr>
        <w:shd w:val="clear" w:color="auto" w:fill="DAEEF3" w:themeFill="accent5" w:themeFillTint="33"/>
        <w:spacing w:after="0" w:line="439" w:lineRule="atLeast"/>
        <w:ind w:right="375"/>
        <w:textAlignment w:val="baseline"/>
        <w:rPr>
          <w:rFonts w:ascii="Calibri" w:hAnsi="Calibri"/>
          <w:color w:val="333333"/>
          <w:sz w:val="20"/>
          <w:szCs w:val="20"/>
        </w:rPr>
      </w:pPr>
      <w:r>
        <w:rPr>
          <w:rFonts w:ascii="Calibri" w:hAnsi="Calibri"/>
          <w:color w:val="333333"/>
          <w:sz w:val="20"/>
          <w:szCs w:val="20"/>
        </w:rPr>
        <w:t>The repairman has only one such part on his truck today. Find the probability that the one part will be enough today, that is, that at most one washing machine he services will require installation of this particular part.</w:t>
      </w:r>
    </w:p>
    <w:p w:rsidR="00AD77BB" w:rsidRDefault="00B45BA0">
      <w:pPr>
        <w:numPr>
          <w:ilvl w:val="0"/>
          <w:numId w:val="109"/>
        </w:numPr>
        <w:shd w:val="clear" w:color="auto" w:fill="DAEEF3" w:themeFill="accent5" w:themeFillTint="33"/>
        <w:spacing w:after="0" w:line="439" w:lineRule="atLeast"/>
        <w:ind w:left="504" w:right="375" w:hanging="504"/>
        <w:textAlignment w:val="baseline"/>
        <w:rPr>
          <w:rFonts w:ascii="Calibri" w:hAnsi="Calibri"/>
          <w:color w:val="333333"/>
          <w:sz w:val="20"/>
          <w:szCs w:val="20"/>
        </w:rPr>
      </w:pPr>
      <w:r>
        <w:rPr>
          <w:rFonts w:ascii="Calibri" w:hAnsi="Calibri"/>
          <w:color w:val="333333"/>
          <w:sz w:val="20"/>
          <w:szCs w:val="20"/>
        </w:rPr>
        <w:t>Find the minimum number of such parts he should take with him each day in order that the probability that he have enough for the day's service calls is at least 95%.</w:t>
      </w:r>
    </w:p>
    <w:p w:rsidR="00AD77BB" w:rsidRDefault="00B45BA0">
      <w:pPr>
        <w:pStyle w:val="simpara"/>
        <w:shd w:val="clear" w:color="auto" w:fill="DAEEF3" w:themeFill="accent5" w:themeFillTint="33"/>
        <w:spacing w:before="15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Solution:</w:t>
      </w:r>
    </w:p>
    <w:p w:rsidR="00AD77BB" w:rsidRDefault="00B45BA0">
      <w:pPr>
        <w:pStyle w:val="para"/>
        <w:shd w:val="clear" w:color="auto" w:fill="DAEEF3" w:themeFill="accent5" w:themeFillTint="33"/>
        <w:spacing w:before="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Let</w:t>
      </w:r>
      <w:r>
        <w:rPr>
          <w:rStyle w:val="apple-converted-space"/>
          <w:rFonts w:ascii="Calibri" w:hAnsi="Calibri"/>
          <w:color w:val="333333"/>
          <w:sz w:val="21"/>
          <w:szCs w:val="21"/>
        </w:rPr>
        <w:t> </w:t>
      </w:r>
      <w:r>
        <w:rPr>
          <w:rStyle w:val="Emphasis"/>
          <w:rFonts w:ascii="Calibri" w:eastAsiaTheme="majorEastAsia" w:hAnsi="Calibri"/>
          <w:color w:val="333333"/>
          <w:sz w:val="20"/>
          <w:szCs w:val="20"/>
        </w:rPr>
        <w:t>X</w:t>
      </w:r>
      <w:r>
        <w:rPr>
          <w:rStyle w:val="apple-converted-space"/>
          <w:rFonts w:ascii="Calibri" w:hAnsi="Calibri"/>
          <w:color w:val="333333"/>
          <w:sz w:val="21"/>
          <w:szCs w:val="21"/>
        </w:rPr>
        <w:t> </w:t>
      </w:r>
      <w:r>
        <w:rPr>
          <w:rFonts w:ascii="Calibri" w:hAnsi="Calibri"/>
          <w:color w:val="333333"/>
          <w:sz w:val="21"/>
          <w:szCs w:val="21"/>
        </w:rPr>
        <w:t>denote the number of service calls today on which the part is required. Then</w:t>
      </w:r>
      <w:r>
        <w:rPr>
          <w:rStyle w:val="Emphasis"/>
          <w:rFonts w:ascii="Calibri" w:eastAsiaTheme="majorEastAsia" w:hAnsi="Calibri"/>
          <w:color w:val="333333"/>
          <w:sz w:val="20"/>
          <w:szCs w:val="20"/>
        </w:rPr>
        <w:t>X</w:t>
      </w:r>
      <w:r>
        <w:rPr>
          <w:rStyle w:val="apple-converted-space"/>
          <w:rFonts w:ascii="Calibri" w:hAnsi="Calibri"/>
          <w:color w:val="333333"/>
          <w:sz w:val="21"/>
          <w:szCs w:val="21"/>
        </w:rPr>
        <w:t> </w:t>
      </w:r>
      <w:r>
        <w:rPr>
          <w:rFonts w:ascii="Calibri" w:hAnsi="Calibri"/>
          <w:color w:val="333333"/>
          <w:sz w:val="21"/>
          <w:szCs w:val="21"/>
        </w:rPr>
        <w:t>is a binomial random variable with parameters</w:t>
      </w:r>
      <w:r>
        <w:rPr>
          <w:rStyle w:val="apple-converted-space"/>
          <w:rFonts w:ascii="Calibri" w:hAnsi="Calibri"/>
          <w:color w:val="333333"/>
          <w:sz w:val="21"/>
          <w:szCs w:val="21"/>
        </w:rPr>
        <w:t> </w:t>
      </w:r>
      <w:r>
        <w:rPr>
          <w:rStyle w:val="Emphasis"/>
          <w:rFonts w:ascii="Calibri" w:eastAsiaTheme="majorEastAsia" w:hAnsi="Calibri"/>
          <w:color w:val="333333"/>
          <w:sz w:val="20"/>
          <w:szCs w:val="20"/>
        </w:rPr>
        <w:t>n</w:t>
      </w:r>
      <w:r>
        <w:rPr>
          <w:rStyle w:val="apple-converted-space"/>
          <w:rFonts w:ascii="Calibri" w:hAnsi="Calibri"/>
          <w:color w:val="333333"/>
          <w:sz w:val="21"/>
          <w:szCs w:val="21"/>
        </w:rPr>
        <w:t> </w:t>
      </w:r>
      <w:r>
        <w:rPr>
          <w:rFonts w:ascii="Calibri" w:hAnsi="Calibri"/>
          <w:color w:val="333333"/>
          <w:sz w:val="21"/>
          <w:szCs w:val="21"/>
        </w:rPr>
        <w:t>= 5 and</w:t>
      </w:r>
      <w:r>
        <w:rPr>
          <w:rStyle w:val="apple-converted-space"/>
          <w:rFonts w:ascii="Calibri" w:hAnsi="Calibri"/>
          <w:color w:val="333333"/>
          <w:sz w:val="21"/>
          <w:szCs w:val="21"/>
        </w:rPr>
        <w:t> </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1</w:t>
      </w:r>
      <w:r>
        <w:rPr>
          <w:rStyle w:val="mo"/>
          <w:rFonts w:ascii="MathJax_Size2" w:hAnsi="MathJax_Size2"/>
          <w:b/>
          <w:color w:val="333333"/>
          <w:sz w:val="15"/>
          <w:szCs w:val="15"/>
        </w:rPr>
        <w:t>/</w:t>
      </w:r>
      <w:r>
        <w:rPr>
          <w:rStyle w:val="mn"/>
          <w:rFonts w:ascii="MathJax_Main" w:hAnsi="MathJax_Main"/>
          <w:b/>
          <w:color w:val="333333"/>
          <w:sz w:val="15"/>
          <w:szCs w:val="15"/>
        </w:rPr>
        <w:t>3</w:t>
      </w:r>
      <w:r>
        <w:rPr>
          <w:rStyle w:val="mo"/>
          <w:rFonts w:ascii="MathJax_Main" w:hAnsi="MathJax_Main"/>
          <w:b/>
          <w:color w:val="333333"/>
          <w:sz w:val="15"/>
          <w:szCs w:val="15"/>
        </w:rPr>
        <w:t>=</w:t>
      </w:r>
      <w:r>
        <w:rPr>
          <w:rStyle w:val="mn"/>
          <w:rFonts w:ascii="MathJax_Main" w:hAnsi="MathJax_Main"/>
          <w:b/>
          <w:color w:val="333333"/>
          <w:sz w:val="15"/>
          <w:szCs w:val="15"/>
        </w:rPr>
        <w:t>0</w:t>
      </w:r>
      <w:r>
        <w:rPr>
          <w:rStyle w:val="mo"/>
          <w:rFonts w:ascii="MathJax_Main" w:hAnsi="MathJax_Main"/>
          <w:b/>
          <w:color w:val="333333"/>
          <w:sz w:val="15"/>
          <w:szCs w:val="15"/>
        </w:rPr>
        <w:t>.</w:t>
      </w:r>
      <w:r>
        <w:rPr>
          <w:rStyle w:val="mn"/>
          <w:rFonts w:ascii="MathJax_Main" w:hAnsi="MathJax_Main"/>
          <w:b/>
          <w:color w:val="333333"/>
          <w:sz w:val="15"/>
          <w:szCs w:val="15"/>
        </w:rPr>
        <w:t>3</w:t>
      </w:r>
      <w:r>
        <w:rPr>
          <w:rStyle w:val="mn"/>
          <w:b/>
          <w:color w:val="333333"/>
          <w:sz w:val="15"/>
          <w:szCs w:val="15"/>
        </w:rPr>
        <w:t>^</w:t>
      </w:r>
      <w:r>
        <w:rPr>
          <w:rStyle w:val="mo"/>
          <w:rFonts w:ascii="MathJax_Main" w:hAnsi="MathJax_Main"/>
          <w:b/>
          <w:color w:val="333333"/>
          <w:sz w:val="15"/>
          <w:szCs w:val="15"/>
        </w:rPr>
        <w:t>−.</w:t>
      </w:r>
    </w:p>
    <w:p w:rsidR="00AD77BB" w:rsidRDefault="00B45BA0">
      <w:pPr>
        <w:pStyle w:val="para"/>
        <w:numPr>
          <w:ilvl w:val="0"/>
          <w:numId w:val="110"/>
        </w:numPr>
        <w:shd w:val="clear" w:color="auto" w:fill="DAEEF3" w:themeFill="accent5" w:themeFillTint="33"/>
        <w:spacing w:before="0" w:beforeAutospacing="0" w:after="0" w:afterAutospacing="0" w:line="439" w:lineRule="atLeast"/>
        <w:ind w:right="750"/>
        <w:textAlignment w:val="baseline"/>
        <w:rPr>
          <w:rFonts w:ascii="Calibri" w:hAnsi="Calibri"/>
          <w:color w:val="333333"/>
          <w:sz w:val="20"/>
          <w:szCs w:val="20"/>
        </w:rPr>
      </w:pPr>
      <w:r>
        <w:rPr>
          <w:rFonts w:ascii="Calibri" w:hAnsi="Calibri"/>
          <w:color w:val="333333"/>
          <w:sz w:val="20"/>
          <w:szCs w:val="20"/>
        </w:rPr>
        <w:t>Note that the probability in question is not</w:t>
      </w:r>
      <w:r>
        <w:rPr>
          <w:rStyle w:val="apple-converted-space"/>
          <w:rFonts w:ascii="Calibri" w:hAnsi="Calibri"/>
          <w:color w:val="333333"/>
          <w:sz w:val="20"/>
          <w:szCs w:val="20"/>
        </w:rPr>
        <w:t> </w:t>
      </w:r>
      <w:r>
        <w:rPr>
          <w:rStyle w:val="mi"/>
          <w:rFonts w:ascii="MathJax_Math" w:hAnsi="MathJax_Math"/>
          <w:i/>
          <w:iCs/>
          <w:color w:val="333333"/>
          <w:sz w:val="15"/>
          <w:szCs w:val="15"/>
        </w:rPr>
        <w:t>P</w:t>
      </w:r>
      <w:r>
        <w:rPr>
          <w:rStyle w:val="mo"/>
          <w:rFonts w:ascii="MathJax_Main" w:hAnsi="MathJax_Main"/>
          <w:color w:val="333333"/>
          <w:sz w:val="15"/>
          <w:szCs w:val="15"/>
        </w:rPr>
        <w:t>(</w:t>
      </w:r>
      <w:r>
        <w:rPr>
          <w:rStyle w:val="mn"/>
          <w:rFonts w:ascii="MathJax_Main" w:hAnsi="MathJax_Main"/>
          <w:color w:val="333333"/>
          <w:sz w:val="15"/>
          <w:szCs w:val="15"/>
        </w:rPr>
        <w:t>1</w:t>
      </w:r>
      <w:r>
        <w:rPr>
          <w:rStyle w:val="mo"/>
          <w:rFonts w:ascii="MathJax_Main" w:hAnsi="MathJax_Main"/>
          <w:color w:val="333333"/>
          <w:sz w:val="15"/>
          <w:szCs w:val="15"/>
        </w:rPr>
        <w:t>)</w:t>
      </w:r>
      <w:r>
        <w:rPr>
          <w:rFonts w:ascii="Calibri" w:hAnsi="Calibri"/>
          <w:color w:val="333333"/>
          <w:sz w:val="20"/>
          <w:szCs w:val="20"/>
        </w:rPr>
        <w:t>, but rather</w:t>
      </w:r>
      <w:r>
        <w:rPr>
          <w:rStyle w:val="apple-converted-space"/>
          <w:rFonts w:ascii="Calibri" w:hAnsi="Calibri"/>
          <w:color w:val="333333"/>
          <w:sz w:val="20"/>
          <w:szCs w:val="20"/>
        </w:rPr>
        <w:t> </w:t>
      </w:r>
      <w:r>
        <w:rPr>
          <w:rStyle w:val="Emphasis"/>
          <w:rFonts w:ascii="Calibri" w:eastAsiaTheme="majorEastAsia" w:hAnsi="Calibri"/>
          <w:color w:val="333333"/>
          <w:sz w:val="20"/>
          <w:szCs w:val="20"/>
        </w:rPr>
        <w:t>P</w:t>
      </w:r>
      <w:r>
        <w:rPr>
          <w:rFonts w:ascii="Calibri" w:hAnsi="Calibri"/>
          <w:color w:val="333333"/>
          <w:sz w:val="20"/>
          <w:szCs w:val="20"/>
        </w:rPr>
        <w:t>(</w:t>
      </w:r>
      <w:r>
        <w:rPr>
          <w:rStyle w:val="Emphasis"/>
          <w:rFonts w:ascii="Calibri" w:eastAsiaTheme="majorEastAsia"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1). Using the cumulative distribution table in</w:t>
      </w:r>
      <w:r>
        <w:rPr>
          <w:rStyle w:val="apple-converted-space"/>
          <w:rFonts w:ascii="Calibri" w:hAnsi="Calibri"/>
          <w:color w:val="333333"/>
          <w:sz w:val="20"/>
          <w:szCs w:val="20"/>
        </w:rPr>
        <w:t> </w:t>
      </w:r>
      <w:r>
        <w:rPr>
          <w:rFonts w:ascii="Calibri" w:hAnsi="Calibri"/>
          <w:color w:val="2689C6"/>
          <w:sz w:val="20"/>
          <w:szCs w:val="20"/>
        </w:rPr>
        <w:t>Chapter 12 "Appendix"</w:t>
      </w:r>
      <w:r>
        <w:rPr>
          <w:rFonts w:ascii="Calibri" w:hAnsi="Calibri"/>
          <w:color w:val="333333"/>
          <w:sz w:val="20"/>
          <w:szCs w:val="20"/>
        </w:rPr>
        <w:t>,</w:t>
      </w:r>
    </w:p>
    <w:p w:rsidR="00AD77BB" w:rsidRDefault="00B45BA0">
      <w:pPr>
        <w:shd w:val="clear" w:color="auto" w:fill="DAEEF3" w:themeFill="accent5" w:themeFillTint="33"/>
        <w:spacing w:line="439" w:lineRule="atLeast"/>
        <w:ind w:left="300" w:right="375"/>
        <w:jc w:val="center"/>
        <w:textAlignment w:val="baseline"/>
        <w:rPr>
          <w:rStyle w:val="mn"/>
          <w:rFonts w:ascii="MathJax_Main" w:hAnsi="MathJax_Main"/>
          <w:b/>
          <w:sz w:val="15"/>
          <w:szCs w:val="15"/>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X</w:t>
      </w:r>
      <w:r>
        <w:rPr>
          <w:rStyle w:val="mo"/>
          <w:rFonts w:ascii="MathJax_Main" w:hAnsi="MathJax_Main"/>
          <w:b/>
          <w:color w:val="333333"/>
          <w:sz w:val="15"/>
          <w:szCs w:val="15"/>
        </w:rPr>
        <w:t>≤</w:t>
      </w:r>
      <w:r>
        <w:rPr>
          <w:rStyle w:val="mn"/>
          <w:rFonts w:ascii="MathJax_Main" w:hAnsi="MathJax_Main"/>
          <w:b/>
          <w:color w:val="333333"/>
          <w:sz w:val="15"/>
          <w:szCs w:val="15"/>
        </w:rPr>
        <w:t>1</w:t>
      </w:r>
      <w:r>
        <w:rPr>
          <w:rStyle w:val="mo"/>
          <w:rFonts w:ascii="MathJax_Main" w:hAnsi="MathJax_Main"/>
          <w:b/>
          <w:color w:val="333333"/>
          <w:sz w:val="15"/>
          <w:szCs w:val="15"/>
        </w:rPr>
        <w:t>)=</w:t>
      </w:r>
      <w:r>
        <w:rPr>
          <w:rStyle w:val="mn"/>
          <w:rFonts w:ascii="MathJax_Main" w:hAnsi="MathJax_Main"/>
          <w:b/>
          <w:color w:val="333333"/>
          <w:sz w:val="15"/>
          <w:szCs w:val="15"/>
        </w:rPr>
        <w:t>0.4609</w:t>
      </w:r>
    </w:p>
    <w:p w:rsidR="00AD77BB" w:rsidRDefault="00B45BA0">
      <w:pPr>
        <w:pStyle w:val="ListParagraph"/>
        <w:numPr>
          <w:ilvl w:val="0"/>
          <w:numId w:val="110"/>
        </w:numPr>
        <w:shd w:val="clear" w:color="auto" w:fill="DAEEF3" w:themeFill="accent5" w:themeFillTint="33"/>
        <w:spacing w:line="439" w:lineRule="atLeast"/>
        <w:ind w:left="720" w:right="375"/>
        <w:jc w:val="center"/>
        <w:textAlignment w:val="baseline"/>
        <w:rPr>
          <w:rFonts w:ascii="Calibri" w:hAnsi="Calibri"/>
          <w:sz w:val="20"/>
          <w:szCs w:val="20"/>
        </w:rPr>
      </w:pPr>
      <w:r>
        <w:rPr>
          <w:rFonts w:ascii="Calibri" w:hAnsi="Calibri"/>
          <w:color w:val="333333"/>
          <w:sz w:val="20"/>
          <w:szCs w:val="20"/>
          <w:shd w:val="clear" w:color="auto" w:fill="E3EFF7"/>
        </w:rPr>
        <w:t>The answer is the smallest number</w:t>
      </w:r>
      <w:r>
        <w:rPr>
          <w:rStyle w:val="apple-converted-space"/>
          <w:rFonts w:ascii="Calibri" w:hAnsi="Calibri"/>
          <w:color w:val="333333"/>
          <w:sz w:val="20"/>
          <w:szCs w:val="20"/>
          <w:shd w:val="clear" w:color="auto" w:fill="E3EFF7"/>
        </w:rPr>
        <w:t> </w:t>
      </w:r>
      <w:r>
        <w:rPr>
          <w:rStyle w:val="Emphasis"/>
          <w:rFonts w:ascii="Calibri" w:hAnsi="Calibri"/>
          <w:color w:val="333333"/>
          <w:sz w:val="20"/>
          <w:szCs w:val="20"/>
          <w:shd w:val="clear" w:color="auto" w:fill="E3EFF7"/>
        </w:rPr>
        <w:t>x</w:t>
      </w:r>
      <w:r>
        <w:rPr>
          <w:rStyle w:val="apple-converted-space"/>
          <w:rFonts w:ascii="Calibri" w:hAnsi="Calibri"/>
          <w:color w:val="333333"/>
          <w:sz w:val="20"/>
          <w:szCs w:val="20"/>
          <w:shd w:val="clear" w:color="auto" w:fill="E3EFF7"/>
        </w:rPr>
        <w:t> </w:t>
      </w:r>
      <w:r>
        <w:rPr>
          <w:rFonts w:ascii="Calibri" w:hAnsi="Calibri"/>
          <w:color w:val="333333"/>
          <w:sz w:val="20"/>
          <w:szCs w:val="20"/>
          <w:shd w:val="clear" w:color="auto" w:fill="E3EFF7"/>
        </w:rPr>
        <w:t>such that the table entry</w:t>
      </w:r>
      <w:r>
        <w:rPr>
          <w:rStyle w:val="apple-converted-space"/>
          <w:rFonts w:ascii="Calibri" w:hAnsi="Calibri"/>
          <w:color w:val="333333"/>
          <w:sz w:val="20"/>
          <w:szCs w:val="20"/>
          <w:shd w:val="clear" w:color="auto" w:fill="E3EFF7"/>
        </w:rPr>
        <w:t> </w:t>
      </w:r>
      <w:r>
        <w:rPr>
          <w:rStyle w:val="mi"/>
          <w:rFonts w:ascii="MathJax_Math" w:hAnsi="MathJax_Math"/>
          <w:b/>
          <w:i/>
          <w:iCs/>
          <w:color w:val="333333"/>
          <w:sz w:val="15"/>
          <w:szCs w:val="15"/>
          <w:shd w:val="clear" w:color="auto" w:fill="E3EFF7"/>
        </w:rPr>
        <w:t>P</w:t>
      </w:r>
      <w:r>
        <w:rPr>
          <w:rStyle w:val="mo"/>
          <w:rFonts w:ascii="MathJax_Main" w:hAnsi="MathJax_Main"/>
          <w:b/>
          <w:color w:val="333333"/>
          <w:sz w:val="15"/>
          <w:szCs w:val="15"/>
          <w:shd w:val="clear" w:color="auto" w:fill="E3EFF7"/>
        </w:rPr>
        <w:t>(</w:t>
      </w:r>
      <w:r>
        <w:rPr>
          <w:rStyle w:val="mi"/>
          <w:rFonts w:ascii="MathJax_Math" w:hAnsi="MathJax_Math"/>
          <w:b/>
          <w:i/>
          <w:iCs/>
          <w:color w:val="333333"/>
          <w:sz w:val="15"/>
          <w:szCs w:val="15"/>
          <w:shd w:val="clear" w:color="auto" w:fill="E3EFF7"/>
        </w:rPr>
        <w:t>X</w:t>
      </w:r>
      <w:r>
        <w:rPr>
          <w:rStyle w:val="mo"/>
          <w:rFonts w:ascii="MathJax_Main" w:hAnsi="MathJax_Main"/>
          <w:b/>
          <w:color w:val="333333"/>
          <w:sz w:val="15"/>
          <w:szCs w:val="15"/>
          <w:shd w:val="clear" w:color="auto" w:fill="E3EFF7"/>
        </w:rPr>
        <w:t>≤</w:t>
      </w:r>
      <w:r>
        <w:rPr>
          <w:rStyle w:val="mi"/>
          <w:rFonts w:ascii="MathJax_Math" w:hAnsi="MathJax_Math"/>
          <w:b/>
          <w:i/>
          <w:iCs/>
          <w:color w:val="333333"/>
          <w:sz w:val="15"/>
          <w:szCs w:val="15"/>
          <w:shd w:val="clear" w:color="auto" w:fill="E3EFF7"/>
        </w:rPr>
        <w:t>x</w:t>
      </w:r>
      <w:r>
        <w:rPr>
          <w:rStyle w:val="mo"/>
          <w:rFonts w:ascii="MathJax_Main" w:hAnsi="MathJax_Main"/>
          <w:b/>
          <w:color w:val="333333"/>
          <w:sz w:val="15"/>
          <w:szCs w:val="15"/>
          <w:shd w:val="clear" w:color="auto" w:fill="E3EFF7"/>
        </w:rPr>
        <w:t>)</w:t>
      </w:r>
      <w:r>
        <w:rPr>
          <w:rStyle w:val="apple-converted-space"/>
          <w:rFonts w:ascii="Calibri" w:hAnsi="Calibri"/>
          <w:color w:val="333333"/>
          <w:sz w:val="20"/>
          <w:szCs w:val="20"/>
          <w:shd w:val="clear" w:color="auto" w:fill="E3EFF7"/>
        </w:rPr>
        <w:t> </w:t>
      </w:r>
      <w:r>
        <w:rPr>
          <w:rFonts w:ascii="Calibri" w:hAnsi="Calibri"/>
          <w:color w:val="333333"/>
          <w:sz w:val="20"/>
          <w:szCs w:val="20"/>
          <w:shd w:val="clear" w:color="auto" w:fill="E3EFF7"/>
        </w:rPr>
        <w:t>is at least 0.9500. Since</w:t>
      </w:r>
      <w:r>
        <w:rPr>
          <w:rStyle w:val="apple-converted-space"/>
          <w:rFonts w:ascii="Calibri" w:hAnsi="Calibri"/>
          <w:color w:val="333333"/>
          <w:sz w:val="20"/>
          <w:szCs w:val="20"/>
          <w:shd w:val="clear" w:color="auto" w:fill="E3EFF7"/>
        </w:rPr>
        <w:t> </w:t>
      </w:r>
      <w:r>
        <w:rPr>
          <w:rStyle w:val="mi"/>
          <w:rFonts w:ascii="MathJax_Math" w:hAnsi="MathJax_Math"/>
          <w:b/>
          <w:i/>
          <w:iCs/>
          <w:color w:val="333333"/>
          <w:sz w:val="15"/>
          <w:szCs w:val="15"/>
          <w:shd w:val="clear" w:color="auto" w:fill="E3EFF7"/>
        </w:rPr>
        <w:t>P</w:t>
      </w:r>
      <w:r>
        <w:rPr>
          <w:rStyle w:val="mo"/>
          <w:rFonts w:ascii="MathJax_Main" w:hAnsi="MathJax_Main"/>
          <w:b/>
          <w:color w:val="333333"/>
          <w:sz w:val="15"/>
          <w:szCs w:val="15"/>
          <w:shd w:val="clear" w:color="auto" w:fill="E3EFF7"/>
        </w:rPr>
        <w:t>(</w:t>
      </w:r>
      <w:r>
        <w:rPr>
          <w:rStyle w:val="mi"/>
          <w:rFonts w:ascii="MathJax_Math" w:hAnsi="MathJax_Math"/>
          <w:b/>
          <w:i/>
          <w:iCs/>
          <w:color w:val="333333"/>
          <w:sz w:val="15"/>
          <w:szCs w:val="15"/>
          <w:shd w:val="clear" w:color="auto" w:fill="E3EFF7"/>
        </w:rPr>
        <w:t>X</w:t>
      </w:r>
      <w:r>
        <w:rPr>
          <w:rStyle w:val="mo"/>
          <w:rFonts w:ascii="MathJax_Main" w:hAnsi="MathJax_Main"/>
          <w:b/>
          <w:color w:val="333333"/>
          <w:sz w:val="15"/>
          <w:szCs w:val="15"/>
          <w:shd w:val="clear" w:color="auto" w:fill="E3EFF7"/>
        </w:rPr>
        <w:t>≤</w:t>
      </w:r>
      <w:r>
        <w:rPr>
          <w:rStyle w:val="mn"/>
          <w:rFonts w:ascii="MathJax_Main" w:hAnsi="MathJax_Main"/>
          <w:b/>
          <w:color w:val="333333"/>
          <w:sz w:val="15"/>
          <w:szCs w:val="15"/>
          <w:shd w:val="clear" w:color="auto" w:fill="E3EFF7"/>
        </w:rPr>
        <w:t>2</w:t>
      </w:r>
      <w:r>
        <w:rPr>
          <w:rStyle w:val="mo"/>
          <w:rFonts w:ascii="MathJax_Main" w:hAnsi="MathJax_Main"/>
          <w:b/>
          <w:color w:val="333333"/>
          <w:sz w:val="15"/>
          <w:szCs w:val="15"/>
          <w:shd w:val="clear" w:color="auto" w:fill="E3EFF7"/>
        </w:rPr>
        <w:t>)=</w:t>
      </w:r>
      <w:r>
        <w:rPr>
          <w:rStyle w:val="mn"/>
          <w:rFonts w:ascii="MathJax_Main" w:hAnsi="MathJax_Main"/>
          <w:b/>
          <w:color w:val="333333"/>
          <w:sz w:val="15"/>
          <w:szCs w:val="15"/>
          <w:shd w:val="clear" w:color="auto" w:fill="E3EFF7"/>
        </w:rPr>
        <w:t>0.7901</w:t>
      </w:r>
      <w:r>
        <w:rPr>
          <w:rStyle w:val="apple-converted-space"/>
          <w:rFonts w:ascii="Calibri" w:hAnsi="Calibri"/>
          <w:color w:val="333333"/>
          <w:sz w:val="20"/>
          <w:szCs w:val="20"/>
          <w:shd w:val="clear" w:color="auto" w:fill="E3EFF7"/>
        </w:rPr>
        <w:t> </w:t>
      </w:r>
      <w:r>
        <w:rPr>
          <w:rFonts w:ascii="Calibri" w:hAnsi="Calibri"/>
          <w:color w:val="333333"/>
          <w:sz w:val="20"/>
          <w:szCs w:val="20"/>
          <w:shd w:val="clear" w:color="auto" w:fill="E3EFF7"/>
        </w:rPr>
        <w:t>is less than 0.95, two parts are not enough. Since</w:t>
      </w:r>
      <w:r>
        <w:rPr>
          <w:rStyle w:val="apple-converted-space"/>
          <w:rFonts w:ascii="Calibri" w:hAnsi="Calibri"/>
          <w:color w:val="333333"/>
          <w:sz w:val="20"/>
          <w:szCs w:val="20"/>
          <w:shd w:val="clear" w:color="auto" w:fill="E3EFF7"/>
        </w:rPr>
        <w:t> </w:t>
      </w:r>
      <w:r>
        <w:rPr>
          <w:rStyle w:val="mi"/>
          <w:rFonts w:ascii="MathJax_Math" w:hAnsi="MathJax_Math"/>
          <w:b/>
          <w:i/>
          <w:iCs/>
          <w:color w:val="333333"/>
          <w:sz w:val="15"/>
          <w:szCs w:val="15"/>
          <w:shd w:val="clear" w:color="auto" w:fill="E3EFF7"/>
        </w:rPr>
        <w:t>P</w:t>
      </w:r>
      <w:r>
        <w:rPr>
          <w:rStyle w:val="mo"/>
          <w:rFonts w:ascii="MathJax_Main" w:hAnsi="MathJax_Main"/>
          <w:b/>
          <w:color w:val="333333"/>
          <w:sz w:val="15"/>
          <w:szCs w:val="15"/>
          <w:shd w:val="clear" w:color="auto" w:fill="E3EFF7"/>
        </w:rPr>
        <w:t>(</w:t>
      </w:r>
      <w:r>
        <w:rPr>
          <w:rStyle w:val="mi"/>
          <w:rFonts w:ascii="MathJax_Math" w:hAnsi="MathJax_Math"/>
          <w:b/>
          <w:i/>
          <w:iCs/>
          <w:color w:val="333333"/>
          <w:sz w:val="15"/>
          <w:szCs w:val="15"/>
          <w:shd w:val="clear" w:color="auto" w:fill="E3EFF7"/>
        </w:rPr>
        <w:t>X</w:t>
      </w:r>
      <w:r>
        <w:rPr>
          <w:rStyle w:val="mo"/>
          <w:rFonts w:ascii="MathJax_Main" w:hAnsi="MathJax_Main"/>
          <w:b/>
          <w:color w:val="333333"/>
          <w:sz w:val="15"/>
          <w:szCs w:val="15"/>
          <w:shd w:val="clear" w:color="auto" w:fill="E3EFF7"/>
        </w:rPr>
        <w:t>≤</w:t>
      </w:r>
      <w:r>
        <w:rPr>
          <w:rStyle w:val="mn"/>
          <w:rFonts w:ascii="MathJax_Main" w:hAnsi="MathJax_Main"/>
          <w:b/>
          <w:color w:val="333333"/>
          <w:sz w:val="15"/>
          <w:szCs w:val="15"/>
          <w:shd w:val="clear" w:color="auto" w:fill="E3EFF7"/>
        </w:rPr>
        <w:t>3</w:t>
      </w:r>
      <w:r>
        <w:rPr>
          <w:rStyle w:val="mo"/>
          <w:rFonts w:ascii="MathJax_Main" w:hAnsi="MathJax_Main"/>
          <w:b/>
          <w:color w:val="333333"/>
          <w:sz w:val="15"/>
          <w:szCs w:val="15"/>
          <w:shd w:val="clear" w:color="auto" w:fill="E3EFF7"/>
        </w:rPr>
        <w:t>)=</w:t>
      </w:r>
      <w:r>
        <w:rPr>
          <w:rStyle w:val="mn"/>
          <w:rFonts w:ascii="MathJax_Main" w:hAnsi="MathJax_Main"/>
          <w:b/>
          <w:color w:val="333333"/>
          <w:sz w:val="15"/>
          <w:szCs w:val="15"/>
          <w:shd w:val="clear" w:color="auto" w:fill="E3EFF7"/>
        </w:rPr>
        <w:t>0.9547</w:t>
      </w:r>
      <w:r>
        <w:rPr>
          <w:rStyle w:val="apple-converted-space"/>
          <w:rFonts w:ascii="Calibri" w:hAnsi="Calibri"/>
          <w:color w:val="333333"/>
          <w:sz w:val="20"/>
          <w:szCs w:val="20"/>
          <w:shd w:val="clear" w:color="auto" w:fill="E3EFF7"/>
        </w:rPr>
        <w:t> </w:t>
      </w:r>
      <w:r>
        <w:rPr>
          <w:rFonts w:ascii="Calibri" w:hAnsi="Calibri"/>
          <w:color w:val="333333"/>
          <w:sz w:val="20"/>
          <w:szCs w:val="20"/>
          <w:shd w:val="clear" w:color="auto" w:fill="E3EFF7"/>
        </w:rPr>
        <w:t>is as large as 0.95, three parts will suffice at least 95% of the time. Thus the minimum needed is three.</w:t>
      </w: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KEY TAKEAWAYS</w:t>
      </w:r>
    </w:p>
    <w:p w:rsidR="00AD77BB" w:rsidRDefault="00B45BA0">
      <w:pPr>
        <w:numPr>
          <w:ilvl w:val="0"/>
          <w:numId w:val="111"/>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discrete random variable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that counts the number of successes in </w:t>
      </w:r>
      <w:r>
        <w:rPr>
          <w:rFonts w:ascii="Calibri" w:eastAsia="Times New Roman" w:hAnsi="Calibri" w:cs="Times New Roman"/>
          <w:i/>
          <w:iCs/>
          <w:color w:val="333333"/>
          <w:sz w:val="20"/>
          <w:szCs w:val="20"/>
        </w:rPr>
        <w:t xml:space="preserve">n </w:t>
      </w:r>
      <w:r>
        <w:rPr>
          <w:rFonts w:ascii="Calibri" w:eastAsia="Times New Roman" w:hAnsi="Calibri" w:cs="Times New Roman"/>
          <w:color w:val="333333"/>
          <w:sz w:val="20"/>
          <w:szCs w:val="20"/>
        </w:rPr>
        <w:t>identical, independent trials of a procedure that always results in either of two outcomes, “success” or “failure,” and in which the probability of success on each trial is the same number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is called the binomial random variable with parameters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w:t>
      </w:r>
    </w:p>
    <w:p w:rsidR="00AD77BB" w:rsidRDefault="00B45BA0">
      <w:pPr>
        <w:numPr>
          <w:ilvl w:val="0"/>
          <w:numId w:val="111"/>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There is a formula for the probability that the binomial random variable with parameters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will take a particular value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w:t>
      </w:r>
    </w:p>
    <w:p w:rsidR="00AD77BB" w:rsidRDefault="00B45BA0">
      <w:pPr>
        <w:numPr>
          <w:ilvl w:val="0"/>
          <w:numId w:val="111"/>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There are special formulas for the mean, variance, and standard deviation of the binomial random variable with parameters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that are much simpler than the general formulas that apply to all discrete random variables.</w:t>
      </w:r>
    </w:p>
    <w:p w:rsidR="00AD77BB" w:rsidRDefault="00B45BA0">
      <w:pPr>
        <w:numPr>
          <w:ilvl w:val="0"/>
          <w:numId w:val="111"/>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Cumulative probability distribution tables, when available, facilitate computation of probabilities encountered in typical practical situations.</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BASIC</w:t>
      </w:r>
    </w:p>
    <w:p w:rsidR="00AD77BB" w:rsidRDefault="00B45BA0">
      <w:pPr>
        <w:numPr>
          <w:ilvl w:val="0"/>
          <w:numId w:val="112"/>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Determine whether or not the random variable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a binomial random variable. If so, give the values of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If not, explain why not.</w:t>
      </w:r>
    </w:p>
    <w:p w:rsidR="00AD77BB" w:rsidRDefault="00B45BA0">
      <w:pPr>
        <w:numPr>
          <w:ilvl w:val="1"/>
          <w:numId w:val="1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the number of dots on the top face of fair die that is rolled.</w:t>
      </w:r>
    </w:p>
    <w:p w:rsidR="00AD77BB" w:rsidRDefault="00B45BA0">
      <w:pPr>
        <w:numPr>
          <w:ilvl w:val="1"/>
          <w:numId w:val="1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the number of hearts in a five-card hand drawn (without replacement) from a well-shuffled ordinary deck.</w:t>
      </w:r>
    </w:p>
    <w:p w:rsidR="00AD77BB" w:rsidRDefault="00B45BA0">
      <w:pPr>
        <w:numPr>
          <w:ilvl w:val="1"/>
          <w:numId w:val="1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the number of defective parts in a sample of ten randomly selected parts coming from a manufacturing process in which 0.02% of all parts are defective.</w:t>
      </w:r>
    </w:p>
    <w:p w:rsidR="00AD77BB" w:rsidRDefault="00B45BA0">
      <w:pPr>
        <w:numPr>
          <w:ilvl w:val="1"/>
          <w:numId w:val="1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the number of times the number of dots on the top face of a fair die is even in six rolls of the die.</w:t>
      </w:r>
    </w:p>
    <w:p w:rsidR="00AD77BB" w:rsidRDefault="00B45BA0">
      <w:pPr>
        <w:numPr>
          <w:ilvl w:val="1"/>
          <w:numId w:val="1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the number of dice that show an even number of dots on the top face when six dice are rolled at once.</w:t>
      </w:r>
    </w:p>
    <w:p w:rsidR="00AD77BB" w:rsidRDefault="00B45BA0">
      <w:pPr>
        <w:numPr>
          <w:ilvl w:val="0"/>
          <w:numId w:val="112"/>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Determine whether or not the random variable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a binomial random variable. If so, give the values of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If not, explain why not.</w:t>
      </w:r>
    </w:p>
    <w:p w:rsidR="00AD77BB" w:rsidRDefault="00B45BA0">
      <w:pPr>
        <w:numPr>
          <w:ilvl w:val="1"/>
          <w:numId w:val="1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the number of black marbles in a sample of 5 marbles drawn randomly and without replacement from a box that contains 25 white marbles and 15 black marbles.</w:t>
      </w:r>
    </w:p>
    <w:p w:rsidR="00AD77BB" w:rsidRDefault="00B45BA0">
      <w:pPr>
        <w:numPr>
          <w:ilvl w:val="1"/>
          <w:numId w:val="1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the number of black marbles in a sample of 5 marbles drawn randomly and with replacement from a box that contains 25 white marbles and 15 black marbles.</w:t>
      </w:r>
    </w:p>
    <w:p w:rsidR="00AD77BB" w:rsidRDefault="00B45BA0">
      <w:pPr>
        <w:numPr>
          <w:ilvl w:val="1"/>
          <w:numId w:val="1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the number of voters in favor of proposed law in a sample 1,200 randomly selected voters drawn from the entire electorate of a country in which 35% of the voters favor the law.</w:t>
      </w:r>
    </w:p>
    <w:p w:rsidR="00AD77BB" w:rsidRDefault="00B45BA0">
      <w:pPr>
        <w:pStyle w:val="ListParagraph"/>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rPr>
        <w:t xml:space="preserve"> X</w:t>
      </w:r>
      <w:r>
        <w:rPr>
          <w:rStyle w:val="apple-converted-space"/>
          <w:rFonts w:ascii="Calibri" w:hAnsi="Calibri"/>
          <w:color w:val="333333"/>
          <w:sz w:val="20"/>
          <w:szCs w:val="20"/>
        </w:rPr>
        <w:t> </w:t>
      </w:r>
      <w:r>
        <w:rPr>
          <w:rFonts w:ascii="Calibri" w:hAnsi="Calibri"/>
          <w:color w:val="333333"/>
          <w:sz w:val="20"/>
          <w:szCs w:val="20"/>
        </w:rPr>
        <w:t>is the number of fish of a particular species, among the next ten landed by a commercial fishing boat, that are more than 13 inches in length, when 17% of all such fish exceed 13 inches in length.</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is the number of coins that match at least one other coin when four coins are tossed at once.</w:t>
      </w:r>
    </w:p>
    <w:p w:rsidR="00AD77BB" w:rsidRDefault="00B45BA0">
      <w:pPr>
        <w:pStyle w:val="para"/>
        <w:numPr>
          <w:ilvl w:val="0"/>
          <w:numId w:val="112"/>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is a binomial random variable with parameters</w:t>
      </w:r>
      <w:r>
        <w:rPr>
          <w:rStyle w:val="apple-converted-space"/>
          <w:rFonts w:ascii="Calibri" w:hAnsi="Calibri"/>
          <w:color w:val="333333"/>
          <w:sz w:val="20"/>
          <w:szCs w:val="20"/>
        </w:rPr>
        <w:t> </w:t>
      </w:r>
      <w:r>
        <w:rPr>
          <w:rStyle w:val="Emphasis"/>
          <w:rFonts w:ascii="Calibri" w:hAnsi="Calibri"/>
          <w:color w:val="333333"/>
          <w:sz w:val="20"/>
          <w:szCs w:val="20"/>
        </w:rPr>
        <w:t>n</w:t>
      </w:r>
      <w:r>
        <w:rPr>
          <w:rStyle w:val="apple-converted-space"/>
          <w:rFonts w:ascii="Calibri" w:hAnsi="Calibri"/>
          <w:color w:val="333333"/>
          <w:sz w:val="20"/>
          <w:szCs w:val="20"/>
        </w:rPr>
        <w:t> </w:t>
      </w:r>
      <w:r>
        <w:rPr>
          <w:rFonts w:ascii="Calibri" w:hAnsi="Calibri"/>
          <w:color w:val="333333"/>
          <w:sz w:val="20"/>
          <w:szCs w:val="20"/>
        </w:rPr>
        <w:t>= 12 and</w:t>
      </w:r>
      <w:r>
        <w:rPr>
          <w:rStyle w:val="apple-converted-space"/>
          <w:rFonts w:ascii="Calibri" w:hAnsi="Calibri"/>
          <w:color w:val="333333"/>
          <w:sz w:val="20"/>
          <w:szCs w:val="20"/>
        </w:rPr>
        <w:t> </w:t>
      </w:r>
      <w:r>
        <w:rPr>
          <w:rStyle w:val="Emphasis"/>
          <w:rFonts w:ascii="Calibri" w:hAnsi="Calibri"/>
          <w:color w:val="333333"/>
          <w:sz w:val="20"/>
          <w:szCs w:val="20"/>
        </w:rPr>
        <w:t>p</w:t>
      </w:r>
      <w:r>
        <w:rPr>
          <w:rStyle w:val="apple-converted-space"/>
          <w:rFonts w:ascii="Calibri" w:hAnsi="Calibri"/>
          <w:color w:val="333333"/>
          <w:sz w:val="20"/>
          <w:szCs w:val="20"/>
        </w:rPr>
        <w:t> </w:t>
      </w:r>
      <w:r>
        <w:rPr>
          <w:rFonts w:ascii="Calibri" w:hAnsi="Calibri"/>
          <w:color w:val="333333"/>
          <w:sz w:val="20"/>
          <w:szCs w:val="20"/>
        </w:rPr>
        <w:t>= 0.82. Compute the probability indicated.</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11</w:t>
      </w:r>
      <w:r>
        <w:rPr>
          <w:rStyle w:val="mo"/>
          <w:rFonts w:ascii="MathJax_Main" w:hAnsi="MathJax_Main"/>
          <w:b/>
          <w:color w:val="333333"/>
          <w:sz w:val="15"/>
          <w:szCs w:val="15"/>
        </w:rPr>
        <w:t>)</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Pr>
          <w:rStyle w:val="mi"/>
          <w:rFonts w:ascii="MathJax_Math" w:hAnsi="MathJax_Math"/>
          <w:b/>
          <w:i/>
          <w:iCs/>
          <w:color w:val="333333"/>
          <w:sz w:val="15"/>
          <w:szCs w:val="15"/>
        </w:rPr>
        <w:lastRenderedPageBreak/>
        <w:t>P</w:t>
      </w:r>
      <w:r>
        <w:rPr>
          <w:rStyle w:val="mo"/>
          <w:rFonts w:ascii="MathJax_Main" w:hAnsi="MathJax_Main"/>
          <w:b/>
          <w:color w:val="333333"/>
          <w:sz w:val="15"/>
          <w:szCs w:val="15"/>
        </w:rPr>
        <w:t>(</w:t>
      </w:r>
      <w:r>
        <w:rPr>
          <w:rStyle w:val="mn"/>
          <w:rFonts w:ascii="MathJax_Main" w:hAnsi="MathJax_Main"/>
          <w:b/>
          <w:color w:val="333333"/>
          <w:sz w:val="15"/>
          <w:szCs w:val="15"/>
        </w:rPr>
        <w:t>9</w:t>
      </w:r>
      <w:r>
        <w:rPr>
          <w:rStyle w:val="mo"/>
          <w:rFonts w:ascii="MathJax_Main" w:hAnsi="MathJax_Main"/>
          <w:b/>
          <w:color w:val="333333"/>
          <w:sz w:val="15"/>
          <w:szCs w:val="15"/>
        </w:rPr>
        <w:t>)</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0</w:t>
      </w:r>
      <w:r>
        <w:rPr>
          <w:rStyle w:val="mo"/>
          <w:rFonts w:ascii="MathJax_Main" w:hAnsi="MathJax_Main"/>
          <w:b/>
          <w:color w:val="333333"/>
          <w:sz w:val="15"/>
          <w:szCs w:val="15"/>
        </w:rPr>
        <w:t>)</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13</w:t>
      </w:r>
      <w:r>
        <w:rPr>
          <w:rStyle w:val="mo"/>
          <w:rFonts w:ascii="MathJax_Main" w:hAnsi="MathJax_Main"/>
          <w:b/>
          <w:color w:val="333333"/>
          <w:sz w:val="15"/>
          <w:szCs w:val="15"/>
        </w:rPr>
        <w:t>)</w:t>
      </w:r>
    </w:p>
    <w:p w:rsidR="00AD77BB" w:rsidRDefault="00B45BA0">
      <w:pPr>
        <w:pStyle w:val="para"/>
        <w:numPr>
          <w:ilvl w:val="0"/>
          <w:numId w:val="112"/>
        </w:numPr>
        <w:shd w:val="clear" w:color="auto" w:fill="DAEEF3" w:themeFill="accent5" w:themeFillTint="33"/>
        <w:tabs>
          <w:tab w:val="clear" w:pos="720"/>
          <w:tab w:val="num" w:pos="1080"/>
        </w:tabs>
        <w:spacing w:before="0" w:beforeAutospacing="0" w:after="0" w:afterAutospacing="0" w:line="439" w:lineRule="atLeast"/>
        <w:textAlignment w:val="baseline"/>
        <w:rPr>
          <w:rFonts w:ascii="Calibri" w:hAnsi="Calibri"/>
          <w:color w:val="333333"/>
          <w:sz w:val="20"/>
          <w:szCs w:val="20"/>
        </w:rPr>
      </w:pP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is a binomial random variable with parameters</w:t>
      </w:r>
      <w:r>
        <w:rPr>
          <w:rStyle w:val="apple-converted-space"/>
          <w:rFonts w:ascii="Calibri" w:hAnsi="Calibri"/>
          <w:color w:val="333333"/>
          <w:sz w:val="20"/>
          <w:szCs w:val="20"/>
        </w:rPr>
        <w:t> </w:t>
      </w:r>
      <w:r>
        <w:rPr>
          <w:rStyle w:val="Emphasis"/>
          <w:rFonts w:ascii="Calibri" w:hAnsi="Calibri"/>
          <w:color w:val="333333"/>
          <w:sz w:val="20"/>
          <w:szCs w:val="20"/>
        </w:rPr>
        <w:t>n</w:t>
      </w:r>
      <w:r>
        <w:rPr>
          <w:rStyle w:val="apple-converted-space"/>
          <w:rFonts w:ascii="Calibri" w:hAnsi="Calibri"/>
          <w:color w:val="333333"/>
          <w:sz w:val="20"/>
          <w:szCs w:val="20"/>
        </w:rPr>
        <w:t> </w:t>
      </w:r>
      <w:r>
        <w:rPr>
          <w:rFonts w:ascii="Calibri" w:hAnsi="Calibri"/>
          <w:color w:val="333333"/>
          <w:sz w:val="20"/>
          <w:szCs w:val="20"/>
        </w:rPr>
        <w:t>= 16 and</w:t>
      </w:r>
      <w:r>
        <w:rPr>
          <w:rStyle w:val="apple-converted-space"/>
          <w:rFonts w:ascii="Calibri" w:hAnsi="Calibri"/>
          <w:color w:val="333333"/>
          <w:sz w:val="20"/>
          <w:szCs w:val="20"/>
        </w:rPr>
        <w:t> </w:t>
      </w:r>
      <w:r>
        <w:rPr>
          <w:rStyle w:val="Emphasis"/>
          <w:rFonts w:ascii="Calibri" w:hAnsi="Calibri"/>
          <w:color w:val="333333"/>
          <w:sz w:val="20"/>
          <w:szCs w:val="20"/>
        </w:rPr>
        <w:t>p</w:t>
      </w:r>
      <w:r>
        <w:rPr>
          <w:rStyle w:val="apple-converted-space"/>
          <w:rFonts w:ascii="Calibri" w:hAnsi="Calibri"/>
          <w:color w:val="333333"/>
          <w:sz w:val="20"/>
          <w:szCs w:val="20"/>
        </w:rPr>
        <w:t> </w:t>
      </w:r>
      <w:r>
        <w:rPr>
          <w:rFonts w:ascii="Calibri" w:hAnsi="Calibri"/>
          <w:color w:val="333333"/>
          <w:sz w:val="20"/>
          <w:szCs w:val="20"/>
        </w:rPr>
        <w:t>= 0.74. Compute the probability indicated.</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14</w:t>
      </w:r>
      <w:r>
        <w:rPr>
          <w:rStyle w:val="mo"/>
          <w:rFonts w:ascii="MathJax_Main" w:hAnsi="MathJax_Main"/>
          <w:b/>
          <w:color w:val="333333"/>
          <w:sz w:val="15"/>
          <w:szCs w:val="15"/>
        </w:rPr>
        <w:t>)</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4</w:t>
      </w:r>
      <w:r>
        <w:rPr>
          <w:rStyle w:val="mo"/>
          <w:rFonts w:ascii="MathJax_Main" w:hAnsi="MathJax_Main"/>
          <w:b/>
          <w:color w:val="333333"/>
          <w:sz w:val="15"/>
          <w:szCs w:val="15"/>
        </w:rPr>
        <w:t>)</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0</w:t>
      </w:r>
      <w:r>
        <w:rPr>
          <w:rStyle w:val="mo"/>
          <w:rFonts w:ascii="MathJax_Main" w:hAnsi="MathJax_Main"/>
          <w:b/>
          <w:color w:val="333333"/>
          <w:sz w:val="15"/>
          <w:szCs w:val="15"/>
        </w:rPr>
        <w:t>)</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20</w:t>
      </w:r>
      <w:r>
        <w:rPr>
          <w:rStyle w:val="mo"/>
          <w:rFonts w:ascii="MathJax_Main" w:hAnsi="MathJax_Main"/>
          <w:b/>
          <w:color w:val="333333"/>
          <w:sz w:val="15"/>
          <w:szCs w:val="15"/>
        </w:rPr>
        <w:t>)</w:t>
      </w:r>
    </w:p>
    <w:p w:rsidR="00AD77BB" w:rsidRDefault="00B45BA0">
      <w:pPr>
        <w:pStyle w:val="para"/>
        <w:numPr>
          <w:ilvl w:val="0"/>
          <w:numId w:val="112"/>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is a binomial random variable with parameters</w:t>
      </w:r>
      <w:r>
        <w:rPr>
          <w:rStyle w:val="apple-converted-space"/>
          <w:rFonts w:ascii="Calibri" w:hAnsi="Calibri"/>
          <w:color w:val="333333"/>
          <w:sz w:val="20"/>
          <w:szCs w:val="20"/>
        </w:rPr>
        <w:t> </w:t>
      </w:r>
      <w:r>
        <w:rPr>
          <w:rStyle w:val="Emphasis"/>
          <w:rFonts w:ascii="Calibri" w:hAnsi="Calibri"/>
          <w:color w:val="333333"/>
          <w:sz w:val="20"/>
          <w:szCs w:val="20"/>
        </w:rPr>
        <w:t>n</w:t>
      </w:r>
      <w:r>
        <w:rPr>
          <w:rStyle w:val="apple-converted-space"/>
          <w:rFonts w:ascii="Calibri" w:hAnsi="Calibri"/>
          <w:color w:val="333333"/>
          <w:sz w:val="20"/>
          <w:szCs w:val="20"/>
        </w:rPr>
        <w:t> </w:t>
      </w:r>
      <w:r>
        <w:rPr>
          <w:rFonts w:ascii="Calibri" w:hAnsi="Calibri"/>
          <w:color w:val="333333"/>
          <w:sz w:val="20"/>
          <w:szCs w:val="20"/>
        </w:rPr>
        <w:t>= 5,</w:t>
      </w:r>
      <w:r>
        <w:rPr>
          <w:rStyle w:val="apple-converted-space"/>
          <w:rFonts w:ascii="Calibri" w:hAnsi="Calibri"/>
          <w:color w:val="333333"/>
          <w:sz w:val="20"/>
          <w:szCs w:val="20"/>
        </w:rPr>
        <w:t> </w:t>
      </w:r>
      <w:r>
        <w:rPr>
          <w:rStyle w:val="Emphasis"/>
          <w:rFonts w:ascii="Calibri" w:hAnsi="Calibri"/>
          <w:color w:val="333333"/>
          <w:sz w:val="20"/>
          <w:szCs w:val="20"/>
        </w:rPr>
        <w:t>p</w:t>
      </w:r>
      <w:r>
        <w:rPr>
          <w:rStyle w:val="apple-converted-space"/>
          <w:rFonts w:ascii="Calibri" w:hAnsi="Calibri"/>
          <w:color w:val="333333"/>
          <w:sz w:val="20"/>
          <w:szCs w:val="20"/>
        </w:rPr>
        <w:t> </w:t>
      </w:r>
      <w:r>
        <w:rPr>
          <w:rFonts w:ascii="Calibri" w:hAnsi="Calibri"/>
          <w:color w:val="333333"/>
          <w:sz w:val="20"/>
          <w:szCs w:val="20"/>
        </w:rPr>
        <w:t>= 0.5. Use the tables in</w:t>
      </w:r>
      <w:r>
        <w:rPr>
          <w:rFonts w:ascii="Calibri" w:hAnsi="Calibri"/>
          <w:color w:val="2689C6"/>
          <w:sz w:val="20"/>
          <w:szCs w:val="20"/>
        </w:rPr>
        <w:t>Chapter 12 "Appendix"</w:t>
      </w:r>
      <w:r>
        <w:rPr>
          <w:rStyle w:val="apple-converted-space"/>
          <w:rFonts w:ascii="Calibri" w:hAnsi="Calibri"/>
          <w:color w:val="333333"/>
          <w:sz w:val="20"/>
          <w:szCs w:val="20"/>
        </w:rPr>
        <w:t> </w:t>
      </w:r>
      <w:r>
        <w:rPr>
          <w:rFonts w:ascii="Calibri" w:hAnsi="Calibri"/>
          <w:color w:val="333333"/>
          <w:sz w:val="20"/>
          <w:szCs w:val="20"/>
        </w:rPr>
        <w:t>to compute the probability indicated.</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3)</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3)</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3</w:t>
      </w:r>
      <w:r>
        <w:rPr>
          <w:rStyle w:val="mo"/>
          <w:rFonts w:ascii="MathJax_Main" w:hAnsi="MathJax_Main"/>
          <w:b/>
          <w:color w:val="333333"/>
          <w:sz w:val="15"/>
          <w:szCs w:val="15"/>
        </w:rPr>
        <w:t>)</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0</w:t>
      </w:r>
      <w:r>
        <w:rPr>
          <w:rStyle w:val="mo"/>
          <w:rFonts w:ascii="MathJax_Main" w:hAnsi="MathJax_Main"/>
          <w:b/>
          <w:color w:val="333333"/>
          <w:sz w:val="15"/>
          <w:szCs w:val="15"/>
        </w:rPr>
        <w:t>)</w:t>
      </w:r>
    </w:p>
    <w:p w:rsidR="00AD77BB" w:rsidRDefault="00B45BA0">
      <w:pPr>
        <w:numPr>
          <w:ilvl w:val="1"/>
          <w:numId w:val="112"/>
        </w:numPr>
        <w:shd w:val="clear" w:color="auto" w:fill="DAEEF3" w:themeFill="accent5" w:themeFillTint="33"/>
        <w:spacing w:after="0" w:line="439" w:lineRule="atLeast"/>
        <w:textAlignment w:val="baseline"/>
        <w:rPr>
          <w:rStyle w:val="mo"/>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5</w:t>
      </w:r>
      <w:r>
        <w:rPr>
          <w:rStyle w:val="mo"/>
          <w:rFonts w:ascii="MathJax_Main" w:hAnsi="MathJax_Main"/>
          <w:b/>
          <w:color w:val="333333"/>
          <w:sz w:val="15"/>
          <w:szCs w:val="15"/>
        </w:rPr>
        <w:t>)</w:t>
      </w:r>
    </w:p>
    <w:p w:rsidR="00AD77BB" w:rsidRDefault="00B45BA0">
      <w:pPr>
        <w:pStyle w:val="para"/>
        <w:numPr>
          <w:ilvl w:val="0"/>
          <w:numId w:val="112"/>
        </w:numPr>
        <w:shd w:val="clear" w:color="auto" w:fill="DAEEF3" w:themeFill="accent5" w:themeFillTint="33"/>
        <w:spacing w:before="0" w:beforeAutospacing="0" w:after="0" w:afterAutospacing="0" w:line="439" w:lineRule="atLeast"/>
        <w:textAlignment w:val="baseline"/>
      </w:pP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is a binomial random variable with parameters</w:t>
      </w:r>
      <w:r>
        <w:rPr>
          <w:rStyle w:val="apple-converted-space"/>
          <w:rFonts w:ascii="Calibri" w:hAnsi="Calibri"/>
          <w:color w:val="333333"/>
          <w:sz w:val="20"/>
          <w:szCs w:val="20"/>
        </w:rPr>
        <w:t> </w:t>
      </w:r>
      <w:r>
        <w:rPr>
          <w:rStyle w:val="Emphasis"/>
          <w:rFonts w:ascii="Calibri" w:hAnsi="Calibri"/>
          <w:color w:val="333333"/>
          <w:sz w:val="20"/>
          <w:szCs w:val="20"/>
        </w:rPr>
        <w:t>n</w:t>
      </w:r>
      <w:r>
        <w:rPr>
          <w:rStyle w:val="apple-converted-space"/>
          <w:rFonts w:ascii="Calibri" w:hAnsi="Calibri"/>
          <w:color w:val="333333"/>
          <w:sz w:val="20"/>
          <w:szCs w:val="20"/>
        </w:rPr>
        <w:t> </w:t>
      </w:r>
      <w:r>
        <w:rPr>
          <w:rFonts w:ascii="Calibri" w:hAnsi="Calibri"/>
          <w:color w:val="333333"/>
          <w:sz w:val="20"/>
          <w:szCs w:val="20"/>
        </w:rPr>
        <w:t>= 5,</w:t>
      </w:r>
      <w:r>
        <w:rPr>
          <w:rStyle w:val="apple-converted-space"/>
          <w:rFonts w:ascii="Calibri" w:hAnsi="Calibri"/>
          <w:color w:val="333333"/>
          <w:sz w:val="20"/>
          <w:szCs w:val="20"/>
        </w:rPr>
        <w:t> </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0</w:t>
      </w:r>
      <w:r>
        <w:rPr>
          <w:rStyle w:val="mo"/>
          <w:rFonts w:ascii="MathJax_Main" w:hAnsi="MathJax_Main"/>
          <w:b/>
          <w:color w:val="333333"/>
          <w:sz w:val="15"/>
          <w:szCs w:val="15"/>
        </w:rPr>
        <w:t>.</w:t>
      </w:r>
      <w:r>
        <w:rPr>
          <w:rStyle w:val="mn"/>
          <w:rFonts w:ascii="MathJax_Main" w:hAnsi="MathJax_Main"/>
          <w:b/>
          <w:color w:val="333333"/>
          <w:sz w:val="15"/>
          <w:szCs w:val="15"/>
        </w:rPr>
        <w:t>3</w:t>
      </w:r>
      <w:r>
        <w:rPr>
          <w:rStyle w:val="mn"/>
          <w:b/>
          <w:color w:val="333333"/>
          <w:sz w:val="15"/>
          <w:szCs w:val="15"/>
        </w:rPr>
        <w:t>^</w:t>
      </w:r>
      <w:r>
        <w:rPr>
          <w:rStyle w:val="mo"/>
          <w:rFonts w:ascii="MathJax_Main" w:hAnsi="MathJax_Main"/>
          <w:b/>
          <w:color w:val="333333"/>
          <w:sz w:val="15"/>
          <w:szCs w:val="15"/>
        </w:rPr>
        <w:t>−.</w:t>
      </w:r>
      <w:r>
        <w:rPr>
          <w:rStyle w:val="apple-converted-space"/>
          <w:rFonts w:ascii="Calibri" w:hAnsi="Calibri"/>
          <w:color w:val="333333"/>
          <w:sz w:val="20"/>
          <w:szCs w:val="20"/>
        </w:rPr>
        <w:t> </w:t>
      </w:r>
      <w:r>
        <w:rPr>
          <w:rFonts w:ascii="Calibri" w:hAnsi="Calibri"/>
          <w:color w:val="333333"/>
          <w:sz w:val="20"/>
          <w:szCs w:val="20"/>
        </w:rPr>
        <w:t>Use the table in</w:t>
      </w:r>
      <w:r>
        <w:rPr>
          <w:rFonts w:ascii="Calibri" w:hAnsi="Calibri"/>
          <w:color w:val="2689C6"/>
          <w:sz w:val="20"/>
          <w:szCs w:val="20"/>
        </w:rPr>
        <w:t>Chapter 12 "Appendix"</w:t>
      </w:r>
      <w:r>
        <w:rPr>
          <w:rStyle w:val="apple-converted-space"/>
          <w:rFonts w:ascii="Calibri" w:hAnsi="Calibri"/>
          <w:color w:val="333333"/>
          <w:sz w:val="20"/>
          <w:szCs w:val="20"/>
        </w:rPr>
        <w:t> </w:t>
      </w:r>
      <w:r>
        <w:rPr>
          <w:rFonts w:ascii="Calibri" w:hAnsi="Calibri"/>
          <w:color w:val="333333"/>
          <w:sz w:val="20"/>
          <w:szCs w:val="20"/>
        </w:rPr>
        <w:t>to compute the probability indicated.</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2)</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2)</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2</w:t>
      </w:r>
      <w:r>
        <w:rPr>
          <w:rStyle w:val="mo"/>
          <w:rFonts w:ascii="MathJax_Main" w:hAnsi="MathJax_Main"/>
          <w:b/>
          <w:color w:val="333333"/>
          <w:sz w:val="15"/>
          <w:szCs w:val="15"/>
        </w:rPr>
        <w:t>)</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0</w:t>
      </w:r>
      <w:r>
        <w:rPr>
          <w:rStyle w:val="mo"/>
          <w:rFonts w:ascii="MathJax_Main" w:hAnsi="MathJax_Main"/>
          <w:b/>
          <w:color w:val="333333"/>
          <w:sz w:val="15"/>
          <w:szCs w:val="15"/>
        </w:rPr>
        <w:t>)</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5</w:t>
      </w:r>
      <w:r>
        <w:rPr>
          <w:rStyle w:val="mo"/>
          <w:rFonts w:ascii="MathJax_Main" w:hAnsi="MathJax_Main"/>
          <w:b/>
          <w:color w:val="333333"/>
          <w:sz w:val="15"/>
          <w:szCs w:val="15"/>
        </w:rPr>
        <w:t>)</w:t>
      </w:r>
    </w:p>
    <w:p w:rsidR="00AD77BB" w:rsidRDefault="00B45BA0">
      <w:pPr>
        <w:pStyle w:val="para"/>
        <w:numPr>
          <w:ilvl w:val="0"/>
          <w:numId w:val="112"/>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is a binomial random variable with the parameters shown. Use the tables in</w:t>
      </w:r>
      <w:r>
        <w:rPr>
          <w:rFonts w:ascii="Calibri" w:hAnsi="Calibri"/>
          <w:color w:val="2689C6"/>
          <w:sz w:val="20"/>
          <w:szCs w:val="20"/>
        </w:rPr>
        <w:t>Chapter 12 "Appendix"</w:t>
      </w:r>
      <w:r>
        <w:rPr>
          <w:rStyle w:val="apple-converted-space"/>
          <w:rFonts w:ascii="Calibri" w:hAnsi="Calibri"/>
          <w:color w:val="333333"/>
          <w:sz w:val="20"/>
          <w:szCs w:val="20"/>
        </w:rPr>
        <w:t> </w:t>
      </w:r>
      <w:r>
        <w:rPr>
          <w:rFonts w:ascii="Calibri" w:hAnsi="Calibri"/>
          <w:color w:val="333333"/>
          <w:sz w:val="20"/>
          <w:szCs w:val="20"/>
        </w:rPr>
        <w:t>to compute the probability indicated.</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rPr>
        <w:t>n</w:t>
      </w:r>
      <w:r>
        <w:rPr>
          <w:rStyle w:val="apple-converted-space"/>
          <w:rFonts w:ascii="Calibri" w:hAnsi="Calibri"/>
          <w:color w:val="333333"/>
          <w:sz w:val="20"/>
          <w:szCs w:val="20"/>
        </w:rPr>
        <w:t> </w:t>
      </w:r>
      <w:r>
        <w:rPr>
          <w:rFonts w:ascii="Calibri" w:hAnsi="Calibri"/>
          <w:color w:val="333333"/>
          <w:sz w:val="20"/>
          <w:szCs w:val="20"/>
        </w:rPr>
        <w:t>= 10,</w:t>
      </w:r>
      <w:r>
        <w:rPr>
          <w:rStyle w:val="apple-converted-space"/>
          <w:rFonts w:ascii="Calibri" w:hAnsi="Calibri"/>
          <w:color w:val="333333"/>
          <w:sz w:val="20"/>
          <w:szCs w:val="20"/>
        </w:rPr>
        <w:t> </w:t>
      </w:r>
      <w:r>
        <w:rPr>
          <w:rStyle w:val="Emphasis"/>
          <w:rFonts w:ascii="Calibri" w:hAnsi="Calibri"/>
          <w:color w:val="333333"/>
          <w:sz w:val="20"/>
          <w:szCs w:val="20"/>
        </w:rPr>
        <w:t>p</w:t>
      </w:r>
      <w:r>
        <w:rPr>
          <w:rStyle w:val="apple-converted-space"/>
          <w:rFonts w:ascii="Calibri" w:hAnsi="Calibri"/>
          <w:color w:val="333333"/>
          <w:sz w:val="20"/>
          <w:szCs w:val="20"/>
        </w:rPr>
        <w:t> </w:t>
      </w:r>
      <w:r>
        <w:rPr>
          <w:rFonts w:ascii="Calibri" w:hAnsi="Calibri"/>
          <w:color w:val="333333"/>
          <w:sz w:val="20"/>
          <w:szCs w:val="20"/>
        </w:rPr>
        <w:t>= 0.25,</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6)</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rPr>
        <w:t>n</w:t>
      </w:r>
      <w:r>
        <w:rPr>
          <w:rStyle w:val="apple-converted-space"/>
          <w:rFonts w:ascii="Calibri" w:hAnsi="Calibri"/>
          <w:color w:val="333333"/>
          <w:sz w:val="20"/>
          <w:szCs w:val="20"/>
        </w:rPr>
        <w:t> </w:t>
      </w:r>
      <w:r>
        <w:rPr>
          <w:rFonts w:ascii="Calibri" w:hAnsi="Calibri"/>
          <w:color w:val="333333"/>
          <w:sz w:val="20"/>
          <w:szCs w:val="20"/>
        </w:rPr>
        <w:t>= 10,</w:t>
      </w:r>
      <w:r>
        <w:rPr>
          <w:rStyle w:val="apple-converted-space"/>
          <w:rFonts w:ascii="Calibri" w:hAnsi="Calibri"/>
          <w:color w:val="333333"/>
          <w:sz w:val="20"/>
          <w:szCs w:val="20"/>
        </w:rPr>
        <w:t> </w:t>
      </w:r>
      <w:r>
        <w:rPr>
          <w:rStyle w:val="Emphasis"/>
          <w:rFonts w:ascii="Calibri" w:hAnsi="Calibri"/>
          <w:color w:val="333333"/>
          <w:sz w:val="20"/>
          <w:szCs w:val="20"/>
        </w:rPr>
        <w:t>p</w:t>
      </w:r>
      <w:r>
        <w:rPr>
          <w:rStyle w:val="apple-converted-space"/>
          <w:rFonts w:ascii="Calibri" w:hAnsi="Calibri"/>
          <w:color w:val="333333"/>
          <w:sz w:val="20"/>
          <w:szCs w:val="20"/>
        </w:rPr>
        <w:t> </w:t>
      </w:r>
      <w:r>
        <w:rPr>
          <w:rFonts w:ascii="Calibri" w:hAnsi="Calibri"/>
          <w:color w:val="333333"/>
          <w:sz w:val="20"/>
          <w:szCs w:val="20"/>
        </w:rPr>
        <w:t>= 0.75,</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6)</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rPr>
        <w:t>n</w:t>
      </w:r>
      <w:r>
        <w:rPr>
          <w:rStyle w:val="apple-converted-space"/>
          <w:rFonts w:ascii="Calibri" w:hAnsi="Calibri"/>
          <w:color w:val="333333"/>
          <w:sz w:val="20"/>
          <w:szCs w:val="20"/>
        </w:rPr>
        <w:t> </w:t>
      </w:r>
      <w:r>
        <w:rPr>
          <w:rFonts w:ascii="Calibri" w:hAnsi="Calibri"/>
          <w:color w:val="333333"/>
          <w:sz w:val="20"/>
          <w:szCs w:val="20"/>
        </w:rPr>
        <w:t>= 15,</w:t>
      </w:r>
      <w:r>
        <w:rPr>
          <w:rStyle w:val="apple-converted-space"/>
          <w:rFonts w:ascii="Calibri" w:hAnsi="Calibri"/>
          <w:color w:val="333333"/>
          <w:sz w:val="20"/>
          <w:szCs w:val="20"/>
        </w:rPr>
        <w:t> </w:t>
      </w:r>
      <w:r>
        <w:rPr>
          <w:rStyle w:val="Emphasis"/>
          <w:rFonts w:ascii="Calibri" w:hAnsi="Calibri"/>
          <w:color w:val="333333"/>
          <w:sz w:val="20"/>
          <w:szCs w:val="20"/>
        </w:rPr>
        <w:t>p</w:t>
      </w:r>
      <w:r>
        <w:rPr>
          <w:rStyle w:val="apple-converted-space"/>
          <w:rFonts w:ascii="Calibri" w:hAnsi="Calibri"/>
          <w:color w:val="333333"/>
          <w:sz w:val="20"/>
          <w:szCs w:val="20"/>
        </w:rPr>
        <w:t> </w:t>
      </w:r>
      <w:r>
        <w:rPr>
          <w:rFonts w:ascii="Calibri" w:hAnsi="Calibri"/>
          <w:color w:val="333333"/>
          <w:sz w:val="20"/>
          <w:szCs w:val="20"/>
        </w:rPr>
        <w:t>= 0.75,</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6)</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rPr>
        <w:t>n</w:t>
      </w:r>
      <w:r>
        <w:rPr>
          <w:rStyle w:val="apple-converted-space"/>
          <w:rFonts w:ascii="Calibri" w:hAnsi="Calibri"/>
          <w:color w:val="333333"/>
          <w:sz w:val="20"/>
          <w:szCs w:val="20"/>
        </w:rPr>
        <w:t> </w:t>
      </w:r>
      <w:r>
        <w:rPr>
          <w:rFonts w:ascii="Calibri" w:hAnsi="Calibri"/>
          <w:color w:val="333333"/>
          <w:sz w:val="20"/>
          <w:szCs w:val="20"/>
        </w:rPr>
        <w:t>= 15,</w:t>
      </w:r>
      <w:r>
        <w:rPr>
          <w:rStyle w:val="apple-converted-space"/>
          <w:rFonts w:ascii="Calibri" w:hAnsi="Calibri"/>
          <w:color w:val="333333"/>
          <w:sz w:val="20"/>
          <w:szCs w:val="20"/>
        </w:rPr>
        <w:t> </w:t>
      </w:r>
      <w:r>
        <w:rPr>
          <w:rStyle w:val="Emphasis"/>
          <w:rFonts w:ascii="Calibri" w:hAnsi="Calibri"/>
          <w:color w:val="333333"/>
          <w:sz w:val="20"/>
          <w:szCs w:val="20"/>
        </w:rPr>
        <w:t>p</w:t>
      </w:r>
      <w:r>
        <w:rPr>
          <w:rStyle w:val="apple-converted-space"/>
          <w:rFonts w:ascii="Calibri" w:hAnsi="Calibri"/>
          <w:color w:val="333333"/>
          <w:sz w:val="20"/>
          <w:szCs w:val="20"/>
        </w:rPr>
        <w:t> </w:t>
      </w:r>
      <w:r>
        <w:rPr>
          <w:rFonts w:ascii="Calibri" w:hAnsi="Calibri"/>
          <w:color w:val="333333"/>
          <w:sz w:val="20"/>
          <w:szCs w:val="20"/>
        </w:rPr>
        <w:t>= 0.75,</w:t>
      </w:r>
      <w:r>
        <w:rPr>
          <w:rStyle w:val="apple-converted-space"/>
          <w:rFonts w:ascii="Calibri" w:hAnsi="Calibri"/>
          <w:color w:val="333333"/>
          <w:sz w:val="20"/>
          <w:szCs w:val="20"/>
        </w:rPr>
        <w:t> </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12</w:t>
      </w:r>
      <w:r>
        <w:rPr>
          <w:rStyle w:val="mo"/>
          <w:rFonts w:ascii="MathJax_Main" w:hAnsi="MathJax_Main"/>
          <w:b/>
          <w:color w:val="333333"/>
          <w:sz w:val="15"/>
          <w:szCs w:val="15"/>
        </w:rPr>
        <w:t>)</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rPr>
        <w:t>n</w:t>
      </w:r>
      <w:r>
        <w:rPr>
          <w:rStyle w:val="apple-converted-space"/>
          <w:rFonts w:ascii="Calibri" w:hAnsi="Calibri"/>
          <w:color w:val="333333"/>
          <w:sz w:val="20"/>
          <w:szCs w:val="20"/>
        </w:rPr>
        <w:t> </w:t>
      </w:r>
      <w:r>
        <w:rPr>
          <w:rFonts w:ascii="Calibri" w:hAnsi="Calibri"/>
          <w:color w:val="333333"/>
          <w:sz w:val="20"/>
          <w:szCs w:val="20"/>
        </w:rPr>
        <w:t>= 15,</w:t>
      </w:r>
      <w:r>
        <w:rPr>
          <w:rStyle w:val="apple-converted-space"/>
          <w:rFonts w:ascii="Calibri" w:hAnsi="Calibri"/>
          <w:color w:val="333333"/>
          <w:sz w:val="20"/>
          <w:szCs w:val="20"/>
        </w:rPr>
        <w:t> </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0</w:t>
      </w:r>
      <w:r>
        <w:rPr>
          <w:rStyle w:val="mo"/>
          <w:rFonts w:ascii="MathJax_Main" w:hAnsi="MathJax_Main"/>
          <w:b/>
          <w:color w:val="333333"/>
          <w:sz w:val="15"/>
          <w:szCs w:val="15"/>
        </w:rPr>
        <w:t>.</w:t>
      </w:r>
      <w:r>
        <w:rPr>
          <w:rStyle w:val="mn"/>
          <w:rFonts w:ascii="MathJax_Main" w:hAnsi="MathJax_Main"/>
          <w:b/>
          <w:color w:val="333333"/>
          <w:sz w:val="15"/>
          <w:szCs w:val="15"/>
        </w:rPr>
        <w:t>6</w:t>
      </w:r>
      <w:r>
        <w:rPr>
          <w:rStyle w:val="mo"/>
          <w:rFonts w:ascii="MathJax_Main" w:hAnsi="MathJax_Main"/>
          <w:b/>
          <w:color w:val="333333"/>
          <w:sz w:val="15"/>
          <w:szCs w:val="15"/>
        </w:rPr>
        <w:t>−</w:t>
      </w:r>
      <w:r>
        <w:rPr>
          <w:rFonts w:ascii="Calibri" w:hAnsi="Calibri"/>
          <w:b/>
          <w:color w:val="333333"/>
          <w:sz w:val="20"/>
          <w:szCs w:val="20"/>
        </w:rPr>
        <w:t>,</w:t>
      </w:r>
      <w:r>
        <w:rPr>
          <w:rStyle w:val="apple-converted-space"/>
          <w:rFonts w:ascii="Calibri" w:hAnsi="Calibri"/>
          <w:b/>
          <w:color w:val="333333"/>
          <w:sz w:val="20"/>
          <w:szCs w:val="20"/>
        </w:rPr>
        <w:t> </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10</w:t>
      </w:r>
      <w:r>
        <w:rPr>
          <w:rStyle w:val="mo"/>
          <w:rFonts w:ascii="MathJax_Main" w:hAnsi="MathJax_Main"/>
          <w:b/>
          <w:color w:val="333333"/>
          <w:sz w:val="15"/>
          <w:szCs w:val="15"/>
        </w:rPr>
        <w:t>≤</w:t>
      </w:r>
      <w:r>
        <w:rPr>
          <w:rStyle w:val="mi"/>
          <w:rFonts w:ascii="MathJax_Math" w:hAnsi="MathJax_Math"/>
          <w:b/>
          <w:i/>
          <w:iCs/>
          <w:color w:val="333333"/>
          <w:sz w:val="15"/>
          <w:szCs w:val="15"/>
        </w:rPr>
        <w:t>X</w:t>
      </w:r>
      <w:r>
        <w:rPr>
          <w:rStyle w:val="mo"/>
          <w:rFonts w:ascii="MathJax_Main" w:hAnsi="MathJax_Main"/>
          <w:b/>
          <w:color w:val="333333"/>
          <w:sz w:val="15"/>
          <w:szCs w:val="15"/>
        </w:rPr>
        <w:t>≤</w:t>
      </w:r>
      <w:r>
        <w:rPr>
          <w:rStyle w:val="mn"/>
          <w:rFonts w:ascii="MathJax_Main" w:hAnsi="MathJax_Main"/>
          <w:b/>
          <w:color w:val="333333"/>
          <w:sz w:val="15"/>
          <w:szCs w:val="15"/>
        </w:rPr>
        <w:t>12</w:t>
      </w:r>
      <w:r>
        <w:rPr>
          <w:rStyle w:val="mo"/>
          <w:rFonts w:ascii="MathJax_Main" w:hAnsi="MathJax_Main"/>
          <w:b/>
          <w:color w:val="333333"/>
          <w:sz w:val="15"/>
          <w:szCs w:val="15"/>
        </w:rPr>
        <w:t>)</w:t>
      </w:r>
    </w:p>
    <w:p w:rsidR="00AD77BB" w:rsidRDefault="00B45BA0">
      <w:pPr>
        <w:pStyle w:val="para"/>
        <w:numPr>
          <w:ilvl w:val="0"/>
          <w:numId w:val="112"/>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Style w:val="Emphasis"/>
          <w:rFonts w:ascii="Calibri" w:hAnsi="Calibri"/>
          <w:color w:val="333333"/>
          <w:sz w:val="20"/>
          <w:szCs w:val="20"/>
        </w:rPr>
        <w:lastRenderedPageBreak/>
        <w:t>X</w:t>
      </w:r>
      <w:r>
        <w:rPr>
          <w:rStyle w:val="apple-converted-space"/>
          <w:rFonts w:ascii="Calibri" w:hAnsi="Calibri"/>
          <w:color w:val="333333"/>
          <w:sz w:val="20"/>
          <w:szCs w:val="20"/>
        </w:rPr>
        <w:t> </w:t>
      </w:r>
      <w:r>
        <w:rPr>
          <w:rFonts w:ascii="Calibri" w:hAnsi="Calibri"/>
          <w:color w:val="333333"/>
          <w:sz w:val="20"/>
          <w:szCs w:val="20"/>
        </w:rPr>
        <w:t xml:space="preserve">is a binomial random variable with the parameters shown. Use the tables in </w:t>
      </w:r>
      <w:r>
        <w:rPr>
          <w:rFonts w:ascii="Calibri" w:hAnsi="Calibri"/>
          <w:color w:val="2689C6"/>
          <w:sz w:val="20"/>
          <w:szCs w:val="20"/>
        </w:rPr>
        <w:t>Chapter 12 "Appendix"</w:t>
      </w:r>
      <w:r>
        <w:rPr>
          <w:rStyle w:val="apple-converted-space"/>
          <w:rFonts w:ascii="Calibri" w:hAnsi="Calibri"/>
          <w:color w:val="333333"/>
          <w:sz w:val="20"/>
          <w:szCs w:val="20"/>
        </w:rPr>
        <w:t> </w:t>
      </w:r>
      <w:r>
        <w:rPr>
          <w:rFonts w:ascii="Calibri" w:hAnsi="Calibri"/>
          <w:color w:val="333333"/>
          <w:sz w:val="20"/>
          <w:szCs w:val="20"/>
        </w:rPr>
        <w:t>to compute the probability indicated.</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rPr>
        <w:t>n</w:t>
      </w:r>
      <w:r>
        <w:rPr>
          <w:rStyle w:val="apple-converted-space"/>
          <w:rFonts w:ascii="Calibri" w:hAnsi="Calibri"/>
          <w:color w:val="333333"/>
          <w:sz w:val="20"/>
          <w:szCs w:val="20"/>
        </w:rPr>
        <w:t> </w:t>
      </w:r>
      <w:r>
        <w:rPr>
          <w:rFonts w:ascii="Calibri" w:hAnsi="Calibri"/>
          <w:color w:val="333333"/>
          <w:sz w:val="20"/>
          <w:szCs w:val="20"/>
        </w:rPr>
        <w:t>= 5,</w:t>
      </w:r>
      <w:r>
        <w:rPr>
          <w:rStyle w:val="apple-converted-space"/>
          <w:rFonts w:ascii="Calibri" w:hAnsi="Calibri"/>
          <w:color w:val="333333"/>
          <w:sz w:val="20"/>
          <w:szCs w:val="20"/>
        </w:rPr>
        <w:t> </w:t>
      </w:r>
      <w:r>
        <w:rPr>
          <w:rStyle w:val="Emphasis"/>
          <w:rFonts w:ascii="Calibri" w:hAnsi="Calibri"/>
          <w:color w:val="333333"/>
          <w:sz w:val="20"/>
          <w:szCs w:val="20"/>
        </w:rPr>
        <w:t>p</w:t>
      </w:r>
      <w:r>
        <w:rPr>
          <w:rStyle w:val="apple-converted-space"/>
          <w:rFonts w:ascii="Calibri" w:hAnsi="Calibri"/>
          <w:color w:val="333333"/>
          <w:sz w:val="20"/>
          <w:szCs w:val="20"/>
        </w:rPr>
        <w:t> </w:t>
      </w:r>
      <w:r>
        <w:rPr>
          <w:rFonts w:ascii="Calibri" w:hAnsi="Calibri"/>
          <w:color w:val="333333"/>
          <w:sz w:val="20"/>
          <w:szCs w:val="20"/>
        </w:rPr>
        <w:t>= 0.05,</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1)</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rPr>
        <w:t>n</w:t>
      </w:r>
      <w:r>
        <w:rPr>
          <w:rStyle w:val="apple-converted-space"/>
          <w:rFonts w:ascii="Calibri" w:hAnsi="Calibri"/>
          <w:color w:val="333333"/>
          <w:sz w:val="20"/>
          <w:szCs w:val="20"/>
        </w:rPr>
        <w:t> </w:t>
      </w:r>
      <w:r>
        <w:rPr>
          <w:rFonts w:ascii="Calibri" w:hAnsi="Calibri"/>
          <w:color w:val="333333"/>
          <w:sz w:val="20"/>
          <w:szCs w:val="20"/>
        </w:rPr>
        <w:t>= 5,</w:t>
      </w:r>
      <w:r>
        <w:rPr>
          <w:rStyle w:val="apple-converted-space"/>
          <w:rFonts w:ascii="Calibri" w:hAnsi="Calibri"/>
          <w:color w:val="333333"/>
          <w:sz w:val="20"/>
          <w:szCs w:val="20"/>
        </w:rPr>
        <w:t> </w:t>
      </w:r>
      <w:r>
        <w:rPr>
          <w:rStyle w:val="Emphasis"/>
          <w:rFonts w:ascii="Calibri" w:hAnsi="Calibri"/>
          <w:color w:val="333333"/>
          <w:sz w:val="20"/>
          <w:szCs w:val="20"/>
        </w:rPr>
        <w:t>p</w:t>
      </w:r>
      <w:r>
        <w:rPr>
          <w:rStyle w:val="apple-converted-space"/>
          <w:rFonts w:ascii="Calibri" w:hAnsi="Calibri"/>
          <w:color w:val="333333"/>
          <w:sz w:val="20"/>
          <w:szCs w:val="20"/>
        </w:rPr>
        <w:t> </w:t>
      </w:r>
      <w:r>
        <w:rPr>
          <w:rFonts w:ascii="Calibri" w:hAnsi="Calibri"/>
          <w:color w:val="333333"/>
          <w:sz w:val="20"/>
          <w:szCs w:val="20"/>
        </w:rPr>
        <w:t>= 0.5,</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1)</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rPr>
        <w:t>n</w:t>
      </w:r>
      <w:r>
        <w:rPr>
          <w:rStyle w:val="apple-converted-space"/>
          <w:rFonts w:ascii="Calibri" w:hAnsi="Calibri"/>
          <w:color w:val="333333"/>
          <w:sz w:val="20"/>
          <w:szCs w:val="20"/>
        </w:rPr>
        <w:t> </w:t>
      </w:r>
      <w:r>
        <w:rPr>
          <w:rFonts w:ascii="Calibri" w:hAnsi="Calibri"/>
          <w:color w:val="333333"/>
          <w:sz w:val="20"/>
          <w:szCs w:val="20"/>
        </w:rPr>
        <w:t>= 10,</w:t>
      </w:r>
      <w:r>
        <w:rPr>
          <w:rStyle w:val="apple-converted-space"/>
          <w:rFonts w:ascii="Calibri" w:hAnsi="Calibri"/>
          <w:color w:val="333333"/>
          <w:sz w:val="20"/>
          <w:szCs w:val="20"/>
        </w:rPr>
        <w:t> </w:t>
      </w:r>
      <w:r>
        <w:rPr>
          <w:rStyle w:val="Emphasis"/>
          <w:rFonts w:ascii="Calibri" w:hAnsi="Calibri"/>
          <w:color w:val="333333"/>
          <w:sz w:val="20"/>
          <w:szCs w:val="20"/>
        </w:rPr>
        <w:t>p</w:t>
      </w:r>
      <w:r>
        <w:rPr>
          <w:rStyle w:val="apple-converted-space"/>
          <w:rFonts w:ascii="Calibri" w:hAnsi="Calibri"/>
          <w:color w:val="333333"/>
          <w:sz w:val="20"/>
          <w:szCs w:val="20"/>
        </w:rPr>
        <w:t> </w:t>
      </w:r>
      <w:r>
        <w:rPr>
          <w:rFonts w:ascii="Calibri" w:hAnsi="Calibri"/>
          <w:color w:val="333333"/>
          <w:sz w:val="20"/>
          <w:szCs w:val="20"/>
        </w:rPr>
        <w:t>= 0.75,</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5)</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rPr>
        <w:t>n</w:t>
      </w:r>
      <w:r>
        <w:rPr>
          <w:rStyle w:val="apple-converted-space"/>
          <w:rFonts w:ascii="Calibri" w:hAnsi="Calibri"/>
          <w:color w:val="333333"/>
          <w:sz w:val="20"/>
          <w:szCs w:val="20"/>
        </w:rPr>
        <w:t> </w:t>
      </w:r>
      <w:r>
        <w:rPr>
          <w:rFonts w:ascii="Calibri" w:hAnsi="Calibri"/>
          <w:color w:val="333333"/>
          <w:sz w:val="20"/>
          <w:szCs w:val="20"/>
        </w:rPr>
        <w:t>= 10,</w:t>
      </w:r>
      <w:r>
        <w:rPr>
          <w:rStyle w:val="apple-converted-space"/>
          <w:rFonts w:ascii="Calibri" w:hAnsi="Calibri"/>
          <w:color w:val="333333"/>
          <w:sz w:val="20"/>
          <w:szCs w:val="20"/>
        </w:rPr>
        <w:t> </w:t>
      </w:r>
      <w:r>
        <w:rPr>
          <w:rStyle w:val="Emphasis"/>
          <w:rFonts w:ascii="Calibri" w:hAnsi="Calibri"/>
          <w:color w:val="333333"/>
          <w:sz w:val="20"/>
          <w:szCs w:val="20"/>
        </w:rPr>
        <w:t>p</w:t>
      </w:r>
      <w:r>
        <w:rPr>
          <w:rStyle w:val="apple-converted-space"/>
          <w:rFonts w:ascii="Calibri" w:hAnsi="Calibri"/>
          <w:color w:val="333333"/>
          <w:sz w:val="20"/>
          <w:szCs w:val="20"/>
        </w:rPr>
        <w:t> </w:t>
      </w:r>
      <w:r>
        <w:rPr>
          <w:rFonts w:ascii="Calibri" w:hAnsi="Calibri"/>
          <w:color w:val="333333"/>
          <w:sz w:val="20"/>
          <w:szCs w:val="20"/>
        </w:rPr>
        <w:t>= 0.75,</w:t>
      </w:r>
      <w:r>
        <w:rPr>
          <w:rStyle w:val="apple-converted-space"/>
          <w:rFonts w:ascii="Calibri" w:hAnsi="Calibri"/>
          <w:color w:val="333333"/>
          <w:sz w:val="20"/>
          <w:szCs w:val="20"/>
        </w:rPr>
        <w:t> </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12</w:t>
      </w:r>
      <w:r>
        <w:rPr>
          <w:rStyle w:val="mo"/>
          <w:rFonts w:ascii="MathJax_Main" w:hAnsi="MathJax_Main"/>
          <w:b/>
          <w:color w:val="333333"/>
          <w:sz w:val="15"/>
          <w:szCs w:val="15"/>
        </w:rPr>
        <w:t>)</w:t>
      </w:r>
    </w:p>
    <w:p w:rsidR="00AD77BB" w:rsidRDefault="00B45BA0">
      <w:pPr>
        <w:numPr>
          <w:ilvl w:val="1"/>
          <w:numId w:val="112"/>
        </w:numPr>
        <w:shd w:val="clear" w:color="auto" w:fill="DAEEF3" w:themeFill="accent5" w:themeFillTint="33"/>
        <w:spacing w:after="0" w:line="439" w:lineRule="atLeast"/>
        <w:textAlignment w:val="baseline"/>
        <w:rPr>
          <w:rFonts w:ascii="Calibri" w:hAnsi="Calibri"/>
          <w:color w:val="333333"/>
          <w:sz w:val="20"/>
          <w:szCs w:val="20"/>
        </w:rPr>
      </w:pPr>
      <w:r>
        <w:rPr>
          <w:rStyle w:val="Emphasis"/>
          <w:rFonts w:ascii="Calibri" w:hAnsi="Calibri"/>
          <w:color w:val="333333"/>
          <w:sz w:val="20"/>
          <w:szCs w:val="20"/>
        </w:rPr>
        <w:t>n</w:t>
      </w:r>
      <w:r>
        <w:rPr>
          <w:rStyle w:val="apple-converted-space"/>
          <w:rFonts w:ascii="Calibri" w:hAnsi="Calibri"/>
          <w:color w:val="333333"/>
          <w:sz w:val="20"/>
          <w:szCs w:val="20"/>
        </w:rPr>
        <w:t> </w:t>
      </w:r>
      <w:r>
        <w:rPr>
          <w:rFonts w:ascii="Calibri" w:hAnsi="Calibri"/>
          <w:color w:val="333333"/>
          <w:sz w:val="20"/>
          <w:szCs w:val="20"/>
        </w:rPr>
        <w:t>= 10,</w:t>
      </w:r>
      <w:r>
        <w:rPr>
          <w:rStyle w:val="apple-converted-space"/>
          <w:rFonts w:ascii="Calibri" w:hAnsi="Calibri"/>
          <w:color w:val="333333"/>
          <w:sz w:val="20"/>
          <w:szCs w:val="20"/>
        </w:rPr>
        <w:t> </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0</w:t>
      </w:r>
      <w:r>
        <w:rPr>
          <w:rStyle w:val="mo"/>
          <w:rFonts w:ascii="MathJax_Main" w:hAnsi="MathJax_Main"/>
          <w:b/>
          <w:color w:val="333333"/>
          <w:sz w:val="15"/>
          <w:szCs w:val="15"/>
        </w:rPr>
        <w:t>.</w:t>
      </w:r>
      <w:r>
        <w:rPr>
          <w:rStyle w:val="mn"/>
          <w:rFonts w:ascii="MathJax_Main" w:hAnsi="MathJax_Main"/>
          <w:b/>
          <w:color w:val="333333"/>
          <w:sz w:val="15"/>
          <w:szCs w:val="15"/>
        </w:rPr>
        <w:t>6</w:t>
      </w:r>
      <w:r>
        <w:rPr>
          <w:rStyle w:val="mo"/>
          <w:rFonts w:ascii="MathJax_Main" w:hAnsi="MathJax_Main"/>
          <w:b/>
          <w:color w:val="333333"/>
          <w:sz w:val="15"/>
          <w:szCs w:val="15"/>
        </w:rPr>
        <w:t>−</w:t>
      </w:r>
      <w:r>
        <w:rPr>
          <w:rFonts w:ascii="Calibri" w:hAnsi="Calibri"/>
          <w:b/>
          <w:color w:val="333333"/>
          <w:sz w:val="20"/>
          <w:szCs w:val="20"/>
        </w:rPr>
        <w:t>,</w:t>
      </w:r>
      <w:r>
        <w:rPr>
          <w:rStyle w:val="apple-converted-space"/>
          <w:rFonts w:ascii="Calibri" w:hAnsi="Calibri"/>
          <w:b/>
          <w:color w:val="333333"/>
          <w:sz w:val="20"/>
          <w:szCs w:val="20"/>
        </w:rPr>
        <w:t> </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5</w:t>
      </w:r>
      <w:r>
        <w:rPr>
          <w:rStyle w:val="mo"/>
          <w:rFonts w:ascii="MathJax_Main" w:hAnsi="MathJax_Main"/>
          <w:b/>
          <w:color w:val="333333"/>
          <w:sz w:val="15"/>
          <w:szCs w:val="15"/>
        </w:rPr>
        <w:t>≤</w:t>
      </w:r>
      <w:r>
        <w:rPr>
          <w:rStyle w:val="mi"/>
          <w:rFonts w:ascii="MathJax_Math" w:hAnsi="MathJax_Math"/>
          <w:b/>
          <w:i/>
          <w:iCs/>
          <w:color w:val="333333"/>
          <w:sz w:val="15"/>
          <w:szCs w:val="15"/>
        </w:rPr>
        <w:t>X</w:t>
      </w:r>
      <w:r>
        <w:rPr>
          <w:rStyle w:val="mo"/>
          <w:rFonts w:ascii="MathJax_Main" w:hAnsi="MathJax_Main"/>
          <w:b/>
          <w:color w:val="333333"/>
          <w:sz w:val="15"/>
          <w:szCs w:val="15"/>
        </w:rPr>
        <w:t>≤</w:t>
      </w:r>
      <w:r>
        <w:rPr>
          <w:rStyle w:val="mn"/>
          <w:rFonts w:ascii="MathJax_Main" w:hAnsi="MathJax_Main"/>
          <w:b/>
          <w:color w:val="333333"/>
          <w:sz w:val="15"/>
          <w:szCs w:val="15"/>
        </w:rPr>
        <w:t>8</w:t>
      </w:r>
      <w:r>
        <w:rPr>
          <w:rStyle w:val="mo"/>
          <w:rFonts w:ascii="MathJax_Main" w:hAnsi="MathJax_Main"/>
          <w:b/>
          <w:color w:val="333333"/>
          <w:sz w:val="15"/>
          <w:szCs w:val="15"/>
        </w:rPr>
        <w:t>)</w:t>
      </w:r>
    </w:p>
    <w:p w:rsidR="00AD77BB" w:rsidRDefault="00AD77BB">
      <w:pPr>
        <w:shd w:val="clear" w:color="auto" w:fill="DAEEF3" w:themeFill="accent5" w:themeFillTint="33"/>
        <w:spacing w:after="0" w:line="439" w:lineRule="atLeast"/>
        <w:ind w:left="1440"/>
        <w:textAlignment w:val="baseline"/>
        <w:rPr>
          <w:rFonts w:ascii="Calibri" w:hAnsi="Calibri"/>
          <w:b/>
          <w:color w:val="333333"/>
          <w:sz w:val="20"/>
          <w:szCs w:val="20"/>
        </w:rPr>
      </w:pPr>
    </w:p>
    <w:p w:rsidR="00AD77BB" w:rsidRDefault="00AD77BB">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p>
    <w:p w:rsidR="00AD77BB" w:rsidRDefault="00B45BA0">
      <w:pPr>
        <w:numPr>
          <w:ilvl w:val="0"/>
          <w:numId w:val="11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a binomial random variable with the parameters shown. Use the special formulas to compute its mean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 and standard deviation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w:t>
      </w:r>
    </w:p>
    <w:p w:rsidR="00AD77BB" w:rsidRDefault="00B45BA0">
      <w:pPr>
        <w:numPr>
          <w:ilvl w:val="1"/>
          <w:numId w:val="11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8,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 0.43</w:t>
      </w:r>
    </w:p>
    <w:p w:rsidR="00AD77BB" w:rsidRDefault="00B45BA0">
      <w:pPr>
        <w:numPr>
          <w:ilvl w:val="1"/>
          <w:numId w:val="11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47,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 0.82</w:t>
      </w:r>
    </w:p>
    <w:p w:rsidR="00AD77BB" w:rsidRDefault="00B45BA0">
      <w:pPr>
        <w:numPr>
          <w:ilvl w:val="1"/>
          <w:numId w:val="11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1200,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 0.44</w:t>
      </w:r>
    </w:p>
    <w:p w:rsidR="00AD77BB" w:rsidRDefault="00B45BA0">
      <w:pPr>
        <w:numPr>
          <w:ilvl w:val="1"/>
          <w:numId w:val="11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2100,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 0.62</w:t>
      </w:r>
    </w:p>
    <w:p w:rsidR="00AD77BB" w:rsidRDefault="00B45BA0">
      <w:pPr>
        <w:numPr>
          <w:ilvl w:val="0"/>
          <w:numId w:val="113"/>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a binomial random variable with the parameters shown. Use the special formulas to compute its mean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 and standard deviation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w:t>
      </w:r>
    </w:p>
    <w:p w:rsidR="00AD77BB" w:rsidRDefault="00B45BA0">
      <w:pPr>
        <w:numPr>
          <w:ilvl w:val="1"/>
          <w:numId w:val="11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14,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 0.55</w:t>
      </w:r>
    </w:p>
    <w:p w:rsidR="00AD77BB" w:rsidRDefault="00B45BA0">
      <w:pPr>
        <w:numPr>
          <w:ilvl w:val="1"/>
          <w:numId w:val="11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83,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 0.05</w:t>
      </w:r>
    </w:p>
    <w:p w:rsidR="00AD77BB" w:rsidRDefault="00B45BA0">
      <w:pPr>
        <w:numPr>
          <w:ilvl w:val="1"/>
          <w:numId w:val="11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957,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 0.35</w:t>
      </w:r>
    </w:p>
    <w:p w:rsidR="00AD77BB" w:rsidRDefault="00B45BA0">
      <w:pPr>
        <w:numPr>
          <w:ilvl w:val="1"/>
          <w:numId w:val="11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1750,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 0.79</w:t>
      </w:r>
    </w:p>
    <w:p w:rsidR="00AD77BB" w:rsidRDefault="00AD77BB">
      <w:pPr>
        <w:pStyle w:val="ListParagraph"/>
        <w:shd w:val="clear" w:color="auto" w:fill="FFFFFF" w:themeFill="background1"/>
        <w:spacing w:line="439" w:lineRule="atLeast"/>
        <w:ind w:right="375"/>
        <w:textAlignment w:val="baseline"/>
        <w:rPr>
          <w:rFonts w:ascii="Calibri" w:hAnsi="Calibri"/>
          <w:b/>
          <w:color w:val="333333"/>
          <w:sz w:val="20"/>
          <w:szCs w:val="20"/>
        </w:rPr>
      </w:pPr>
    </w:p>
    <w:p w:rsidR="00AD77BB" w:rsidRDefault="00B45BA0">
      <w:pPr>
        <w:pStyle w:val="para"/>
        <w:shd w:val="clear" w:color="auto" w:fill="FFFFFF" w:themeFill="background1"/>
        <w:spacing w:before="0" w:beforeAutospacing="0" w:after="0" w:afterAutospacing="0" w:line="360" w:lineRule="auto"/>
        <w:jc w:val="both"/>
        <w:textAlignment w:val="baseline"/>
      </w:pPr>
      <w:r>
        <w:rPr>
          <w:noProof/>
        </w:rPr>
        <w:lastRenderedPageBreak/>
        <w:drawing>
          <wp:inline distT="0" distB="0" distL="0" distR="0" wp14:anchorId="20C6112D" wp14:editId="698DA74A">
            <wp:extent cx="5819775" cy="7229475"/>
            <wp:effectExtent l="0" t="0" r="9525" b="9525"/>
            <wp:docPr id="140"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819775" cy="7229475"/>
                    </a:xfrm>
                    <a:prstGeom prst="rect">
                      <a:avLst/>
                    </a:prstGeom>
                    <a:noFill/>
                    <a:ln>
                      <a:noFill/>
                    </a:ln>
                  </pic:spPr>
                </pic:pic>
              </a:graphicData>
            </a:graphic>
          </wp:inline>
        </w:drawing>
      </w:r>
    </w:p>
    <w:p w:rsidR="00AD77BB" w:rsidRDefault="00B45BA0">
      <w:pPr>
        <w:pStyle w:val="para"/>
        <w:numPr>
          <w:ilvl w:val="0"/>
          <w:numId w:val="114"/>
        </w:numPr>
        <w:shd w:val="clear" w:color="auto" w:fill="DAEEF3" w:themeFill="accent5" w:themeFillTint="33"/>
        <w:spacing w:before="0" w:beforeAutospacing="0" w:after="0" w:afterAutospacing="0" w:line="360" w:lineRule="auto"/>
        <w:ind w:left="328" w:hangingChars="164" w:hanging="328"/>
        <w:textAlignment w:val="baseline"/>
        <w:rPr>
          <w:rFonts w:ascii="Calibri" w:hAnsi="Calibri"/>
          <w:color w:val="333333"/>
          <w:sz w:val="20"/>
          <w:szCs w:val="20"/>
        </w:rPr>
      </w:pPr>
      <w:r>
        <w:rPr>
          <w:rFonts w:ascii="Calibri" w:hAnsi="Calibri"/>
          <w:color w:val="333333"/>
          <w:sz w:val="20"/>
          <w:szCs w:val="20"/>
        </w:rPr>
        <w:t>A coin is bent so that the probability that it lands heads up is 2/3. The coin is tossed ten times.</w:t>
      </w:r>
    </w:p>
    <w:p w:rsidR="00AD77BB" w:rsidRDefault="00B45BA0">
      <w:pPr>
        <w:numPr>
          <w:ilvl w:val="1"/>
          <w:numId w:val="114"/>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 it lands heads up at most five times.</w:t>
      </w:r>
    </w:p>
    <w:p w:rsidR="00AD77BB" w:rsidRDefault="00B45BA0">
      <w:pPr>
        <w:numPr>
          <w:ilvl w:val="1"/>
          <w:numId w:val="114"/>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 it lands heads up more times than it lands tails up.</w:t>
      </w:r>
    </w:p>
    <w:p w:rsidR="00AD77BB" w:rsidRDefault="00AD77BB">
      <w:pPr>
        <w:shd w:val="clear" w:color="auto" w:fill="DAEEF3" w:themeFill="accent5" w:themeFillTint="33"/>
        <w:spacing w:after="0" w:line="360" w:lineRule="auto"/>
        <w:ind w:left="328"/>
        <w:textAlignment w:val="baseline"/>
        <w:rPr>
          <w:rFonts w:ascii="Calibri" w:hAnsi="Calibri"/>
          <w:color w:val="333333"/>
          <w:sz w:val="20"/>
          <w:szCs w:val="20"/>
        </w:rPr>
      </w:pP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lastRenderedPageBreak/>
        <w:t>APPLICATIONS</w:t>
      </w:r>
    </w:p>
    <w:p w:rsidR="00AD77BB" w:rsidRDefault="00B45BA0">
      <w:pPr>
        <w:pStyle w:val="para"/>
        <w:numPr>
          <w:ilvl w:val="0"/>
          <w:numId w:val="115"/>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An English-speaking tourist visits a country in which 30% of the population speaks English. He needs to ask someone directions.</w:t>
      </w:r>
    </w:p>
    <w:p w:rsidR="00AD77BB" w:rsidRDefault="00B45BA0">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 the first person he encounters will be able to speak English.</w:t>
      </w:r>
    </w:p>
    <w:p w:rsidR="00AD77BB" w:rsidRDefault="00B45BA0">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The tourist sees four local people standing at a bus stop. Find the probability that at least one of them will be able to speak English.</w:t>
      </w:r>
    </w:p>
    <w:p w:rsidR="00AD77BB" w:rsidRDefault="00B45BA0">
      <w:pPr>
        <w:pStyle w:val="para"/>
        <w:numPr>
          <w:ilvl w:val="0"/>
          <w:numId w:val="115"/>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The probability that an egg in a retail package is cracked or broken is 0.025.</w:t>
      </w:r>
    </w:p>
    <w:p w:rsidR="00AD77BB" w:rsidRDefault="00B45BA0">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 a carton of one dozen eggs contains no eggs that are either cracked or broken.</w:t>
      </w:r>
    </w:p>
    <w:p w:rsidR="00AD77BB" w:rsidRDefault="00B45BA0">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 a carton of one dozen eggs has (i) at least one that is either cracked or broken; (ii) at least two that are cracked or broken.</w:t>
      </w:r>
    </w:p>
    <w:p w:rsidR="00AD77BB" w:rsidRDefault="00B45BA0">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average number of cracked or broken eggs in one dozen cartons.</w:t>
      </w:r>
    </w:p>
    <w:p w:rsidR="00AD77BB" w:rsidRDefault="00B45BA0">
      <w:pPr>
        <w:pStyle w:val="para"/>
        <w:numPr>
          <w:ilvl w:val="0"/>
          <w:numId w:val="115"/>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An appliance store sells 20 refrigerators each week. Ten percent of all purchasers of a refrigerator buy an extended warranty. Let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denote the number of the next 20 purchasers who do so.</w:t>
      </w:r>
    </w:p>
    <w:p w:rsidR="00AD77BB" w:rsidRDefault="00B45BA0">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Verify that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satisfies the conditions for a binomial random variable, and find</w:t>
      </w:r>
      <w:r>
        <w:rPr>
          <w:rStyle w:val="apple-converted-space"/>
          <w:rFonts w:ascii="Calibri" w:hAnsi="Calibri"/>
          <w:color w:val="333333"/>
          <w:sz w:val="20"/>
          <w:szCs w:val="20"/>
        </w:rPr>
        <w:t> </w:t>
      </w:r>
      <w:r>
        <w:rPr>
          <w:rStyle w:val="Emphasis"/>
          <w:rFonts w:ascii="Calibri" w:hAnsi="Calibri"/>
          <w:color w:val="333333"/>
          <w:sz w:val="20"/>
          <w:szCs w:val="20"/>
        </w:rPr>
        <w:t xml:space="preserve">n </w:t>
      </w:r>
      <w:r>
        <w:rPr>
          <w:rFonts w:ascii="Calibri" w:hAnsi="Calibri"/>
          <w:color w:val="333333"/>
          <w:sz w:val="20"/>
          <w:szCs w:val="20"/>
        </w:rPr>
        <w:t>and</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w:t>
      </w:r>
    </w:p>
    <w:p w:rsidR="00AD77BB" w:rsidRDefault="00B45BA0">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is zero.</w:t>
      </w:r>
    </w:p>
    <w:p w:rsidR="00AD77BB" w:rsidRDefault="00B45BA0">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is two, three, or four.</w:t>
      </w:r>
    </w:p>
    <w:p w:rsidR="00AD77BB" w:rsidRDefault="00B45BA0">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is at least five.</w:t>
      </w:r>
    </w:p>
    <w:p w:rsidR="00AD77BB" w:rsidRDefault="00B45BA0">
      <w:pPr>
        <w:pStyle w:val="para"/>
        <w:numPr>
          <w:ilvl w:val="0"/>
          <w:numId w:val="115"/>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Adverse growing conditions have caused 5% of grapefruit grown in a certain region to be of inferior quality. Grapefruit are sold by the dozen.</w:t>
      </w:r>
    </w:p>
    <w:p w:rsidR="00AD77BB" w:rsidRDefault="00B45BA0">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average number of inferior quality grapefruit per box of a dozen.</w:t>
      </w:r>
    </w:p>
    <w:p w:rsidR="00AD77BB" w:rsidRDefault="00B45BA0">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A box that contains two or more grapefruit of inferior quality will cause a strong adverse customer reaction. Find the probability that a box of one dozen grapefruit will contain two or more grapefruit of inferior quality.</w:t>
      </w:r>
    </w:p>
    <w:p w:rsidR="00AD77BB" w:rsidRDefault="00B45BA0">
      <w:pPr>
        <w:pStyle w:val="para"/>
        <w:numPr>
          <w:ilvl w:val="0"/>
          <w:numId w:val="115"/>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The probability that a 7-ounce skein of a discount worsted weight knitting yarn contains a knot is 0.25. Goneril buys ten skeins to crochet an afghan.</w:t>
      </w:r>
    </w:p>
    <w:p w:rsidR="00AD77BB" w:rsidRDefault="00B45BA0">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 (i) none of the ten skeins will contain a knot; (ii) at most one will.</w:t>
      </w:r>
    </w:p>
    <w:p w:rsidR="00AD77BB" w:rsidRDefault="00B45BA0">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expected number of skeins that contain knots.</w:t>
      </w:r>
    </w:p>
    <w:p w:rsidR="00AD77BB" w:rsidRDefault="00B45BA0">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most likely number of skeins that contain knots.</w:t>
      </w:r>
    </w:p>
    <w:p w:rsidR="00AD77BB" w:rsidRDefault="00B45BA0">
      <w:pPr>
        <w:pStyle w:val="para"/>
        <w:numPr>
          <w:ilvl w:val="0"/>
          <w:numId w:val="115"/>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One-third of all patients who undergo a non-invasive but unpleasant medical test require a sedative. A laboratory performs 20 such tests daily. Let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denote the number of patients on any given day who require a sedative.</w:t>
      </w:r>
    </w:p>
    <w:p w:rsidR="00AD77BB" w:rsidRDefault="00B45BA0">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Verify that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satisfies the conditions for a binomial random variable, and find</w:t>
      </w:r>
      <w:r>
        <w:rPr>
          <w:rStyle w:val="apple-converted-space"/>
          <w:rFonts w:ascii="Calibri" w:hAnsi="Calibri"/>
          <w:color w:val="333333"/>
          <w:sz w:val="20"/>
          <w:szCs w:val="20"/>
        </w:rPr>
        <w:t> </w:t>
      </w:r>
      <w:r>
        <w:rPr>
          <w:rStyle w:val="Emphasis"/>
          <w:rFonts w:ascii="Calibri" w:hAnsi="Calibri"/>
          <w:color w:val="333333"/>
          <w:sz w:val="20"/>
          <w:szCs w:val="20"/>
        </w:rPr>
        <w:t xml:space="preserve">n </w:t>
      </w:r>
      <w:r>
        <w:rPr>
          <w:rFonts w:ascii="Calibri" w:hAnsi="Calibri"/>
          <w:color w:val="333333"/>
          <w:sz w:val="20"/>
          <w:szCs w:val="20"/>
        </w:rPr>
        <w:t>and</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w:t>
      </w:r>
    </w:p>
    <w:p w:rsidR="00AD77BB" w:rsidRDefault="00B45BA0">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 on any given day between five and nine patients will require a sedative (include five and nine).</w:t>
      </w:r>
    </w:p>
    <w:p w:rsidR="00AD77BB" w:rsidRDefault="00B45BA0">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lastRenderedPageBreak/>
        <w:t>Find the average number of patients each day who require a sedative.</w:t>
      </w:r>
    </w:p>
    <w:p w:rsidR="00AD77BB" w:rsidRDefault="00B45BA0">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Using the cumulative probability distribution for</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in</w:t>
      </w:r>
      <w:r>
        <w:rPr>
          <w:rStyle w:val="apple-converted-space"/>
          <w:rFonts w:ascii="Calibri" w:hAnsi="Calibri"/>
          <w:color w:val="333333"/>
          <w:sz w:val="20"/>
          <w:szCs w:val="20"/>
        </w:rPr>
        <w:t> </w:t>
      </w:r>
      <w:r>
        <w:rPr>
          <w:rFonts w:ascii="Calibri" w:hAnsi="Calibri"/>
          <w:color w:val="2689C6"/>
          <w:sz w:val="20"/>
          <w:szCs w:val="20"/>
        </w:rPr>
        <w:t>Chapter 12 "Appendix"</w:t>
      </w:r>
      <w:r>
        <w:rPr>
          <w:rFonts w:ascii="Calibri" w:hAnsi="Calibri"/>
          <w:color w:val="333333"/>
          <w:sz w:val="20"/>
          <w:szCs w:val="20"/>
        </w:rPr>
        <w:t>, find the minimum number</w:t>
      </w:r>
      <w:r>
        <w:rPr>
          <w:rStyle w:val="apple-converted-space"/>
          <w:rFonts w:ascii="Calibri" w:hAnsi="Calibri"/>
          <w:color w:val="333333"/>
          <w:sz w:val="20"/>
          <w:szCs w:val="20"/>
        </w:rPr>
        <w:t> </w:t>
      </w:r>
      <w:r>
        <w:rPr>
          <w:rStyle w:val="mi"/>
          <w:rFonts w:ascii="MathJax_Math" w:hAnsi="MathJax_Math"/>
          <w:i/>
          <w:iCs/>
          <w:color w:val="333333"/>
          <w:sz w:val="15"/>
          <w:szCs w:val="15"/>
        </w:rPr>
        <w:t>x</w:t>
      </w:r>
      <w:r>
        <w:rPr>
          <w:rStyle w:val="mtext"/>
          <w:rFonts w:ascii="MathJax_Main" w:hAnsi="MathJax_Main"/>
          <w:color w:val="333333"/>
          <w:sz w:val="12"/>
          <w:szCs w:val="12"/>
        </w:rPr>
        <w:t> min</w:t>
      </w:r>
      <w:r>
        <w:rPr>
          <w:rStyle w:val="apple-converted-space"/>
          <w:rFonts w:ascii="Calibri" w:hAnsi="Calibri"/>
          <w:color w:val="333333"/>
          <w:sz w:val="20"/>
          <w:szCs w:val="20"/>
        </w:rPr>
        <w:t> </w:t>
      </w:r>
      <w:r>
        <w:rPr>
          <w:rFonts w:ascii="Calibri" w:hAnsi="Calibri"/>
          <w:color w:val="333333"/>
          <w:sz w:val="20"/>
          <w:szCs w:val="20"/>
        </w:rPr>
        <w:t>of doses of the sedative that should be on hand at the start of the day so that there is a 99% chance that the laboratory will not run out.</w:t>
      </w:r>
    </w:p>
    <w:p w:rsidR="00AD77BB" w:rsidRDefault="00B45BA0">
      <w:pPr>
        <w:pStyle w:val="para"/>
        <w:numPr>
          <w:ilvl w:val="0"/>
          <w:numId w:val="115"/>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About 2% of alumni give money upon receiving a solicitation from the college or university from which they graduated. Find the average number monetary gifts a college can expect from every 2,000 solicitations it sends.</w:t>
      </w:r>
    </w:p>
    <w:p w:rsidR="00AD77BB" w:rsidRDefault="00B45BA0">
      <w:pPr>
        <w:pStyle w:val="para"/>
        <w:numPr>
          <w:ilvl w:val="0"/>
          <w:numId w:val="115"/>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Of all college students who are eligible to give blood, about 18% do so on a regular basis. Each month a local blood bank sends an appeal to give blood to 250 randomly selected students. Find the average number of appeals in such mailings that are made to students who already give blood.</w:t>
      </w:r>
    </w:p>
    <w:p w:rsidR="00AD77BB" w:rsidRDefault="00B45BA0">
      <w:pPr>
        <w:pStyle w:val="para"/>
        <w:numPr>
          <w:ilvl w:val="0"/>
          <w:numId w:val="115"/>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About 12% of all individuals write with their left hands. A class of 130 students meets in a classroom with 130 individual desks, exactly 14 of which are constructed for people who write with their left hands. Find the probability that exactly 14 of the students enrolled in the class write with their left hands.</w:t>
      </w:r>
    </w:p>
    <w:p w:rsidR="00AD77BB" w:rsidRDefault="00B45BA0">
      <w:pPr>
        <w:pStyle w:val="para"/>
        <w:numPr>
          <w:ilvl w:val="0"/>
          <w:numId w:val="115"/>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 travelling salesman makes a sale on 65% of his calls on regular customers. He makes four sales calls each day.</w:t>
      </w:r>
    </w:p>
    <w:p w:rsidR="00AD77BB" w:rsidRDefault="00B45BA0">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the probability distribution of</w:t>
      </w:r>
      <w:r>
        <w:rPr>
          <w:rStyle w:val="apple-converted-space"/>
          <w:rFonts w:ascii="Calibri" w:hAnsi="Calibri"/>
          <w:color w:val="333333"/>
          <w:sz w:val="20"/>
          <w:szCs w:val="20"/>
        </w:rPr>
        <w:t> </w:t>
      </w:r>
      <w:r>
        <w:rPr>
          <w:rStyle w:val="Emphasis"/>
          <w:rFonts w:ascii="Calibri" w:hAnsi="Calibri"/>
          <w:color w:val="333333"/>
          <w:sz w:val="20"/>
          <w:szCs w:val="20"/>
        </w:rPr>
        <w:t>X</w:t>
      </w:r>
      <w:r>
        <w:rPr>
          <w:rFonts w:ascii="Calibri" w:hAnsi="Calibri"/>
          <w:color w:val="333333"/>
          <w:sz w:val="20"/>
          <w:szCs w:val="20"/>
        </w:rPr>
        <w:t>, the number of sales made each day.</w:t>
      </w:r>
    </w:p>
    <w:p w:rsidR="00AD77BB" w:rsidRDefault="00B45BA0">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 on a randomly selected day, the salesman will make a sale.</w:t>
      </w:r>
    </w:p>
    <w:p w:rsidR="00AD77BB" w:rsidRDefault="00B45BA0">
      <w:pPr>
        <w:numPr>
          <w:ilvl w:val="1"/>
          <w:numId w:val="115"/>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Assuming that the salesman makes 20 sales calls per week, find the mean and standard deviation of the number of sales made</w:t>
      </w:r>
      <w:r>
        <w:rPr>
          <w:rStyle w:val="apple-converted-space"/>
          <w:rFonts w:ascii="Calibri" w:hAnsi="Calibri"/>
          <w:color w:val="333333"/>
          <w:sz w:val="20"/>
          <w:szCs w:val="20"/>
        </w:rPr>
        <w:t> </w:t>
      </w:r>
      <w:r>
        <w:rPr>
          <w:rStyle w:val="Emphasis"/>
          <w:rFonts w:ascii="Calibri" w:hAnsi="Calibri"/>
          <w:color w:val="333333"/>
          <w:sz w:val="20"/>
          <w:szCs w:val="20"/>
        </w:rPr>
        <w:t>per week</w:t>
      </w:r>
      <w:r>
        <w:rPr>
          <w:rFonts w:ascii="Calibri" w:hAnsi="Calibri"/>
          <w:color w:val="333333"/>
          <w:sz w:val="20"/>
          <w:szCs w:val="20"/>
        </w:rPr>
        <w:t>.</w:t>
      </w:r>
    </w:p>
    <w:p w:rsidR="00AD77BB" w:rsidRDefault="00B45BA0">
      <w:pPr>
        <w:pStyle w:val="para"/>
        <w:numPr>
          <w:ilvl w:val="0"/>
          <w:numId w:val="115"/>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 corporation has advertised heavily to try to insure that over half the adult population recognizes the brand name of its products. In a random sample of 20 adults, 14 recognized its brand name. What is the probability that 14 or more people in such a sample would recognize its brand name if the actual proportion</w:t>
      </w:r>
      <w:r>
        <w:rPr>
          <w:rStyle w:val="apple-converted-space"/>
          <w:rFonts w:ascii="Calibri" w:hAnsi="Calibri"/>
          <w:color w:val="333333"/>
          <w:sz w:val="20"/>
          <w:szCs w:val="20"/>
        </w:rPr>
        <w:t> </w:t>
      </w:r>
      <w:r>
        <w:rPr>
          <w:rStyle w:val="Emphasis"/>
          <w:rFonts w:ascii="Calibri" w:hAnsi="Calibri"/>
          <w:color w:val="333333"/>
          <w:sz w:val="20"/>
          <w:szCs w:val="20"/>
        </w:rPr>
        <w:t xml:space="preserve">p </w:t>
      </w:r>
      <w:r>
        <w:rPr>
          <w:rFonts w:ascii="Calibri" w:hAnsi="Calibri"/>
          <w:color w:val="333333"/>
          <w:sz w:val="20"/>
          <w:szCs w:val="20"/>
        </w:rPr>
        <w:t>of all adults who recognize the brand name were only 0.50?</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ADDITIONAL EXERCISES</w:t>
      </w:r>
    </w:p>
    <w:p w:rsidR="00AD77BB" w:rsidRDefault="00B45BA0">
      <w:pPr>
        <w:numPr>
          <w:ilvl w:val="0"/>
          <w:numId w:val="116"/>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dropped on a hard surface a thumbtack lands with its sharp point touching the surface with probability 2/3; it lands with its sharp point directed up into the air with probability 1/3. The tack is dropped and its landing position observed 15 times.</w:t>
      </w:r>
    </w:p>
    <w:p w:rsidR="00AD77BB" w:rsidRDefault="00B45BA0">
      <w:pPr>
        <w:numPr>
          <w:ilvl w:val="1"/>
          <w:numId w:val="11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it lands with its point in the air at least 7 times.</w:t>
      </w:r>
    </w:p>
    <w:p w:rsidR="00AD77BB" w:rsidRDefault="00B45BA0">
      <w:pPr>
        <w:numPr>
          <w:ilvl w:val="1"/>
          <w:numId w:val="11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 the experiment of dropping the tack 15 times is done repeatedly, what is the average number of times it lands with its point in the air?</w:t>
      </w:r>
    </w:p>
    <w:p w:rsidR="00AD77BB" w:rsidRDefault="00B45BA0">
      <w:pPr>
        <w:numPr>
          <w:ilvl w:val="0"/>
          <w:numId w:val="116"/>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professional proofreader has a 98% chance of detecting an error in a piece of written work (other than misspellings, double words, and similar errors that are machine detected). A work contains four errors.</w:t>
      </w:r>
    </w:p>
    <w:p w:rsidR="00AD77BB" w:rsidRDefault="00B45BA0">
      <w:pPr>
        <w:pStyle w:val="ListParagraph"/>
        <w:numPr>
          <w:ilvl w:val="1"/>
          <w:numId w:val="11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Find the probability that the proofreader will miss at least one of them.</w:t>
      </w:r>
    </w:p>
    <w:p w:rsidR="00AD77BB" w:rsidRDefault="00B45BA0">
      <w:pPr>
        <w:numPr>
          <w:ilvl w:val="1"/>
          <w:numId w:val="11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Show that two such proofreaders working independently have a 99.96% chance of detecting an error in a piece of written work.</w:t>
      </w:r>
    </w:p>
    <w:p w:rsidR="00AD77BB" w:rsidRDefault="00B45BA0">
      <w:pPr>
        <w:numPr>
          <w:ilvl w:val="1"/>
          <w:numId w:val="11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Find the probability that two such proofreaders working independently will miss at least one error in a work that contains four errors.</w:t>
      </w:r>
    </w:p>
    <w:p w:rsidR="00AD77BB" w:rsidRDefault="00B45BA0">
      <w:pPr>
        <w:numPr>
          <w:ilvl w:val="0"/>
          <w:numId w:val="116"/>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multiple choice exam has 20 questions; there are four choices for each question.</w:t>
      </w:r>
    </w:p>
    <w:p w:rsidR="00AD77BB" w:rsidRDefault="00B45BA0">
      <w:pPr>
        <w:numPr>
          <w:ilvl w:val="1"/>
          <w:numId w:val="11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student guesses the answer to every question. Find the chance that he guesses correctly between four and seven times.</w:t>
      </w:r>
    </w:p>
    <w:p w:rsidR="00AD77BB" w:rsidRDefault="00B45BA0">
      <w:pPr>
        <w:numPr>
          <w:ilvl w:val="1"/>
          <w:numId w:val="11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minimum score the instructor can set so that the probability that a student will pass just by guessing is 20% or less.</w:t>
      </w:r>
    </w:p>
    <w:p w:rsidR="00AD77BB" w:rsidRDefault="00B45BA0">
      <w:pPr>
        <w:numPr>
          <w:ilvl w:val="0"/>
          <w:numId w:val="11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spite of the requirement that all dogs boarded in a kennel be inoculated, the chance that a healthy dog boarded in a clean, well-ventilated kennel will develop kennel cough from a carrier is 0.008.</w:t>
      </w:r>
    </w:p>
    <w:p w:rsidR="00AD77BB" w:rsidRDefault="00B45BA0">
      <w:pPr>
        <w:numPr>
          <w:ilvl w:val="1"/>
          <w:numId w:val="11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 a carrier (not known to be such, of course) is boarded with three other dogs, what is the probability that at least one of the three healthy dogs will develop kennel cough?</w:t>
      </w:r>
    </w:p>
    <w:p w:rsidR="00AD77BB" w:rsidRDefault="00B45BA0">
      <w:pPr>
        <w:numPr>
          <w:ilvl w:val="1"/>
          <w:numId w:val="11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 a carrier is boarded with four other dogs, what is the probability that at least one of the four healthy dogs will develop kennel cough?</w:t>
      </w:r>
    </w:p>
    <w:p w:rsidR="00AD77BB" w:rsidRDefault="00B45BA0">
      <w:pPr>
        <w:numPr>
          <w:ilvl w:val="1"/>
          <w:numId w:val="11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pattern evident from parts (a) and (b) is that if </w:t>
      </w:r>
      <w:r>
        <w:rPr>
          <w:rFonts w:ascii="MathJax_Math" w:eastAsia="Times New Roman" w:hAnsi="MathJax_Math" w:cs="Times New Roman"/>
          <w:b/>
          <w:i/>
          <w:iCs/>
          <w:color w:val="333333"/>
          <w:sz w:val="15"/>
          <w:szCs w:val="15"/>
        </w:rPr>
        <w:t>K</w:t>
      </w:r>
      <w:r>
        <w:rPr>
          <w:rFonts w:ascii="MathJax_Main" w:eastAsia="Times New Roman" w:hAnsi="MathJax_Main" w:cs="Times New Roman"/>
          <w:b/>
          <w:color w:val="333333"/>
          <w:sz w:val="15"/>
          <w:szCs w:val="15"/>
        </w:rPr>
        <w:t>+1</w:t>
      </w:r>
      <w:r>
        <w:rPr>
          <w:rFonts w:ascii="Calibri" w:eastAsia="Times New Roman" w:hAnsi="Calibri" w:cs="Times New Roman"/>
          <w:color w:val="333333"/>
          <w:sz w:val="20"/>
          <w:szCs w:val="20"/>
        </w:rPr>
        <w:t> dogs are boarded together, one a carrier and </w:t>
      </w:r>
      <w:r>
        <w:rPr>
          <w:rFonts w:ascii="Calibri" w:eastAsia="Times New Roman" w:hAnsi="Calibri" w:cs="Times New Roman"/>
          <w:i/>
          <w:iCs/>
          <w:color w:val="333333"/>
          <w:sz w:val="20"/>
          <w:szCs w:val="20"/>
        </w:rPr>
        <w:t>K</w:t>
      </w:r>
      <w:r>
        <w:rPr>
          <w:rFonts w:ascii="Calibri" w:eastAsia="Times New Roman" w:hAnsi="Calibri" w:cs="Times New Roman"/>
          <w:color w:val="333333"/>
          <w:sz w:val="20"/>
          <w:szCs w:val="20"/>
        </w:rPr>
        <w:t> healthy dogs, then the probability that at least one of the healthy dogs will develop kennel cough is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≥1)=1−(0.992)</w:t>
      </w:r>
      <w:r>
        <w:rPr>
          <w:rFonts w:ascii="MathJax_Math" w:eastAsia="Times New Roman" w:hAnsi="MathJax_Math" w:cs="Times New Roman"/>
          <w:b/>
          <w:i/>
          <w:iCs/>
          <w:color w:val="333333"/>
          <w:sz w:val="12"/>
          <w:szCs w:val="12"/>
          <w:vertAlign w:val="superscript"/>
        </w:rPr>
        <w:t>K</w:t>
      </w:r>
      <w:r>
        <w:rPr>
          <w:rFonts w:ascii="Calibri" w:eastAsia="Times New Roman" w:hAnsi="Calibri" w:cs="Times New Roman"/>
          <w:color w:val="333333"/>
          <w:sz w:val="20"/>
          <w:szCs w:val="20"/>
        </w:rPr>
        <w:t>, where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the binomial random variable that counts the number of healthy dogs that develop the condition. Experiment with different values of </w:t>
      </w:r>
      <w:r>
        <w:rPr>
          <w:rFonts w:ascii="Calibri" w:eastAsia="Times New Roman" w:hAnsi="Calibri" w:cs="Times New Roman"/>
          <w:i/>
          <w:iCs/>
          <w:color w:val="333333"/>
          <w:sz w:val="20"/>
          <w:szCs w:val="20"/>
        </w:rPr>
        <w:t>K</w:t>
      </w:r>
      <w:r>
        <w:rPr>
          <w:rFonts w:ascii="Calibri" w:eastAsia="Times New Roman" w:hAnsi="Calibri" w:cs="Times New Roman"/>
          <w:color w:val="333333"/>
          <w:sz w:val="20"/>
          <w:szCs w:val="20"/>
        </w:rPr>
        <w:t> in this formula to find the maximum number </w:t>
      </w:r>
      <w:r>
        <w:rPr>
          <w:rFonts w:ascii="MathJax_Math" w:eastAsia="Times New Roman" w:hAnsi="MathJax_Math" w:cs="Times New Roman"/>
          <w:b/>
          <w:i/>
          <w:iCs/>
          <w:color w:val="333333"/>
          <w:sz w:val="15"/>
          <w:szCs w:val="15"/>
        </w:rPr>
        <w:t>K</w:t>
      </w:r>
      <w:r>
        <w:rPr>
          <w:rFonts w:ascii="MathJax_Main" w:eastAsia="Times New Roman" w:hAnsi="MathJax_Main" w:cs="Times New Roman"/>
          <w:b/>
          <w:color w:val="333333"/>
          <w:sz w:val="15"/>
          <w:szCs w:val="15"/>
        </w:rPr>
        <w:t>+1</w:t>
      </w:r>
      <w:r>
        <w:rPr>
          <w:rFonts w:ascii="Calibri" w:eastAsia="Times New Roman" w:hAnsi="Calibri" w:cs="Times New Roman"/>
          <w:color w:val="333333"/>
          <w:sz w:val="20"/>
          <w:szCs w:val="20"/>
        </w:rPr>
        <w:t> of dogs that a kennel owner can board together so that if one of the dogs has the condition, the chance that another dog will be infected is less than 0.05.</w:t>
      </w:r>
    </w:p>
    <w:p w:rsidR="00AD77BB" w:rsidRDefault="00B45BA0">
      <w:pPr>
        <w:numPr>
          <w:ilvl w:val="0"/>
          <w:numId w:val="11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Investigators need to determine which of 600 adults have a medical condition that affects 2% of the adult population. A blood sample is taken from each of the individuals.</w:t>
      </w:r>
    </w:p>
    <w:p w:rsidR="00AD77BB" w:rsidRDefault="00B45BA0">
      <w:pPr>
        <w:numPr>
          <w:ilvl w:val="1"/>
          <w:numId w:val="11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Show that the expected number of diseased individuals in the group of 600 is 12 individuals.</w:t>
      </w:r>
    </w:p>
    <w:p w:rsidR="00AD77BB" w:rsidRDefault="00B45BA0">
      <w:pPr>
        <w:numPr>
          <w:ilvl w:val="1"/>
          <w:numId w:val="11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Instead of testing all 600 blood samples to find the expected 12 diseased individuals, investigators group the samples into 60 groups of 10 each, mix a little of the blood from each of the 10 samples in each group, and test each of the 60 mixtures. Show that the probability that any such mixture will contain the blood of at least one diseased person, hence test positive, is about 0.18.</w:t>
      </w:r>
    </w:p>
    <w:p w:rsidR="00AD77BB" w:rsidRDefault="00B45BA0">
      <w:pPr>
        <w:numPr>
          <w:ilvl w:val="1"/>
          <w:numId w:val="11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Based on the result in (b), show that the expected number of mixtures that test positive is about 11. (Supposing that indeed 11 of the 60 mixtures test positive, then we know that none of the </w:t>
      </w:r>
      <w:r>
        <w:rPr>
          <w:rFonts w:ascii="Calibri" w:eastAsia="Times New Roman" w:hAnsi="Calibri" w:cs="Times New Roman"/>
          <w:color w:val="333333"/>
          <w:sz w:val="20"/>
          <w:szCs w:val="20"/>
        </w:rPr>
        <w:lastRenderedPageBreak/>
        <w:t>490 persons whose blood was in the remaining 49 samples that tested negative has the disease. We have eliminated 490 persons from our search while performing only 60 tests.)</w:t>
      </w:r>
    </w:p>
    <w:p w:rsidR="00AD77BB" w:rsidRDefault="00B45BA0">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7A57A7B5" wp14:editId="0FC9C531">
            <wp:extent cx="5029200" cy="5572125"/>
            <wp:effectExtent l="0" t="0" r="0" b="9525"/>
            <wp:docPr id="141"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029200" cy="5572125"/>
                    </a:xfrm>
                    <a:prstGeom prst="rect">
                      <a:avLst/>
                    </a:prstGeom>
                    <a:noFill/>
                    <a:ln>
                      <a:noFill/>
                    </a:ln>
                  </pic:spPr>
                </pic:pic>
              </a:graphicData>
            </a:graphic>
          </wp:inline>
        </w:drawing>
      </w:r>
    </w:p>
    <w:p w:rsidR="00AD77BB" w:rsidRDefault="00B45BA0">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A9E94A2" wp14:editId="40B8EEA8">
            <wp:extent cx="5019675" cy="5972175"/>
            <wp:effectExtent l="0" t="0" r="9525" b="9525"/>
            <wp:docPr id="142"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019675" cy="5972175"/>
                    </a:xfrm>
                    <a:prstGeom prst="rect">
                      <a:avLst/>
                    </a:prstGeom>
                    <a:noFill/>
                    <a:ln>
                      <a:noFill/>
                    </a:ln>
                  </pic:spPr>
                </pic:pic>
              </a:graphicData>
            </a:graphic>
          </wp:inline>
        </w:drawing>
      </w:r>
    </w:p>
    <w:p w:rsidR="00AD77BB" w:rsidRDefault="00B45BA0">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11A87AC7" wp14:editId="077ACC4F">
            <wp:extent cx="5019675" cy="2152650"/>
            <wp:effectExtent l="0" t="0" r="9525" b="0"/>
            <wp:docPr id="143"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019675" cy="2152650"/>
                    </a:xfrm>
                    <a:prstGeom prst="rect">
                      <a:avLst/>
                    </a:prstGeom>
                    <a:noFill/>
                    <a:ln>
                      <a:noFill/>
                    </a:ln>
                  </pic:spPr>
                </pic:pic>
              </a:graphicData>
            </a:graphic>
          </wp:inline>
        </w:drawing>
      </w:r>
    </w:p>
    <w:p w:rsidR="00AD77BB" w:rsidRDefault="00B45BA0">
      <w:pPr>
        <w:shd w:val="clear" w:color="auto" w:fill="FFFFFF"/>
        <w:spacing w:after="0" w:line="240" w:lineRule="atLeast"/>
        <w:jc w:val="center"/>
        <w:textAlignment w:val="baseline"/>
        <w:outlineLvl w:val="0"/>
        <w:rPr>
          <w:rFonts w:ascii="Calibri" w:eastAsia="Times New Roman" w:hAnsi="Calibri" w:cs="Times New Roman"/>
          <w:b/>
          <w:bCs/>
          <w:color w:val="000000"/>
          <w:kern w:val="36"/>
          <w:sz w:val="38"/>
          <w:szCs w:val="38"/>
        </w:rPr>
      </w:pPr>
      <w:r>
        <w:rPr>
          <w:rFonts w:ascii="Calibri" w:eastAsia="Times New Roman" w:hAnsi="Calibri" w:cs="Times New Roman"/>
          <w:b/>
          <w:bCs/>
          <w:color w:val="000000"/>
          <w:kern w:val="36"/>
          <w:sz w:val="38"/>
          <w:szCs w:val="38"/>
        </w:rPr>
        <w:lastRenderedPageBreak/>
        <w:t>Chapter 5</w:t>
      </w:r>
    </w:p>
    <w:p w:rsidR="00AD77BB" w:rsidRDefault="00B45BA0">
      <w:pPr>
        <w:shd w:val="clear" w:color="auto" w:fill="FFFFFF"/>
        <w:spacing w:after="0" w:line="240" w:lineRule="atLeast"/>
        <w:jc w:val="center"/>
        <w:textAlignment w:val="baseline"/>
        <w:outlineLvl w:val="0"/>
        <w:rPr>
          <w:rFonts w:ascii="Calibri" w:eastAsia="Times New Roman" w:hAnsi="Calibri" w:cs="Times New Roman"/>
          <w:b/>
          <w:bCs/>
          <w:color w:val="08629A"/>
          <w:kern w:val="36"/>
          <w:sz w:val="41"/>
          <w:szCs w:val="41"/>
        </w:rPr>
      </w:pPr>
      <w:r>
        <w:rPr>
          <w:rFonts w:ascii="Calibri" w:eastAsia="Times New Roman" w:hAnsi="Calibri" w:cs="Times New Roman"/>
          <w:b/>
          <w:bCs/>
          <w:color w:val="08629A"/>
          <w:kern w:val="36"/>
          <w:sz w:val="41"/>
          <w:szCs w:val="41"/>
        </w:rPr>
        <w:t>Continuous Random Variables</w:t>
      </w:r>
    </w:p>
    <w:p w:rsidR="00AD77BB" w:rsidRDefault="00AD77BB">
      <w:pPr>
        <w:shd w:val="clear" w:color="auto" w:fill="FFFFFF"/>
        <w:spacing w:after="0" w:line="240" w:lineRule="atLeast"/>
        <w:jc w:val="center"/>
        <w:textAlignment w:val="baseline"/>
        <w:outlineLvl w:val="0"/>
        <w:rPr>
          <w:rFonts w:ascii="Calibri" w:eastAsia="Times New Roman" w:hAnsi="Calibri" w:cs="Times New Roman"/>
          <w:b/>
          <w:bCs/>
          <w:color w:val="08629A"/>
          <w:kern w:val="36"/>
          <w:sz w:val="41"/>
          <w:szCs w:val="4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As discussed in </w:t>
      </w:r>
      <w:r>
        <w:rPr>
          <w:rFonts w:ascii="Georgia" w:eastAsia="Times New Roman" w:hAnsi="Georgia" w:cs="Times New Roman"/>
          <w:color w:val="2689C6"/>
          <w:sz w:val="21"/>
          <w:szCs w:val="21"/>
        </w:rPr>
        <w:t>Section 4.1 "Random Variables"</w:t>
      </w:r>
      <w:r>
        <w:rPr>
          <w:rFonts w:ascii="Georgia" w:eastAsia="Times New Roman" w:hAnsi="Georgia" w:cs="Times New Roman"/>
          <w:color w:val="333333"/>
          <w:sz w:val="21"/>
          <w:szCs w:val="21"/>
        </w:rPr>
        <w:t> in </w:t>
      </w:r>
      <w:r>
        <w:rPr>
          <w:rFonts w:ascii="Georgia" w:eastAsia="Times New Roman" w:hAnsi="Georgia" w:cs="Times New Roman"/>
          <w:color w:val="2689C6"/>
          <w:sz w:val="21"/>
          <w:szCs w:val="21"/>
        </w:rPr>
        <w:t>Chapter 4 "Discrete Random Variables"</w:t>
      </w:r>
      <w:r>
        <w:rPr>
          <w:rFonts w:ascii="Georgia" w:eastAsia="Times New Roman" w:hAnsi="Georgia" w:cs="Times New Roman"/>
          <w:color w:val="333333"/>
          <w:sz w:val="21"/>
          <w:szCs w:val="21"/>
        </w:rPr>
        <w:t>, a random variable is called </w:t>
      </w:r>
      <w:r>
        <w:rPr>
          <w:rFonts w:ascii="Georgia" w:eastAsia="Times New Roman" w:hAnsi="Georgia" w:cs="Times New Roman"/>
          <w:i/>
          <w:iCs/>
          <w:color w:val="333333"/>
          <w:sz w:val="20"/>
          <w:szCs w:val="20"/>
        </w:rPr>
        <w:t>continuous</w:t>
      </w:r>
      <w:r>
        <w:rPr>
          <w:rFonts w:ascii="Georgia" w:eastAsia="Times New Roman" w:hAnsi="Georgia" w:cs="Times New Roman"/>
          <w:color w:val="333333"/>
          <w:sz w:val="21"/>
          <w:szCs w:val="21"/>
        </w:rPr>
        <w:t> if its set of possible values contains a whole interval of decimal numbers. In this chapter we investigate such random variables.</w:t>
      </w:r>
    </w:p>
    <w:p w:rsidR="00AD77BB" w:rsidRDefault="00B45B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5.1</w:t>
      </w:r>
      <w:r>
        <w:rPr>
          <w:rStyle w:val="apple-converted-space"/>
          <w:rFonts w:ascii="Calibri" w:hAnsi="Calibri"/>
          <w:color w:val="333333"/>
        </w:rPr>
        <w:t> </w:t>
      </w:r>
      <w:r>
        <w:rPr>
          <w:rFonts w:ascii="Calibri" w:hAnsi="Calibri"/>
          <w:color w:val="333333"/>
        </w:rPr>
        <w:t>Continuous Random Variables</w:t>
      </w:r>
    </w:p>
    <w:p w:rsidR="00AD77BB" w:rsidRDefault="00AD77BB"/>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AD77BB" w:rsidRDefault="00B45BA0">
      <w:pPr>
        <w:numPr>
          <w:ilvl w:val="0"/>
          <w:numId w:val="117"/>
        </w:numPr>
        <w:shd w:val="clear" w:color="auto" w:fill="EAE9DC"/>
        <w:spacing w:after="0" w:line="360" w:lineRule="auto"/>
        <w:ind w:left="360" w:right="375"/>
        <w:textAlignment w:val="baseline"/>
        <w:rPr>
          <w:rFonts w:ascii="Calibri" w:hAnsi="Calibri"/>
          <w:color w:val="333333"/>
          <w:sz w:val="20"/>
          <w:szCs w:val="20"/>
        </w:rPr>
      </w:pPr>
      <w:r>
        <w:rPr>
          <w:rFonts w:ascii="Calibri" w:hAnsi="Calibri"/>
          <w:color w:val="333333"/>
          <w:sz w:val="20"/>
          <w:szCs w:val="20"/>
        </w:rPr>
        <w:t>To learn the concept of the probability distribution of a continuous random variable, and how it is used to compute probabilities.</w:t>
      </w:r>
    </w:p>
    <w:p w:rsidR="00AD77BB" w:rsidRDefault="00B45BA0">
      <w:pPr>
        <w:numPr>
          <w:ilvl w:val="0"/>
          <w:numId w:val="117"/>
        </w:numPr>
        <w:shd w:val="clear" w:color="auto" w:fill="EAE9DC"/>
        <w:spacing w:after="0" w:line="360" w:lineRule="auto"/>
        <w:ind w:left="360" w:right="375"/>
        <w:textAlignment w:val="baseline"/>
        <w:rPr>
          <w:rFonts w:ascii="Calibri" w:hAnsi="Calibri"/>
          <w:color w:val="333333"/>
          <w:sz w:val="20"/>
          <w:szCs w:val="20"/>
        </w:rPr>
      </w:pPr>
      <w:r>
        <w:rPr>
          <w:rFonts w:ascii="Calibri" w:hAnsi="Calibri"/>
          <w:color w:val="333333"/>
          <w:sz w:val="20"/>
          <w:szCs w:val="20"/>
        </w:rPr>
        <w:t>To learn basic facts about the family of normally distributed random variables.</w:t>
      </w:r>
    </w:p>
    <w:p w:rsidR="00AD77BB" w:rsidRDefault="00AD77BB">
      <w:pPr>
        <w:pStyle w:val="Heading2"/>
        <w:shd w:val="clear" w:color="auto" w:fill="FFFFFF"/>
        <w:spacing w:before="0" w:line="360" w:lineRule="auto"/>
        <w:textAlignment w:val="baseline"/>
        <w:rPr>
          <w:rFonts w:ascii="Calibri" w:hAnsi="Calibri"/>
          <w:color w:val="333333"/>
          <w:sz w:val="28"/>
          <w:szCs w:val="28"/>
        </w:rPr>
      </w:pPr>
    </w:p>
    <w:p w:rsidR="00AD77BB" w:rsidRDefault="00B45BA0">
      <w:pPr>
        <w:pStyle w:val="Heading2"/>
        <w:shd w:val="clear" w:color="auto" w:fill="FFFFFF"/>
        <w:spacing w:before="0" w:line="360" w:lineRule="auto"/>
        <w:textAlignment w:val="baseline"/>
        <w:rPr>
          <w:rFonts w:ascii="Calibri" w:hAnsi="Calibri"/>
          <w:color w:val="333333"/>
          <w:sz w:val="28"/>
          <w:szCs w:val="28"/>
        </w:rPr>
      </w:pPr>
      <w:r>
        <w:rPr>
          <w:rFonts w:ascii="Calibri" w:hAnsi="Calibri"/>
          <w:color w:val="333333"/>
          <w:sz w:val="28"/>
          <w:szCs w:val="28"/>
        </w:rPr>
        <w:t>The Probability Distribution of a Continuous Random Variable</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For a discrete random variable</w:t>
      </w:r>
      <w:r>
        <w:rPr>
          <w:rStyle w:val="apple-converted-space"/>
          <w:rFonts w:ascii="Georgia" w:hAnsi="Georgia"/>
          <w:color w:val="333333"/>
          <w:sz w:val="20"/>
          <w:szCs w:val="20"/>
        </w:rPr>
        <w:t> </w:t>
      </w:r>
      <w:r>
        <w:rPr>
          <w:rStyle w:val="Emphasis"/>
          <w:rFonts w:ascii="Georgia" w:hAnsi="Georgia"/>
          <w:color w:val="333333"/>
          <w:sz w:val="20"/>
          <w:szCs w:val="20"/>
        </w:rPr>
        <w:t>X</w:t>
      </w:r>
      <w:r>
        <w:rPr>
          <w:rStyle w:val="apple-converted-space"/>
          <w:rFonts w:ascii="Georgia" w:hAnsi="Georgia"/>
          <w:color w:val="333333"/>
          <w:sz w:val="20"/>
          <w:szCs w:val="20"/>
        </w:rPr>
        <w:t> </w:t>
      </w:r>
      <w:r>
        <w:rPr>
          <w:rFonts w:ascii="Georgia" w:hAnsi="Georgia"/>
          <w:color w:val="333333"/>
          <w:sz w:val="20"/>
          <w:szCs w:val="20"/>
        </w:rPr>
        <w:t>the probability that</w:t>
      </w:r>
      <w:r>
        <w:rPr>
          <w:rStyle w:val="apple-converted-space"/>
          <w:rFonts w:ascii="Georgia" w:hAnsi="Georgia"/>
          <w:color w:val="333333"/>
          <w:sz w:val="20"/>
          <w:szCs w:val="20"/>
        </w:rPr>
        <w:t> </w:t>
      </w:r>
      <w:r>
        <w:rPr>
          <w:rStyle w:val="Emphasis"/>
          <w:rFonts w:ascii="Georgia" w:hAnsi="Georgia"/>
          <w:color w:val="333333"/>
          <w:sz w:val="20"/>
          <w:szCs w:val="20"/>
        </w:rPr>
        <w:t>X</w:t>
      </w:r>
      <w:r>
        <w:rPr>
          <w:rStyle w:val="apple-converted-space"/>
          <w:rFonts w:ascii="Georgia" w:hAnsi="Georgia"/>
          <w:color w:val="333333"/>
          <w:sz w:val="20"/>
          <w:szCs w:val="20"/>
        </w:rPr>
        <w:t> </w:t>
      </w:r>
      <w:r>
        <w:rPr>
          <w:rFonts w:ascii="Georgia" w:hAnsi="Georgia"/>
          <w:color w:val="333333"/>
          <w:sz w:val="20"/>
          <w:szCs w:val="20"/>
        </w:rPr>
        <w:t>assumes one of its possible values on a single trial of the experiment makes good sense. This is not the case for a continuous random variable. For example, suppose</w:t>
      </w:r>
      <w:r>
        <w:rPr>
          <w:rStyle w:val="apple-converted-space"/>
          <w:rFonts w:ascii="Georgia" w:hAnsi="Georgia"/>
          <w:color w:val="333333"/>
          <w:sz w:val="20"/>
          <w:szCs w:val="20"/>
        </w:rPr>
        <w:t> </w:t>
      </w:r>
      <w:r>
        <w:rPr>
          <w:rStyle w:val="Emphasis"/>
          <w:rFonts w:ascii="Georgia" w:hAnsi="Georgia"/>
          <w:color w:val="333333"/>
          <w:sz w:val="20"/>
          <w:szCs w:val="20"/>
        </w:rPr>
        <w:t>X</w:t>
      </w:r>
      <w:r>
        <w:rPr>
          <w:rStyle w:val="apple-converted-space"/>
          <w:rFonts w:ascii="Georgia" w:hAnsi="Georgia"/>
          <w:color w:val="333333"/>
          <w:sz w:val="20"/>
          <w:szCs w:val="20"/>
        </w:rPr>
        <w:t> </w:t>
      </w:r>
      <w:r>
        <w:rPr>
          <w:rFonts w:ascii="Georgia" w:hAnsi="Georgia"/>
          <w:color w:val="333333"/>
          <w:sz w:val="20"/>
          <w:szCs w:val="20"/>
        </w:rPr>
        <w:t xml:space="preserve">denotes the length of time a commuter just arriving at a bus stop has to wait for the next bus. If buses run every 30 minutes without fail, then the set of possible values of </w:t>
      </w:r>
      <w:r>
        <w:rPr>
          <w:rStyle w:val="Emphasis"/>
          <w:rFonts w:ascii="Georgia" w:hAnsi="Georgia"/>
          <w:color w:val="333333"/>
          <w:sz w:val="20"/>
          <w:szCs w:val="20"/>
        </w:rPr>
        <w:t>X</w:t>
      </w:r>
      <w:r>
        <w:rPr>
          <w:rStyle w:val="apple-converted-space"/>
          <w:rFonts w:ascii="Georgia" w:hAnsi="Georgia"/>
          <w:color w:val="333333"/>
          <w:sz w:val="20"/>
          <w:szCs w:val="20"/>
        </w:rPr>
        <w:t> </w:t>
      </w:r>
      <w:r>
        <w:rPr>
          <w:rFonts w:ascii="Georgia" w:hAnsi="Georgia"/>
          <w:color w:val="333333"/>
          <w:sz w:val="20"/>
          <w:szCs w:val="20"/>
        </w:rPr>
        <w:t>is the interval denoted</w:t>
      </w:r>
      <w:r>
        <w:rPr>
          <w:rStyle w:val="apple-converted-space"/>
          <w:rFonts w:ascii="Georgia" w:hAnsi="Georgia"/>
          <w:color w:val="333333"/>
          <w:sz w:val="20"/>
          <w:szCs w:val="20"/>
        </w:rPr>
        <w:t> </w:t>
      </w:r>
      <w:r>
        <w:rPr>
          <w:rStyle w:val="mo"/>
          <w:rFonts w:ascii="MathJax_Main" w:hAnsi="MathJax_Main"/>
          <w:b/>
          <w:color w:val="333333"/>
          <w:sz w:val="18"/>
          <w:szCs w:val="18"/>
        </w:rPr>
        <w:t>[</w:t>
      </w:r>
      <w:r>
        <w:rPr>
          <w:rStyle w:val="mn"/>
          <w:rFonts w:ascii="MathJax_Main" w:hAnsi="MathJax_Main"/>
          <w:b/>
          <w:color w:val="333333"/>
          <w:sz w:val="18"/>
          <w:szCs w:val="18"/>
        </w:rPr>
        <w:t>0,30</w:t>
      </w:r>
      <w:r>
        <w:rPr>
          <w:rStyle w:val="mo"/>
          <w:rFonts w:ascii="MathJax_Main" w:hAnsi="MathJax_Main"/>
          <w:b/>
          <w:color w:val="333333"/>
          <w:sz w:val="18"/>
          <w:szCs w:val="18"/>
        </w:rPr>
        <w:t>]</w:t>
      </w:r>
      <w:r>
        <w:rPr>
          <w:rFonts w:ascii="Georgia" w:hAnsi="Georgia"/>
          <w:b/>
          <w:color w:val="333333"/>
          <w:sz w:val="20"/>
          <w:szCs w:val="20"/>
        </w:rPr>
        <w:t>,</w:t>
      </w:r>
      <w:r>
        <w:rPr>
          <w:rFonts w:ascii="Georgia" w:hAnsi="Georgia"/>
          <w:color w:val="333333"/>
          <w:sz w:val="20"/>
          <w:szCs w:val="20"/>
        </w:rPr>
        <w:t xml:space="preserve"> the set of all decimal numbers between 0 and 30. But although the number 7.211916 is a possible value of</w:t>
      </w:r>
      <w:r>
        <w:rPr>
          <w:rStyle w:val="apple-converted-space"/>
          <w:rFonts w:ascii="Georgia" w:hAnsi="Georgia"/>
          <w:color w:val="333333"/>
          <w:sz w:val="20"/>
          <w:szCs w:val="20"/>
        </w:rPr>
        <w:t> </w:t>
      </w:r>
      <w:r>
        <w:rPr>
          <w:rStyle w:val="Emphasis"/>
          <w:rFonts w:ascii="Georgia" w:hAnsi="Georgia"/>
          <w:color w:val="333333"/>
          <w:sz w:val="20"/>
          <w:szCs w:val="20"/>
        </w:rPr>
        <w:t>X</w:t>
      </w:r>
      <w:r>
        <w:rPr>
          <w:rFonts w:ascii="Georgia" w:hAnsi="Georgia"/>
          <w:color w:val="333333"/>
          <w:sz w:val="20"/>
          <w:szCs w:val="20"/>
        </w:rPr>
        <w:t>, there is little or no meaning to the concept of the probability that the commuter will wait precisely 7.211916 minutes for the next bus. If anything the probability should be zero, since if we could meaningfully measure the waiting time to the nearest millionth of a minute it is practically inconceivable that we would ever get</w:t>
      </w:r>
      <w:r>
        <w:rPr>
          <w:rStyle w:val="apple-converted-space"/>
          <w:rFonts w:ascii="Georgia" w:hAnsi="Georgia"/>
          <w:color w:val="333333"/>
          <w:sz w:val="20"/>
          <w:szCs w:val="20"/>
        </w:rPr>
        <w:t> </w:t>
      </w:r>
      <w:r>
        <w:rPr>
          <w:rStyle w:val="Emphasis"/>
          <w:rFonts w:ascii="Georgia" w:hAnsi="Georgia"/>
          <w:color w:val="333333"/>
          <w:sz w:val="20"/>
          <w:szCs w:val="20"/>
        </w:rPr>
        <w:t xml:space="preserve">exactly </w:t>
      </w:r>
      <w:r>
        <w:rPr>
          <w:rFonts w:ascii="Georgia" w:hAnsi="Georgia"/>
          <w:color w:val="333333"/>
          <w:sz w:val="20"/>
          <w:szCs w:val="20"/>
        </w:rPr>
        <w:t>7.211916 minutes. More meaningful questions are those of the form: What is the probability that the commuter's waiting time is less than 10 minutes, or is between 5 and 10 minutes? In other words, with continuous random variables one is concerned not with the event that the variable assumes a single particular value, but with the event that the random variable assumes a value in a particular interval.</w:t>
      </w:r>
    </w:p>
    <w:p w:rsidR="00AD77BB" w:rsidRDefault="00B45BA0">
      <w:pPr>
        <w:pStyle w:val="Heading3"/>
        <w:spacing w:before="0" w:beforeAutospacing="0" w:after="0" w:afterAutospacing="0" w:line="264" w:lineRule="atLeast"/>
        <w:textAlignment w:val="baseline"/>
        <w:rPr>
          <w:rFonts w:ascii="Calibri" w:hAnsi="Calibri"/>
          <w:color w:val="333333"/>
          <w:sz w:val="31"/>
          <w:szCs w:val="31"/>
        </w:rPr>
      </w:pPr>
      <w:r>
        <w:rPr>
          <w:rFonts w:ascii="Calibri" w:hAnsi="Calibri"/>
          <w:color w:val="333333"/>
          <w:sz w:val="31"/>
          <w:szCs w:val="31"/>
        </w:rPr>
        <w:t>Definition</w:t>
      </w:r>
    </w:p>
    <w:p w:rsidR="00AD77BB" w:rsidRDefault="00AD77BB">
      <w:pPr>
        <w:pStyle w:val="Heading3"/>
        <w:spacing w:before="0" w:beforeAutospacing="0" w:after="0" w:afterAutospacing="0" w:line="264" w:lineRule="atLeast"/>
        <w:textAlignment w:val="baseline"/>
        <w:rPr>
          <w:rFonts w:ascii="Calibri" w:hAnsi="Calibri"/>
          <w:color w:val="333333"/>
          <w:sz w:val="31"/>
          <w:szCs w:val="31"/>
        </w:rPr>
      </w:pPr>
    </w:p>
    <w:p w:rsidR="00AD77BB" w:rsidRDefault="00B45BA0">
      <w:pPr>
        <w:pStyle w:val="para"/>
        <w:spacing w:before="0" w:beforeAutospacing="0" w:after="0" w:afterAutospacing="0" w:line="360" w:lineRule="auto"/>
        <w:textAlignment w:val="baseline"/>
        <w:rPr>
          <w:rFonts w:ascii="Georgia" w:hAnsi="Georgia"/>
          <w:color w:val="333333"/>
          <w:sz w:val="21"/>
          <w:szCs w:val="21"/>
        </w:rPr>
      </w:pPr>
      <w:r>
        <w:rPr>
          <w:rStyle w:val="Emphasis"/>
          <w:rFonts w:ascii="Georgia" w:hAnsi="Georgia"/>
          <w:color w:val="333333"/>
          <w:sz w:val="20"/>
          <w:szCs w:val="20"/>
        </w:rPr>
        <w:t>The</w:t>
      </w:r>
      <w:r>
        <w:rPr>
          <w:rStyle w:val="apple-converted-space"/>
          <w:rFonts w:ascii="Georgia" w:hAnsi="Georgia"/>
          <w:color w:val="333333"/>
          <w:sz w:val="21"/>
          <w:szCs w:val="21"/>
        </w:rPr>
        <w:t> </w:t>
      </w:r>
      <w:r>
        <w:rPr>
          <w:rStyle w:val="Strong"/>
          <w:rFonts w:ascii="Georgia" w:eastAsiaTheme="majorEastAsia" w:hAnsi="Georgia"/>
          <w:color w:val="333333"/>
          <w:sz w:val="20"/>
          <w:szCs w:val="20"/>
        </w:rPr>
        <w:t>probability distribution of a continuous random variable</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Style w:val="Emphasis"/>
          <w:rFonts w:ascii="Georgia" w:hAnsi="Georgia"/>
          <w:color w:val="333333"/>
          <w:sz w:val="20"/>
          <w:szCs w:val="20"/>
        </w:rPr>
        <w:t>is an assignment of probabilities to intervals of decimal numbers using a function</w:t>
      </w:r>
      <w:r>
        <w:rPr>
          <w:rStyle w:val="apple-converted-space"/>
          <w:rFonts w:ascii="Georgia" w:hAnsi="Georgia"/>
          <w:color w:val="333333"/>
          <w:sz w:val="21"/>
          <w:szCs w:val="21"/>
        </w:rPr>
        <w:t> </w:t>
      </w:r>
      <w:r>
        <w:rPr>
          <w:rStyle w:val="mi"/>
          <w:rFonts w:ascii="MathJax_Math" w:hAnsi="MathJax_Math"/>
          <w:i/>
          <w:iCs/>
          <w:color w:val="333333"/>
          <w:sz w:val="18"/>
          <w:szCs w:val="18"/>
        </w:rPr>
        <w:t>f</w:t>
      </w:r>
      <w:r>
        <w:rPr>
          <w:rStyle w:val="mo"/>
          <w:rFonts w:ascii="MathJax_Main" w:hAnsi="MathJax_Main"/>
          <w:color w:val="333333"/>
          <w:sz w:val="18"/>
          <w:szCs w:val="18"/>
        </w:rPr>
        <w:t>(</w:t>
      </w:r>
      <w:r>
        <w:rPr>
          <w:rStyle w:val="mi"/>
          <w:rFonts w:ascii="MathJax_Math" w:hAnsi="MathJax_Math"/>
          <w:i/>
          <w:iCs/>
          <w:color w:val="333333"/>
          <w:sz w:val="18"/>
          <w:szCs w:val="18"/>
        </w:rPr>
        <w:t>x</w:t>
      </w:r>
      <w:r>
        <w:rPr>
          <w:rStyle w:val="mo"/>
          <w:rFonts w:ascii="MathJax_Main" w:hAnsi="MathJax_Main"/>
          <w:color w:val="333333"/>
          <w:sz w:val="18"/>
          <w:szCs w:val="18"/>
        </w:rPr>
        <w:t>)</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called a</w:t>
      </w:r>
      <w:r>
        <w:rPr>
          <w:rStyle w:val="apple-converted-space"/>
          <w:rFonts w:ascii="Georgia" w:hAnsi="Georgia"/>
          <w:color w:val="333333"/>
          <w:sz w:val="21"/>
          <w:szCs w:val="21"/>
        </w:rPr>
        <w:t> </w:t>
      </w:r>
      <w:r>
        <w:rPr>
          <w:rStyle w:val="marginterm"/>
          <w:rFonts w:ascii="Georgia" w:hAnsi="Georgia"/>
          <w:b/>
          <w:color w:val="333333"/>
          <w:sz w:val="20"/>
          <w:szCs w:val="20"/>
        </w:rPr>
        <w:t>density function</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in the following way: the probability that</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Style w:val="Emphasis"/>
          <w:rFonts w:ascii="Georgia" w:hAnsi="Georgia"/>
          <w:color w:val="333333"/>
          <w:sz w:val="20"/>
          <w:szCs w:val="20"/>
        </w:rPr>
        <w:t>assumes a value in the interval</w:t>
      </w:r>
      <w:r>
        <w:rPr>
          <w:rStyle w:val="apple-converted-space"/>
          <w:rFonts w:ascii="Georgia" w:hAnsi="Georgia"/>
          <w:color w:val="333333"/>
          <w:sz w:val="21"/>
          <w:szCs w:val="21"/>
        </w:rPr>
        <w:t> </w:t>
      </w:r>
      <w:r>
        <w:rPr>
          <w:rStyle w:val="mo"/>
          <w:rFonts w:ascii="MathJax_Main" w:hAnsi="MathJax_Main"/>
          <w:color w:val="333333"/>
          <w:sz w:val="18"/>
          <w:szCs w:val="18"/>
        </w:rPr>
        <w:t>[</w:t>
      </w:r>
      <w:r>
        <w:rPr>
          <w:rStyle w:val="mi"/>
          <w:rFonts w:ascii="MathJax_Math" w:hAnsi="MathJax_Math"/>
          <w:i/>
          <w:iCs/>
          <w:color w:val="333333"/>
          <w:sz w:val="18"/>
          <w:szCs w:val="18"/>
        </w:rPr>
        <w:t>a</w:t>
      </w:r>
      <w:r>
        <w:rPr>
          <w:rStyle w:val="mo"/>
          <w:rFonts w:ascii="MathJax_Main" w:hAnsi="MathJax_Main"/>
          <w:color w:val="333333"/>
          <w:sz w:val="18"/>
          <w:szCs w:val="18"/>
        </w:rPr>
        <w:t>,</w:t>
      </w:r>
      <w:r>
        <w:rPr>
          <w:rStyle w:val="mi"/>
          <w:rFonts w:ascii="MathJax_Math" w:hAnsi="MathJax_Math"/>
          <w:i/>
          <w:iCs/>
          <w:color w:val="333333"/>
          <w:sz w:val="18"/>
          <w:szCs w:val="18"/>
        </w:rPr>
        <w:t>b</w:t>
      </w:r>
      <w:r>
        <w:rPr>
          <w:rStyle w:val="mo"/>
          <w:rFonts w:ascii="MathJax_Main" w:hAnsi="MathJax_Main"/>
          <w:color w:val="333333"/>
          <w:sz w:val="18"/>
          <w:szCs w:val="18"/>
        </w:rPr>
        <w:t>]</w:t>
      </w:r>
      <w:r>
        <w:rPr>
          <w:rStyle w:val="apple-converted-space"/>
          <w:rFonts w:ascii="Georgia" w:hAnsi="Georgia"/>
          <w:color w:val="333333"/>
          <w:sz w:val="21"/>
          <w:szCs w:val="21"/>
        </w:rPr>
        <w:t> </w:t>
      </w:r>
      <w:r>
        <w:rPr>
          <w:rStyle w:val="Emphasis"/>
          <w:rFonts w:ascii="Georgia" w:hAnsi="Georgia"/>
          <w:color w:val="333333"/>
          <w:sz w:val="20"/>
          <w:szCs w:val="20"/>
        </w:rPr>
        <w:t>is equal to the area of the region that is bounded above by the graph of the equation</w:t>
      </w:r>
      <w:r>
        <w:rPr>
          <w:rStyle w:val="apple-converted-space"/>
          <w:rFonts w:ascii="Georgia" w:hAnsi="Georgia"/>
          <w:color w:val="333333"/>
          <w:sz w:val="21"/>
          <w:szCs w:val="21"/>
        </w:rPr>
        <w:t> </w:t>
      </w:r>
      <w:r>
        <w:rPr>
          <w:rStyle w:val="mi"/>
          <w:rFonts w:ascii="MathJax_Math" w:hAnsi="MathJax_Math"/>
          <w:i/>
          <w:iCs/>
          <w:color w:val="333333"/>
          <w:sz w:val="18"/>
          <w:szCs w:val="18"/>
        </w:rPr>
        <w:t>y</w:t>
      </w:r>
      <w:r>
        <w:rPr>
          <w:rStyle w:val="mo"/>
          <w:rFonts w:ascii="MathJax_Main" w:hAnsi="MathJax_Main"/>
          <w:color w:val="333333"/>
          <w:sz w:val="18"/>
          <w:szCs w:val="18"/>
        </w:rPr>
        <w:t>=</w:t>
      </w:r>
      <w:r>
        <w:rPr>
          <w:rStyle w:val="mi"/>
          <w:rFonts w:ascii="MathJax_Math" w:hAnsi="MathJax_Math"/>
          <w:i/>
          <w:iCs/>
          <w:color w:val="333333"/>
          <w:sz w:val="18"/>
          <w:szCs w:val="18"/>
        </w:rPr>
        <w:t>f</w:t>
      </w:r>
      <w:r>
        <w:rPr>
          <w:rStyle w:val="mo"/>
          <w:rFonts w:ascii="MathJax_Main" w:hAnsi="MathJax_Main"/>
          <w:color w:val="333333"/>
          <w:sz w:val="18"/>
          <w:szCs w:val="18"/>
        </w:rPr>
        <w:t>(</w:t>
      </w:r>
      <w:r>
        <w:rPr>
          <w:rStyle w:val="mi"/>
          <w:rFonts w:ascii="MathJax_Math" w:hAnsi="MathJax_Math"/>
          <w:i/>
          <w:iCs/>
          <w:color w:val="333333"/>
          <w:sz w:val="18"/>
          <w:szCs w:val="18"/>
        </w:rPr>
        <w:t>x</w:t>
      </w:r>
      <w:r>
        <w:rPr>
          <w:rStyle w:val="mo"/>
          <w:rFonts w:ascii="MathJax_Main" w:hAnsi="MathJax_Main"/>
          <w:color w:val="333333"/>
          <w:sz w:val="18"/>
          <w:szCs w:val="18"/>
        </w:rPr>
        <w:t>)</w:t>
      </w:r>
      <w:r>
        <w:rPr>
          <w:rFonts w:ascii="Georgia" w:hAnsi="Georgia"/>
          <w:color w:val="333333"/>
          <w:sz w:val="21"/>
          <w:szCs w:val="21"/>
        </w:rPr>
        <w:t>,</w:t>
      </w:r>
      <w:r>
        <w:rPr>
          <w:rStyle w:val="Emphasis"/>
          <w:rFonts w:ascii="Georgia" w:hAnsi="Georgia"/>
          <w:color w:val="333333"/>
          <w:sz w:val="20"/>
          <w:szCs w:val="20"/>
        </w:rPr>
        <w:t>bounded below by the</w:t>
      </w:r>
      <w:r>
        <w:rPr>
          <w:rStyle w:val="apple-converted-space"/>
          <w:rFonts w:ascii="Georgia" w:hAnsi="Georgia"/>
          <w:color w:val="333333"/>
          <w:sz w:val="21"/>
          <w:szCs w:val="21"/>
        </w:rPr>
        <w:t> </w:t>
      </w:r>
      <w:r>
        <w:rPr>
          <w:rStyle w:val="Emphasis"/>
          <w:rFonts w:ascii="Georgia" w:hAnsi="Georgia"/>
          <w:color w:val="333333"/>
          <w:sz w:val="20"/>
          <w:szCs w:val="20"/>
        </w:rPr>
        <w:t xml:space="preserve">x-axis, and </w:t>
      </w:r>
      <w:r>
        <w:rPr>
          <w:rStyle w:val="Emphasis"/>
          <w:rFonts w:ascii="Georgia" w:hAnsi="Georgia"/>
          <w:color w:val="333333"/>
          <w:sz w:val="20"/>
          <w:szCs w:val="20"/>
        </w:rPr>
        <w:lastRenderedPageBreak/>
        <w:t>bounded on the left and right by the vertical lines through</w:t>
      </w:r>
      <w:r>
        <w:rPr>
          <w:rStyle w:val="apple-converted-space"/>
          <w:rFonts w:ascii="Georgia" w:hAnsi="Georgia"/>
          <w:color w:val="333333"/>
          <w:sz w:val="21"/>
          <w:szCs w:val="21"/>
        </w:rPr>
        <w:t> </w:t>
      </w:r>
      <w:r>
        <w:rPr>
          <w:rStyle w:val="Emphasis"/>
          <w:rFonts w:ascii="Georgia" w:hAnsi="Georgia"/>
          <w:color w:val="333333"/>
          <w:sz w:val="20"/>
          <w:szCs w:val="20"/>
        </w:rPr>
        <w:t>a</w:t>
      </w:r>
      <w:r>
        <w:rPr>
          <w:rStyle w:val="apple-converted-space"/>
          <w:rFonts w:ascii="Georgia" w:hAnsi="Georgia"/>
          <w:color w:val="333333"/>
          <w:sz w:val="21"/>
          <w:szCs w:val="21"/>
        </w:rPr>
        <w:t> </w:t>
      </w:r>
      <w:r>
        <w:rPr>
          <w:rStyle w:val="Emphasis"/>
          <w:rFonts w:ascii="Georgia" w:hAnsi="Georgia"/>
          <w:color w:val="333333"/>
          <w:sz w:val="20"/>
          <w:szCs w:val="20"/>
        </w:rPr>
        <w:t>and</w:t>
      </w:r>
      <w:r>
        <w:rPr>
          <w:rStyle w:val="apple-converted-space"/>
          <w:rFonts w:ascii="Georgia" w:hAnsi="Georgia"/>
          <w:color w:val="333333"/>
          <w:sz w:val="21"/>
          <w:szCs w:val="21"/>
        </w:rPr>
        <w:t> </w:t>
      </w:r>
      <w:r>
        <w:rPr>
          <w:rStyle w:val="Emphasis"/>
          <w:rFonts w:ascii="Georgia" w:hAnsi="Georgia"/>
          <w:color w:val="333333"/>
          <w:sz w:val="20"/>
          <w:szCs w:val="20"/>
        </w:rPr>
        <w:t>b</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as illustrated in</w:t>
      </w:r>
      <w:r>
        <w:rPr>
          <w:rStyle w:val="apple-converted-space"/>
          <w:rFonts w:ascii="Georgia" w:hAnsi="Georgia"/>
          <w:i/>
          <w:iCs/>
          <w:color w:val="333333"/>
          <w:sz w:val="20"/>
          <w:szCs w:val="20"/>
        </w:rPr>
        <w:t> </w:t>
      </w:r>
      <w:r>
        <w:rPr>
          <w:rFonts w:ascii="Georgia" w:hAnsi="Georgia"/>
          <w:i/>
          <w:iCs/>
          <w:color w:val="2689C6"/>
          <w:sz w:val="20"/>
          <w:szCs w:val="20"/>
        </w:rPr>
        <w:t>Figure 5.1 "Probability Given as Area of a Region under a Curve"</w:t>
      </w:r>
      <w:r>
        <w:rPr>
          <w:rFonts w:ascii="Georgia" w:hAnsi="Georgia"/>
          <w:color w:val="333333"/>
          <w:sz w:val="21"/>
          <w:szCs w:val="21"/>
        </w:rPr>
        <w:t>.</w:t>
      </w:r>
    </w:p>
    <w:p w:rsidR="00AD77BB" w:rsidRDefault="00B45BA0">
      <w:pPr>
        <w:pStyle w:val="Title5"/>
        <w:spacing w:before="0" w:beforeAutospacing="0" w:after="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5.1</w:t>
      </w:r>
      <w:r>
        <w:rPr>
          <w:rFonts w:ascii="Georgia" w:hAnsi="Georgia"/>
          <w:i/>
          <w:iCs/>
          <w:color w:val="BB9966"/>
          <w:sz w:val="22"/>
          <w:szCs w:val="22"/>
        </w:rPr>
        <w:t>Probability Given as Area of a Region under a Curve</w:t>
      </w:r>
    </w:p>
    <w:p w:rsidR="00AD77BB" w:rsidRDefault="00B45BA0">
      <w:pPr>
        <w:spacing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14:anchorId="0CFCA607" wp14:editId="537A1E47">
            <wp:extent cx="5562600" cy="3543300"/>
            <wp:effectExtent l="0" t="0" r="0" b="0"/>
            <wp:docPr id="144" name="Picture 157" descr="http://images.flatworldknowledge.com/shafer/shafer-fig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images.flatworldknowledge.com/shafer/shafer-fig05_001.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562600" cy="3543300"/>
                    </a:xfrm>
                    <a:prstGeom prst="rect">
                      <a:avLst/>
                    </a:prstGeom>
                    <a:noFill/>
                    <a:ln>
                      <a:noFill/>
                    </a:ln>
                  </pic:spPr>
                </pic:pic>
              </a:graphicData>
            </a:graphic>
          </wp:inline>
        </w:drawing>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This definition can be understood as a natural outgrowth of the discussion in</w:t>
      </w:r>
      <w:r>
        <w:rPr>
          <w:rFonts w:ascii="Georgia" w:hAnsi="Georgia"/>
          <w:color w:val="2689C6"/>
          <w:sz w:val="21"/>
          <w:szCs w:val="21"/>
        </w:rPr>
        <w:t>Section 2.1.3 "Relative Frequency Histograms"</w:t>
      </w:r>
      <w:r>
        <w:rPr>
          <w:rStyle w:val="apple-converted-space"/>
          <w:rFonts w:ascii="Georgia" w:hAnsi="Georgia"/>
          <w:color w:val="333333"/>
          <w:sz w:val="21"/>
          <w:szCs w:val="21"/>
        </w:rPr>
        <w:t> </w:t>
      </w:r>
      <w:r>
        <w:rPr>
          <w:rFonts w:ascii="Georgia" w:hAnsi="Georgia"/>
          <w:color w:val="333333"/>
          <w:sz w:val="21"/>
          <w:szCs w:val="21"/>
        </w:rPr>
        <w:t>in</w:t>
      </w:r>
      <w:r>
        <w:rPr>
          <w:rStyle w:val="apple-converted-space"/>
          <w:rFonts w:ascii="Georgia" w:hAnsi="Georgia"/>
          <w:color w:val="333333"/>
          <w:sz w:val="21"/>
          <w:szCs w:val="21"/>
        </w:rPr>
        <w:t> </w:t>
      </w:r>
      <w:r>
        <w:rPr>
          <w:rFonts w:ascii="Georgia" w:hAnsi="Georgia"/>
          <w:color w:val="2689C6"/>
          <w:sz w:val="21"/>
          <w:szCs w:val="21"/>
        </w:rPr>
        <w:t>Chapter 2 "Descriptive Statistics"</w:t>
      </w:r>
      <w:r>
        <w:rPr>
          <w:rFonts w:ascii="Georgia" w:hAnsi="Georgia"/>
          <w:color w:val="333333"/>
          <w:sz w:val="21"/>
          <w:szCs w:val="21"/>
        </w:rPr>
        <w:t>. There we saw that if we have in view a population (or a very large sample) and make measurements with greater and greater precision, then as the bars in the relative frequency histogram become exceedingly fine their vertical sides merge and disappear, and what is left is just the curve formed by their tops, as shown in</w:t>
      </w:r>
      <w:r>
        <w:rPr>
          <w:rStyle w:val="apple-converted-space"/>
          <w:rFonts w:ascii="Georgia" w:hAnsi="Georgia"/>
          <w:color w:val="333333"/>
          <w:sz w:val="21"/>
          <w:szCs w:val="21"/>
        </w:rPr>
        <w:t> </w:t>
      </w:r>
      <w:r>
        <w:rPr>
          <w:rFonts w:ascii="Georgia" w:hAnsi="Georgia"/>
          <w:color w:val="2689C6"/>
          <w:sz w:val="21"/>
          <w:szCs w:val="21"/>
        </w:rPr>
        <w:t>Figure 2.5 "Sample Size and Relative Frequency Histograms"</w:t>
      </w:r>
      <w:r>
        <w:rPr>
          <w:rStyle w:val="apple-converted-space"/>
          <w:rFonts w:ascii="Georgia" w:hAnsi="Georgia"/>
          <w:color w:val="333333"/>
          <w:sz w:val="21"/>
          <w:szCs w:val="21"/>
        </w:rPr>
        <w:t> </w:t>
      </w:r>
      <w:r>
        <w:rPr>
          <w:rFonts w:ascii="Georgia" w:hAnsi="Georgia"/>
          <w:color w:val="333333"/>
          <w:sz w:val="21"/>
          <w:szCs w:val="21"/>
        </w:rPr>
        <w:t xml:space="preserve">in </w:t>
      </w:r>
      <w:r>
        <w:rPr>
          <w:rFonts w:ascii="Georgia" w:hAnsi="Georgia"/>
          <w:color w:val="2689C6"/>
          <w:sz w:val="21"/>
          <w:szCs w:val="21"/>
        </w:rPr>
        <w:t>Chapter 2 "Descriptive Statistics"</w:t>
      </w:r>
      <w:r>
        <w:rPr>
          <w:rFonts w:ascii="Georgia" w:hAnsi="Georgia"/>
          <w:color w:val="333333"/>
          <w:sz w:val="21"/>
          <w:szCs w:val="21"/>
        </w:rPr>
        <w:t>. Moreover the total area under the curve is 1, and the proportion of the population with measurements between two numbers</w:t>
      </w:r>
      <w:r>
        <w:rPr>
          <w:rStyle w:val="Emphasis"/>
          <w:rFonts w:ascii="Georgia" w:eastAsiaTheme="majorEastAsia" w:hAnsi="Georgia"/>
          <w:color w:val="333333"/>
          <w:sz w:val="20"/>
          <w:szCs w:val="20"/>
        </w:rPr>
        <w:t>a</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b</w:t>
      </w:r>
      <w:r>
        <w:rPr>
          <w:rStyle w:val="apple-converted-space"/>
          <w:rFonts w:ascii="Georgia" w:hAnsi="Georgia"/>
          <w:color w:val="333333"/>
          <w:sz w:val="21"/>
          <w:szCs w:val="21"/>
        </w:rPr>
        <w:t> </w:t>
      </w:r>
      <w:r>
        <w:rPr>
          <w:rFonts w:ascii="Georgia" w:hAnsi="Georgia"/>
          <w:color w:val="333333"/>
          <w:sz w:val="21"/>
          <w:szCs w:val="21"/>
        </w:rPr>
        <w:t>is the area under the curve and between</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a</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b</w:t>
      </w:r>
      <w:r>
        <w:rPr>
          <w:rFonts w:ascii="Georgia" w:hAnsi="Georgia"/>
          <w:color w:val="333333"/>
          <w:sz w:val="21"/>
          <w:szCs w:val="21"/>
        </w:rPr>
        <w:t>, as shown in</w:t>
      </w:r>
      <w:r>
        <w:rPr>
          <w:rStyle w:val="apple-converted-space"/>
          <w:rFonts w:ascii="Georgia" w:hAnsi="Georgia"/>
          <w:color w:val="333333"/>
          <w:sz w:val="21"/>
          <w:szCs w:val="21"/>
        </w:rPr>
        <w:t> </w:t>
      </w:r>
      <w:r>
        <w:rPr>
          <w:rFonts w:ascii="Georgia" w:hAnsi="Georgia"/>
          <w:color w:val="2689C6"/>
          <w:sz w:val="21"/>
          <w:szCs w:val="21"/>
        </w:rPr>
        <w:t>Figure 2.6 "A Very Fine Relative Frequency Histogram"</w:t>
      </w:r>
      <w:r>
        <w:rPr>
          <w:rStyle w:val="apple-converted-space"/>
          <w:rFonts w:ascii="Georgia" w:hAnsi="Georgia"/>
          <w:color w:val="333333"/>
          <w:sz w:val="21"/>
          <w:szCs w:val="21"/>
        </w:rPr>
        <w:t> </w:t>
      </w:r>
      <w:r>
        <w:rPr>
          <w:rFonts w:ascii="Georgia" w:hAnsi="Georgia"/>
          <w:color w:val="333333"/>
          <w:sz w:val="21"/>
          <w:szCs w:val="21"/>
        </w:rPr>
        <w:t>in</w:t>
      </w:r>
      <w:r>
        <w:rPr>
          <w:rStyle w:val="apple-converted-space"/>
          <w:rFonts w:ascii="Georgia" w:hAnsi="Georgia"/>
          <w:color w:val="333333"/>
          <w:sz w:val="21"/>
          <w:szCs w:val="21"/>
        </w:rPr>
        <w:t> </w:t>
      </w:r>
      <w:r>
        <w:rPr>
          <w:rFonts w:ascii="Georgia" w:hAnsi="Georgia"/>
          <w:color w:val="2689C6"/>
          <w:sz w:val="21"/>
          <w:szCs w:val="21"/>
        </w:rPr>
        <w:t>Chapter 2 "Descriptive Statistics"</w:t>
      </w:r>
      <w:r>
        <w:rPr>
          <w:rFonts w:ascii="Georgia" w:hAnsi="Georgia"/>
          <w:color w:val="333333"/>
          <w:sz w:val="21"/>
          <w:szCs w:val="21"/>
        </w:rPr>
        <w:t>. If we think of</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as a measurement to infinite precision arising from the selection of any one member of the population at random, then</w:t>
      </w:r>
      <w:r>
        <w:rPr>
          <w:rStyle w:val="apple-converted-space"/>
          <w:rFonts w:ascii="Georgia" w:hAnsi="Georgia"/>
          <w:color w:val="333333"/>
          <w:sz w:val="21"/>
          <w:szCs w:val="21"/>
        </w:rPr>
        <w:t> </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a</w:t>
      </w:r>
      <w:r>
        <w:rPr>
          <w:rStyle w:val="mo"/>
          <w:rFonts w:ascii="MathJax_Main" w:hAnsi="MathJax_Main"/>
          <w:b/>
          <w:color w:val="333333"/>
          <w:sz w:val="18"/>
          <w:szCs w:val="18"/>
        </w:rPr>
        <w:t>&lt;</w:t>
      </w:r>
      <w:r>
        <w:rPr>
          <w:rStyle w:val="mi"/>
          <w:rFonts w:ascii="MathJax_Math" w:hAnsi="MathJax_Math"/>
          <w:b/>
          <w:i/>
          <w:iCs/>
          <w:color w:val="333333"/>
          <w:sz w:val="18"/>
          <w:szCs w:val="18"/>
        </w:rPr>
        <w:t>X</w:t>
      </w:r>
      <w:r>
        <w:rPr>
          <w:rStyle w:val="mo"/>
          <w:rFonts w:ascii="MathJax_Main" w:hAnsi="MathJax_Main"/>
          <w:b/>
          <w:color w:val="333333"/>
          <w:sz w:val="18"/>
          <w:szCs w:val="18"/>
        </w:rPr>
        <w:t>&lt;</w:t>
      </w:r>
      <w:r>
        <w:rPr>
          <w:rStyle w:val="mi"/>
          <w:rFonts w:ascii="MathJax_Math" w:hAnsi="MathJax_Math"/>
          <w:b/>
          <w:i/>
          <w:iCs/>
          <w:color w:val="333333"/>
          <w:sz w:val="18"/>
          <w:szCs w:val="18"/>
        </w:rPr>
        <w:t>b</w:t>
      </w:r>
      <w:r>
        <w:rPr>
          <w:rStyle w:val="mo"/>
          <w:rFonts w:ascii="MathJax_Main" w:hAnsi="MathJax_Main"/>
          <w:b/>
          <w:color w:val="333333"/>
          <w:sz w:val="18"/>
          <w:szCs w:val="18"/>
        </w:rPr>
        <w:t>)</w:t>
      </w:r>
      <w:r>
        <w:rPr>
          <w:rFonts w:ascii="Georgia" w:hAnsi="Georgia"/>
          <w:color w:val="333333"/>
          <w:sz w:val="21"/>
          <w:szCs w:val="21"/>
        </w:rPr>
        <w:t>is simply the proportion of the population with measurements between</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a</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b</w:t>
      </w:r>
      <w:r>
        <w:rPr>
          <w:rFonts w:ascii="Georgia" w:hAnsi="Georgia"/>
          <w:color w:val="333333"/>
          <w:sz w:val="21"/>
          <w:szCs w:val="21"/>
        </w:rPr>
        <w:t>, the curve in the relative frequency histogram is the density function for</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X</w:t>
      </w:r>
      <w:r>
        <w:rPr>
          <w:rFonts w:ascii="Georgia" w:hAnsi="Georgia"/>
          <w:color w:val="333333"/>
          <w:sz w:val="21"/>
          <w:szCs w:val="21"/>
        </w:rPr>
        <w:t>, and we arrive at the definition just above.</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Every density function</w:t>
      </w:r>
      <w:r>
        <w:rPr>
          <w:rStyle w:val="apple-converted-space"/>
          <w:rFonts w:ascii="Georgia" w:hAnsi="Georgia"/>
          <w:color w:val="333333"/>
          <w:sz w:val="21"/>
          <w:szCs w:val="21"/>
        </w:rPr>
        <w:t> </w:t>
      </w:r>
      <w:r>
        <w:rPr>
          <w:rStyle w:val="mi"/>
          <w:rFonts w:ascii="MathJax_Math" w:hAnsi="MathJax_Math"/>
          <w:i/>
          <w:iCs/>
          <w:color w:val="333333"/>
          <w:sz w:val="18"/>
          <w:szCs w:val="18"/>
        </w:rPr>
        <w:t>f</w:t>
      </w:r>
      <w:r>
        <w:rPr>
          <w:rStyle w:val="mo"/>
          <w:rFonts w:ascii="MathJax_Main" w:hAnsi="MathJax_Main"/>
          <w:color w:val="333333"/>
          <w:sz w:val="18"/>
          <w:szCs w:val="18"/>
        </w:rPr>
        <w:t>(</w:t>
      </w:r>
      <w:r>
        <w:rPr>
          <w:rStyle w:val="mi"/>
          <w:rFonts w:ascii="MathJax_Math" w:hAnsi="MathJax_Math"/>
          <w:i/>
          <w:iCs/>
          <w:color w:val="333333"/>
          <w:sz w:val="18"/>
          <w:szCs w:val="18"/>
        </w:rPr>
        <w:t>x</w:t>
      </w:r>
      <w:r>
        <w:rPr>
          <w:rStyle w:val="mo"/>
          <w:rFonts w:ascii="MathJax_Main" w:hAnsi="MathJax_Main"/>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must satisfy the following two conditions:</w:t>
      </w:r>
    </w:p>
    <w:p w:rsidR="00AD77BB" w:rsidRDefault="00AD77BB">
      <w:pPr>
        <w:spacing w:line="270" w:lineRule="atLeast"/>
        <w:textAlignment w:val="baseline"/>
        <w:rPr>
          <w:rFonts w:ascii="Calibri" w:hAnsi="Calibri"/>
          <w:color w:val="555555"/>
          <w:sz w:val="27"/>
          <w:szCs w:val="27"/>
        </w:rPr>
      </w:pPr>
    </w:p>
    <w:p w:rsidR="00AD77BB" w:rsidRDefault="00B45BA0">
      <w:pPr>
        <w:numPr>
          <w:ilvl w:val="0"/>
          <w:numId w:val="118"/>
        </w:numPr>
        <w:shd w:val="clear" w:color="auto" w:fill="F4F4F4"/>
        <w:spacing w:after="0"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For all numbers </w:t>
      </w:r>
      <w:r>
        <w:rPr>
          <w:rFonts w:ascii="Georgia" w:eastAsia="Times New Roman" w:hAnsi="Georgia" w:cs="Times New Roman"/>
          <w:b/>
          <w:i/>
          <w:iCs/>
          <w:color w:val="333333"/>
          <w:sz w:val="20"/>
          <w:szCs w:val="20"/>
        </w:rPr>
        <w:t>x</w:t>
      </w:r>
      <w:r>
        <w:rPr>
          <w:rFonts w:ascii="Georgia" w:eastAsia="Times New Roman" w:hAnsi="Georgia" w:cs="Times New Roman"/>
          <w:b/>
          <w:color w:val="333333"/>
          <w:sz w:val="20"/>
          <w:szCs w:val="20"/>
        </w:rPr>
        <w:t>, </w:t>
      </w:r>
      <w:r>
        <w:rPr>
          <w:rFonts w:ascii="MathJax_Math" w:eastAsia="Times New Roman" w:hAnsi="MathJax_Math" w:cs="Times New Roman"/>
          <w:b/>
          <w:i/>
          <w:iCs/>
          <w:color w:val="333333"/>
          <w:sz w:val="18"/>
          <w:szCs w:val="18"/>
        </w:rPr>
        <w:t>f</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x</w:t>
      </w:r>
      <w:r>
        <w:rPr>
          <w:rFonts w:ascii="MathJax_Main" w:eastAsia="Times New Roman" w:hAnsi="MathJax_Main" w:cs="Times New Roman"/>
          <w:b/>
          <w:color w:val="333333"/>
          <w:sz w:val="18"/>
          <w:szCs w:val="18"/>
        </w:rPr>
        <w:t>)≥0</w:t>
      </w:r>
      <w:r>
        <w:rPr>
          <w:rFonts w:ascii="Georgia" w:eastAsia="Times New Roman" w:hAnsi="Georgia" w:cs="Times New Roman"/>
          <w:color w:val="333333"/>
          <w:sz w:val="20"/>
          <w:szCs w:val="20"/>
        </w:rPr>
        <w:t>, so that the graph of</w:t>
      </w:r>
      <w:r>
        <w:rPr>
          <w:rFonts w:ascii="Georgia" w:eastAsia="Times New Roman" w:hAnsi="Georgia" w:cs="Times New Roman"/>
          <w:b/>
          <w:color w:val="333333"/>
          <w:sz w:val="20"/>
          <w:szCs w:val="20"/>
        </w:rPr>
        <w:t> </w:t>
      </w:r>
      <w:r>
        <w:rPr>
          <w:rFonts w:ascii="MathJax_Math" w:eastAsia="Times New Roman" w:hAnsi="MathJax_Math" w:cs="Times New Roman"/>
          <w:b/>
          <w:i/>
          <w:iCs/>
          <w:color w:val="333333"/>
          <w:sz w:val="18"/>
          <w:szCs w:val="18"/>
        </w:rPr>
        <w:t>y</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f</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x</w:t>
      </w:r>
      <w:r>
        <w:rPr>
          <w:rFonts w:ascii="MathJax_Main" w:eastAsia="Times New Roman" w:hAnsi="MathJax_Main" w:cs="Times New Roman"/>
          <w:b/>
          <w:color w:val="333333"/>
          <w:sz w:val="18"/>
          <w:szCs w:val="18"/>
        </w:rPr>
        <w:t>)</w:t>
      </w:r>
      <w:r>
        <w:rPr>
          <w:rFonts w:ascii="Georgia" w:eastAsia="Times New Roman" w:hAnsi="Georgia" w:cs="Times New Roman"/>
          <w:b/>
          <w:color w:val="333333"/>
          <w:sz w:val="20"/>
          <w:szCs w:val="20"/>
        </w:rPr>
        <w:t> </w:t>
      </w:r>
      <w:r>
        <w:rPr>
          <w:rFonts w:ascii="Georgia" w:eastAsia="Times New Roman" w:hAnsi="Georgia" w:cs="Times New Roman"/>
          <w:color w:val="333333"/>
          <w:sz w:val="20"/>
          <w:szCs w:val="20"/>
        </w:rPr>
        <w:t>never drops below the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-axis.</w:t>
      </w:r>
    </w:p>
    <w:p w:rsidR="00AD77BB" w:rsidRDefault="00B45BA0">
      <w:pPr>
        <w:numPr>
          <w:ilvl w:val="0"/>
          <w:numId w:val="118"/>
        </w:numPr>
        <w:shd w:val="clear" w:color="auto" w:fill="F4F4F4"/>
        <w:spacing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area of the region under the graph of </w:t>
      </w:r>
      <w:r>
        <w:rPr>
          <w:rFonts w:ascii="MathJax_Math" w:eastAsia="Times New Roman" w:hAnsi="MathJax_Math" w:cs="Times New Roman"/>
          <w:b/>
          <w:i/>
          <w:iCs/>
          <w:color w:val="333333"/>
          <w:sz w:val="18"/>
          <w:szCs w:val="18"/>
        </w:rPr>
        <w:t>y</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f</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x</w:t>
      </w:r>
      <w:r>
        <w:rPr>
          <w:rFonts w:ascii="MathJax_Main" w:eastAsia="Times New Roman" w:hAnsi="MathJax_Main" w:cs="Times New Roman"/>
          <w:b/>
          <w:color w:val="333333"/>
          <w:sz w:val="18"/>
          <w:szCs w:val="18"/>
        </w:rPr>
        <w:t>)</w:t>
      </w:r>
      <w:r>
        <w:rPr>
          <w:rFonts w:ascii="Georgia" w:eastAsia="Times New Roman" w:hAnsi="Georgia" w:cs="Times New Roman"/>
          <w:color w:val="333333"/>
          <w:sz w:val="20"/>
          <w:szCs w:val="20"/>
        </w:rPr>
        <w:t> and above the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-axis is 1.</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Because the area of a line segment is 0, the definition of the probability distribution of a continuous random variable implies that for any particular decimal number, say </w:t>
      </w:r>
      <w:r>
        <w:rPr>
          <w:rFonts w:ascii="Georgia" w:eastAsia="Times New Roman" w:hAnsi="Georgia" w:cs="Times New Roman"/>
          <w:i/>
          <w:iCs/>
          <w:color w:val="333333"/>
          <w:sz w:val="20"/>
          <w:szCs w:val="20"/>
        </w:rPr>
        <w:t>a</w:t>
      </w:r>
      <w:r>
        <w:rPr>
          <w:rFonts w:ascii="Georgia" w:eastAsia="Times New Roman" w:hAnsi="Georgia" w:cs="Times New Roman"/>
          <w:color w:val="333333"/>
          <w:sz w:val="21"/>
          <w:szCs w:val="21"/>
        </w:rPr>
        <w:t>, the probability that </w:t>
      </w:r>
      <w:r>
        <w:rPr>
          <w:rFonts w:ascii="Georgia" w:eastAsia="Times New Roman" w:hAnsi="Georgia" w:cs="Times New Roman"/>
          <w:i/>
          <w:iCs/>
          <w:color w:val="333333"/>
          <w:sz w:val="20"/>
          <w:szCs w:val="20"/>
        </w:rPr>
        <w:t>X</w:t>
      </w:r>
      <w:r>
        <w:rPr>
          <w:rFonts w:ascii="Georgia" w:eastAsia="Times New Roman" w:hAnsi="Georgia" w:cs="Times New Roman"/>
          <w:color w:val="333333"/>
          <w:sz w:val="21"/>
          <w:szCs w:val="21"/>
        </w:rPr>
        <w:t> assumes the exact value </w:t>
      </w:r>
      <w:r>
        <w:rPr>
          <w:rFonts w:ascii="Georgia" w:eastAsia="Times New Roman" w:hAnsi="Georgia" w:cs="Times New Roman"/>
          <w:i/>
          <w:iCs/>
          <w:color w:val="333333"/>
          <w:sz w:val="20"/>
          <w:szCs w:val="20"/>
        </w:rPr>
        <w:t>a</w:t>
      </w:r>
      <w:r>
        <w:rPr>
          <w:rFonts w:ascii="Georgia" w:eastAsia="Times New Roman" w:hAnsi="Georgia" w:cs="Times New Roman"/>
          <w:color w:val="333333"/>
          <w:sz w:val="21"/>
          <w:szCs w:val="21"/>
        </w:rPr>
        <w:t> is 0. This property implies that whether or not the endpoints of an interval are included makes no difference concerning the probability of the interval.</w:t>
      </w:r>
    </w:p>
    <w:p w:rsidR="00AD77BB" w:rsidRDefault="00B45BA0">
      <w:pPr>
        <w:shd w:val="clear" w:color="auto" w:fill="F4F4F4"/>
        <w:spacing w:after="0" w:line="360" w:lineRule="auto"/>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For any continuous random variable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w:t>
      </w:r>
    </w:p>
    <w:p w:rsidR="00AD77BB" w:rsidRDefault="00AD77BB">
      <w:pPr>
        <w:shd w:val="clear" w:color="auto" w:fill="F4F4F4"/>
        <w:spacing w:after="0" w:line="360" w:lineRule="auto"/>
        <w:textAlignment w:val="baseline"/>
        <w:rPr>
          <w:rFonts w:ascii="Georgia" w:eastAsia="Times New Roman" w:hAnsi="Georgia" w:cs="Times New Roman"/>
          <w:color w:val="333333"/>
          <w:sz w:val="20"/>
          <w:szCs w:val="20"/>
        </w:rPr>
      </w:pPr>
    </w:p>
    <w:p w:rsidR="00AD77BB" w:rsidRDefault="00B45BA0">
      <w:pPr>
        <w:shd w:val="clear" w:color="auto" w:fill="F4F4F4"/>
        <w:spacing w:line="360" w:lineRule="auto"/>
        <w:jc w:val="center"/>
        <w:textAlignment w:val="baseline"/>
        <w:rPr>
          <w:rFonts w:ascii="Calibri" w:eastAsia="Times New Roman" w:hAnsi="Calibri" w:cs="Times New Roman"/>
          <w:b/>
          <w:color w:val="555555"/>
          <w:sz w:val="23"/>
          <w:szCs w:val="23"/>
        </w:rPr>
      </w:pPr>
      <w:r>
        <w:rPr>
          <w:rFonts w:ascii="MathJax_Math" w:eastAsia="Times New Roman" w:hAnsi="MathJax_Math" w:cs="Times New Roman"/>
          <w:b/>
          <w:i/>
          <w:iCs/>
          <w:color w:val="555555"/>
          <w:sz w:val="18"/>
          <w:szCs w:val="18"/>
        </w:rPr>
        <w:t>P</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a</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X</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b</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P</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a</w:t>
      </w:r>
      <w:r>
        <w:rPr>
          <w:rFonts w:ascii="MathJax_Main" w:eastAsia="Times New Roman" w:hAnsi="MathJax_Main" w:cs="Times New Roman"/>
          <w:b/>
          <w:color w:val="555555"/>
          <w:sz w:val="18"/>
          <w:szCs w:val="18"/>
        </w:rPr>
        <w:t>&lt;</w:t>
      </w:r>
      <w:r>
        <w:rPr>
          <w:rFonts w:ascii="MathJax_Math" w:eastAsia="Times New Roman" w:hAnsi="MathJax_Math" w:cs="Times New Roman"/>
          <w:b/>
          <w:i/>
          <w:iCs/>
          <w:color w:val="555555"/>
          <w:sz w:val="18"/>
          <w:szCs w:val="18"/>
        </w:rPr>
        <w:t>X</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b</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P</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a</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X</w:t>
      </w:r>
      <w:r>
        <w:rPr>
          <w:rFonts w:ascii="MathJax_Main" w:eastAsia="Times New Roman" w:hAnsi="MathJax_Main" w:cs="Times New Roman"/>
          <w:b/>
          <w:color w:val="555555"/>
          <w:sz w:val="18"/>
          <w:szCs w:val="18"/>
        </w:rPr>
        <w:t>&lt;</w:t>
      </w:r>
      <w:r>
        <w:rPr>
          <w:rFonts w:ascii="MathJax_Math" w:eastAsia="Times New Roman" w:hAnsi="MathJax_Math" w:cs="Times New Roman"/>
          <w:b/>
          <w:i/>
          <w:iCs/>
          <w:color w:val="555555"/>
          <w:sz w:val="18"/>
          <w:szCs w:val="18"/>
        </w:rPr>
        <w:t>b</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P</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a</w:t>
      </w:r>
      <w:r>
        <w:rPr>
          <w:rFonts w:ascii="MathJax_Main" w:eastAsia="Times New Roman" w:hAnsi="MathJax_Main" w:cs="Times New Roman"/>
          <w:b/>
          <w:color w:val="555555"/>
          <w:sz w:val="18"/>
          <w:szCs w:val="18"/>
        </w:rPr>
        <w:t>&lt;</w:t>
      </w:r>
      <w:r>
        <w:rPr>
          <w:rFonts w:ascii="MathJax_Math" w:eastAsia="Times New Roman" w:hAnsi="MathJax_Math" w:cs="Times New Roman"/>
          <w:b/>
          <w:i/>
          <w:iCs/>
          <w:color w:val="555555"/>
          <w:sz w:val="18"/>
          <w:szCs w:val="18"/>
        </w:rPr>
        <w:t>X</w:t>
      </w:r>
      <w:r>
        <w:rPr>
          <w:rFonts w:ascii="MathJax_Main" w:eastAsia="Times New Roman" w:hAnsi="MathJax_Main" w:cs="Times New Roman"/>
          <w:b/>
          <w:color w:val="555555"/>
          <w:sz w:val="18"/>
          <w:szCs w:val="18"/>
        </w:rPr>
        <w:t>&lt;</w:t>
      </w:r>
      <w:r>
        <w:rPr>
          <w:rFonts w:ascii="MathJax_Math" w:eastAsia="Times New Roman" w:hAnsi="MathJax_Math" w:cs="Times New Roman"/>
          <w:b/>
          <w:i/>
          <w:iCs/>
          <w:color w:val="555555"/>
          <w:sz w:val="18"/>
          <w:szCs w:val="18"/>
        </w:rPr>
        <w:t>b</w:t>
      </w:r>
      <w:r>
        <w:rPr>
          <w:rFonts w:ascii="MathJax_Main" w:eastAsia="Times New Roman" w:hAnsi="MathJax_Main" w:cs="Times New Roman"/>
          <w:b/>
          <w:color w:val="555555"/>
          <w:sz w:val="18"/>
          <w:szCs w:val="18"/>
        </w:rPr>
        <w:t>)</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1</w:t>
      </w:r>
    </w:p>
    <w:p w:rsidR="00AD77BB" w:rsidRDefault="00B45BA0">
      <w:pPr>
        <w:pStyle w:val="para"/>
        <w:shd w:val="clear" w:color="auto" w:fill="DAEEF3" w:themeFill="accent5" w:themeFillTint="33"/>
        <w:spacing w:before="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A random variable</w:t>
      </w:r>
      <w:r>
        <w:rPr>
          <w:rStyle w:val="apple-converted-space"/>
          <w:rFonts w:ascii="Calibri" w:hAnsi="Calibri"/>
          <w:color w:val="333333"/>
          <w:sz w:val="21"/>
          <w:szCs w:val="21"/>
        </w:rPr>
        <w:t> </w:t>
      </w:r>
      <w:r>
        <w:rPr>
          <w:rStyle w:val="Emphasis"/>
          <w:rFonts w:ascii="Calibri" w:hAnsi="Calibri"/>
          <w:color w:val="333333"/>
          <w:sz w:val="20"/>
          <w:szCs w:val="20"/>
        </w:rPr>
        <w:t>X</w:t>
      </w:r>
      <w:r>
        <w:rPr>
          <w:rStyle w:val="apple-converted-space"/>
          <w:rFonts w:ascii="Calibri" w:hAnsi="Calibri"/>
          <w:color w:val="333333"/>
          <w:sz w:val="21"/>
          <w:szCs w:val="21"/>
        </w:rPr>
        <w:t> </w:t>
      </w:r>
      <w:r>
        <w:rPr>
          <w:rFonts w:ascii="Calibri" w:hAnsi="Calibri"/>
          <w:color w:val="333333"/>
          <w:sz w:val="21"/>
          <w:szCs w:val="21"/>
        </w:rPr>
        <w:t>has the uniform distribution on the interval</w:t>
      </w:r>
      <w:r>
        <w:rPr>
          <w:rStyle w:val="apple-converted-space"/>
          <w:rFonts w:ascii="Calibri" w:hAnsi="Calibri"/>
          <w:color w:val="333333"/>
          <w:sz w:val="21"/>
          <w:szCs w:val="21"/>
        </w:rPr>
        <w:t> </w:t>
      </w:r>
      <w:r>
        <w:rPr>
          <w:rStyle w:val="mo"/>
          <w:rFonts w:ascii="MathJax_Main" w:hAnsi="MathJax_Main"/>
          <w:color w:val="333333"/>
          <w:sz w:val="15"/>
          <w:szCs w:val="15"/>
        </w:rPr>
        <w:t>[</w:t>
      </w:r>
      <w:r>
        <w:rPr>
          <w:rStyle w:val="mn"/>
          <w:rFonts w:ascii="MathJax_Main" w:hAnsi="MathJax_Main"/>
          <w:color w:val="333333"/>
          <w:sz w:val="15"/>
          <w:szCs w:val="15"/>
        </w:rPr>
        <w:t>0,1</w:t>
      </w:r>
      <w:r>
        <w:rPr>
          <w:rStyle w:val="mo"/>
          <w:rFonts w:ascii="MathJax_Main" w:hAnsi="MathJax_Main"/>
          <w:color w:val="333333"/>
          <w:sz w:val="15"/>
          <w:szCs w:val="15"/>
        </w:rPr>
        <w:t>]</w:t>
      </w:r>
      <w:r>
        <w:rPr>
          <w:rFonts w:ascii="Calibri" w:hAnsi="Calibri"/>
          <w:color w:val="333333"/>
          <w:sz w:val="21"/>
          <w:szCs w:val="21"/>
        </w:rPr>
        <w:t>: the density function is</w:t>
      </w:r>
      <w:r>
        <w:rPr>
          <w:rStyle w:val="apple-converted-space"/>
          <w:rFonts w:ascii="Calibri" w:hAnsi="Calibri"/>
          <w:color w:val="333333"/>
          <w:sz w:val="21"/>
          <w:szCs w:val="21"/>
        </w:rPr>
        <w:t> </w:t>
      </w:r>
      <w:r>
        <w:rPr>
          <w:rStyle w:val="mi"/>
          <w:rFonts w:ascii="MathJax_Math" w:hAnsi="MathJax_Math"/>
          <w:b/>
          <w:i/>
          <w:iCs/>
          <w:color w:val="333333"/>
          <w:sz w:val="15"/>
          <w:szCs w:val="15"/>
        </w:rPr>
        <w:t>f</w:t>
      </w:r>
      <w:r>
        <w:rPr>
          <w:rStyle w:val="mo"/>
          <w:rFonts w:ascii="MathJax_Main" w:hAnsi="MathJax_Main"/>
          <w:b/>
          <w:color w:val="333333"/>
          <w:sz w:val="15"/>
          <w:szCs w:val="15"/>
        </w:rPr>
        <w:t>(</w:t>
      </w:r>
      <w:r>
        <w:rPr>
          <w:rStyle w:val="mi"/>
          <w:rFonts w:ascii="MathJax_Math" w:hAnsi="MathJax_Math"/>
          <w:b/>
          <w:i/>
          <w:iCs/>
          <w:color w:val="333333"/>
          <w:sz w:val="15"/>
          <w:szCs w:val="15"/>
        </w:rPr>
        <w:t>x</w:t>
      </w:r>
      <w:r>
        <w:rPr>
          <w:rStyle w:val="mo"/>
          <w:rFonts w:ascii="MathJax_Main" w:hAnsi="MathJax_Main"/>
          <w:b/>
          <w:color w:val="333333"/>
          <w:sz w:val="15"/>
          <w:szCs w:val="15"/>
        </w:rPr>
        <w:t>)=</w:t>
      </w:r>
      <w:r>
        <w:rPr>
          <w:rStyle w:val="mn"/>
          <w:rFonts w:ascii="MathJax_Main" w:hAnsi="MathJax_Main"/>
          <w:b/>
          <w:color w:val="333333"/>
          <w:sz w:val="15"/>
          <w:szCs w:val="15"/>
        </w:rPr>
        <w:t>1</w:t>
      </w:r>
      <w:r>
        <w:rPr>
          <w:rStyle w:val="apple-converted-space"/>
          <w:rFonts w:ascii="Calibri" w:hAnsi="Calibri"/>
          <w:color w:val="333333"/>
          <w:sz w:val="21"/>
          <w:szCs w:val="21"/>
        </w:rPr>
        <w:t> </w:t>
      </w:r>
      <w:r>
        <w:rPr>
          <w:rFonts w:ascii="Calibri" w:hAnsi="Calibri"/>
          <w:color w:val="333333"/>
          <w:sz w:val="21"/>
          <w:szCs w:val="21"/>
        </w:rPr>
        <w:t>if</w:t>
      </w:r>
      <w:r>
        <w:rPr>
          <w:rStyle w:val="apple-converted-space"/>
          <w:rFonts w:ascii="Calibri" w:hAnsi="Calibri"/>
          <w:color w:val="333333"/>
          <w:sz w:val="21"/>
          <w:szCs w:val="21"/>
        </w:rPr>
        <w:t> </w:t>
      </w:r>
      <w:r>
        <w:rPr>
          <w:rStyle w:val="Emphasis"/>
          <w:rFonts w:ascii="Calibri" w:hAnsi="Calibri"/>
          <w:color w:val="333333"/>
          <w:sz w:val="20"/>
          <w:szCs w:val="20"/>
        </w:rPr>
        <w:t>x</w:t>
      </w:r>
      <w:r>
        <w:rPr>
          <w:rStyle w:val="apple-converted-space"/>
          <w:rFonts w:ascii="Calibri" w:hAnsi="Calibri"/>
          <w:color w:val="333333"/>
          <w:sz w:val="21"/>
          <w:szCs w:val="21"/>
        </w:rPr>
        <w:t> </w:t>
      </w:r>
      <w:r>
        <w:rPr>
          <w:rFonts w:ascii="Calibri" w:hAnsi="Calibri"/>
          <w:color w:val="333333"/>
          <w:sz w:val="21"/>
          <w:szCs w:val="21"/>
        </w:rPr>
        <w:t>is between 0 and 1 and</w:t>
      </w:r>
      <w:r>
        <w:rPr>
          <w:rStyle w:val="apple-converted-space"/>
          <w:rFonts w:ascii="Calibri" w:hAnsi="Calibri"/>
          <w:color w:val="333333"/>
          <w:sz w:val="21"/>
          <w:szCs w:val="21"/>
        </w:rPr>
        <w:t> </w:t>
      </w:r>
      <w:r>
        <w:rPr>
          <w:rStyle w:val="mi"/>
          <w:rFonts w:ascii="MathJax_Math" w:hAnsi="MathJax_Math"/>
          <w:b/>
          <w:i/>
          <w:iCs/>
          <w:color w:val="333333"/>
          <w:sz w:val="15"/>
          <w:szCs w:val="15"/>
        </w:rPr>
        <w:t>f</w:t>
      </w:r>
      <w:r>
        <w:rPr>
          <w:rStyle w:val="mo"/>
          <w:rFonts w:ascii="MathJax_Main" w:hAnsi="MathJax_Main"/>
          <w:b/>
          <w:color w:val="333333"/>
          <w:sz w:val="15"/>
          <w:szCs w:val="15"/>
        </w:rPr>
        <w:t>(</w:t>
      </w:r>
      <w:r>
        <w:rPr>
          <w:rStyle w:val="mi"/>
          <w:rFonts w:ascii="MathJax_Math" w:hAnsi="MathJax_Math"/>
          <w:b/>
          <w:i/>
          <w:iCs/>
          <w:color w:val="333333"/>
          <w:sz w:val="15"/>
          <w:szCs w:val="15"/>
        </w:rPr>
        <w:t>x</w:t>
      </w:r>
      <w:r>
        <w:rPr>
          <w:rStyle w:val="mo"/>
          <w:rFonts w:ascii="MathJax_Main" w:hAnsi="MathJax_Main"/>
          <w:b/>
          <w:color w:val="333333"/>
          <w:sz w:val="15"/>
          <w:szCs w:val="15"/>
        </w:rPr>
        <w:t>)=</w:t>
      </w:r>
      <w:r>
        <w:rPr>
          <w:rStyle w:val="mn"/>
          <w:rFonts w:ascii="MathJax_Main" w:hAnsi="MathJax_Main"/>
          <w:b/>
          <w:color w:val="333333"/>
          <w:sz w:val="15"/>
          <w:szCs w:val="15"/>
        </w:rPr>
        <w:t>0</w:t>
      </w:r>
      <w:r>
        <w:rPr>
          <w:rStyle w:val="apple-converted-space"/>
          <w:rFonts w:ascii="Calibri" w:hAnsi="Calibri"/>
          <w:b/>
          <w:color w:val="333333"/>
          <w:sz w:val="21"/>
          <w:szCs w:val="21"/>
        </w:rPr>
        <w:t> </w:t>
      </w:r>
      <w:r>
        <w:rPr>
          <w:rFonts w:ascii="Calibri" w:hAnsi="Calibri"/>
          <w:color w:val="333333"/>
          <w:sz w:val="21"/>
          <w:szCs w:val="21"/>
        </w:rPr>
        <w:t>for all other values of</w:t>
      </w:r>
      <w:r>
        <w:rPr>
          <w:rStyle w:val="apple-converted-space"/>
          <w:rFonts w:ascii="Calibri" w:hAnsi="Calibri"/>
          <w:color w:val="333333"/>
          <w:sz w:val="21"/>
          <w:szCs w:val="21"/>
        </w:rPr>
        <w:t> </w:t>
      </w:r>
      <w:r>
        <w:rPr>
          <w:rStyle w:val="Emphasis"/>
          <w:rFonts w:ascii="Calibri" w:hAnsi="Calibri"/>
          <w:color w:val="333333"/>
          <w:sz w:val="20"/>
          <w:szCs w:val="20"/>
        </w:rPr>
        <w:t>x</w:t>
      </w:r>
      <w:r>
        <w:rPr>
          <w:rFonts w:ascii="Calibri" w:hAnsi="Calibri"/>
          <w:color w:val="333333"/>
          <w:sz w:val="21"/>
          <w:szCs w:val="21"/>
        </w:rPr>
        <w:t>, as shown in</w:t>
      </w:r>
      <w:r>
        <w:rPr>
          <w:rStyle w:val="apple-converted-space"/>
          <w:rFonts w:ascii="Calibri" w:hAnsi="Calibri"/>
          <w:color w:val="333333"/>
          <w:sz w:val="21"/>
          <w:szCs w:val="21"/>
        </w:rPr>
        <w:t> </w:t>
      </w:r>
      <w:r>
        <w:rPr>
          <w:rFonts w:ascii="Calibri" w:hAnsi="Calibri"/>
          <w:color w:val="2689C6"/>
          <w:sz w:val="21"/>
          <w:szCs w:val="21"/>
        </w:rPr>
        <w:t>Figure 5.2 "Uniform Distribution on "</w:t>
      </w:r>
      <w:r>
        <w:rPr>
          <w:rFonts w:ascii="Calibri" w:hAnsi="Calibri"/>
          <w:color w:val="333333"/>
          <w:sz w:val="21"/>
          <w:szCs w:val="21"/>
        </w:rPr>
        <w:t>.</w:t>
      </w:r>
    </w:p>
    <w:p w:rsidR="00AD77BB" w:rsidRDefault="00B45BA0">
      <w:pPr>
        <w:pStyle w:val="Title5"/>
        <w:shd w:val="clear" w:color="auto" w:fill="DAEEF3" w:themeFill="accent5" w:themeFillTint="33"/>
        <w:spacing w:before="0" w:beforeAutospacing="0" w:after="0" w:afterAutospacing="0" w:line="439" w:lineRule="atLeast"/>
        <w:ind w:left="300" w:right="375"/>
        <w:textAlignment w:val="baseline"/>
        <w:rPr>
          <w:rFonts w:ascii="Calibri" w:hAnsi="Calibri"/>
          <w:i/>
          <w:iCs/>
          <w:color w:val="BB9966"/>
          <w:sz w:val="22"/>
          <w:szCs w:val="22"/>
        </w:rPr>
      </w:pPr>
      <w:r>
        <w:rPr>
          <w:rStyle w:val="title-prefix"/>
          <w:rFonts w:ascii="Calibri" w:hAnsi="Calibri"/>
          <w:i/>
          <w:iCs/>
          <w:color w:val="000000"/>
          <w:sz w:val="20"/>
          <w:szCs w:val="20"/>
        </w:rPr>
        <w:t>Figure 5.2</w:t>
      </w:r>
      <w:r>
        <w:rPr>
          <w:rFonts w:ascii="Calibri" w:hAnsi="Calibri"/>
          <w:i/>
          <w:iCs/>
          <w:color w:val="BB9966"/>
          <w:sz w:val="22"/>
          <w:szCs w:val="22"/>
        </w:rPr>
        <w:t>Uniform Distribution on</w:t>
      </w:r>
      <w:r>
        <w:rPr>
          <w:rStyle w:val="apple-converted-space"/>
          <w:rFonts w:ascii="Calibri" w:hAnsi="Calibri"/>
          <w:i/>
          <w:iCs/>
          <w:color w:val="BB9966"/>
          <w:sz w:val="22"/>
          <w:szCs w:val="22"/>
        </w:rPr>
        <w:t> </w:t>
      </w:r>
      <w:r>
        <w:rPr>
          <w:rStyle w:val="mo"/>
          <w:rFonts w:ascii="MathJax_Main" w:hAnsi="MathJax_Main"/>
          <w:color w:val="BB9966"/>
          <w:sz w:val="15"/>
          <w:szCs w:val="15"/>
        </w:rPr>
        <w:t>[</w:t>
      </w:r>
      <w:r>
        <w:rPr>
          <w:rStyle w:val="mn"/>
          <w:rFonts w:ascii="MathJax_Main" w:hAnsi="MathJax_Main"/>
          <w:color w:val="BB9966"/>
          <w:sz w:val="15"/>
          <w:szCs w:val="15"/>
        </w:rPr>
        <w:t>0,1</w:t>
      </w:r>
      <w:r>
        <w:rPr>
          <w:rStyle w:val="mo"/>
          <w:rFonts w:ascii="MathJax_Main" w:hAnsi="MathJax_Main"/>
          <w:color w:val="BB9966"/>
          <w:sz w:val="15"/>
          <w:szCs w:val="15"/>
        </w:rPr>
        <w:t>]</w:t>
      </w:r>
    </w:p>
    <w:p w:rsidR="00AD77BB" w:rsidRDefault="00B45BA0">
      <w:pPr>
        <w:shd w:val="clear" w:color="auto" w:fill="DAEEF3" w:themeFill="accent5" w:themeFillTint="33"/>
        <w:spacing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14:anchorId="0EE86B6E" wp14:editId="056E0214">
            <wp:extent cx="4486275" cy="3257550"/>
            <wp:effectExtent l="0" t="0" r="9525" b="0"/>
            <wp:docPr id="145" name="Picture 158" descr="http://images.flatworldknowledge.com/shafer/shafer-fig0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images.flatworldknowledge.com/shafer/shafer-fig05_002.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486275" cy="3257550"/>
                    </a:xfrm>
                    <a:prstGeom prst="rect">
                      <a:avLst/>
                    </a:prstGeom>
                    <a:noFill/>
                    <a:ln>
                      <a:noFill/>
                    </a:ln>
                  </pic:spPr>
                </pic:pic>
              </a:graphicData>
            </a:graphic>
          </wp:inline>
        </w:drawing>
      </w:r>
    </w:p>
    <w:p w:rsidR="00AD77BB" w:rsidRDefault="00B45BA0">
      <w:pPr>
        <w:numPr>
          <w:ilvl w:val="0"/>
          <w:numId w:val="119"/>
        </w:numPr>
        <w:shd w:val="clear" w:color="auto" w:fill="DAEEF3" w:themeFill="accent5" w:themeFillTint="33"/>
        <w:spacing w:after="0" w:line="360" w:lineRule="auto"/>
        <w:ind w:right="374"/>
        <w:textAlignment w:val="baseline"/>
        <w:rPr>
          <w:rFonts w:ascii="Calibri" w:hAnsi="Calibri"/>
          <w:color w:val="333333"/>
          <w:sz w:val="20"/>
          <w:szCs w:val="20"/>
        </w:rPr>
      </w:pPr>
      <w:r>
        <w:rPr>
          <w:rFonts w:ascii="Calibri" w:hAnsi="Calibri"/>
          <w:color w:val="333333"/>
          <w:sz w:val="20"/>
          <w:szCs w:val="20"/>
        </w:rPr>
        <w:t>Find</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&gt; 0.75), the probability that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assumes a value greater than 0.75.</w:t>
      </w:r>
    </w:p>
    <w:p w:rsidR="00AD77BB" w:rsidRDefault="00B45BA0">
      <w:pPr>
        <w:numPr>
          <w:ilvl w:val="0"/>
          <w:numId w:val="119"/>
        </w:numPr>
        <w:shd w:val="clear" w:color="auto" w:fill="DAEEF3" w:themeFill="accent5" w:themeFillTint="33"/>
        <w:spacing w:after="0" w:line="360" w:lineRule="auto"/>
        <w:ind w:left="1440" w:right="374" w:hanging="504"/>
        <w:textAlignment w:val="baseline"/>
        <w:rPr>
          <w:rFonts w:ascii="Calibri" w:eastAsia="Times New Roman" w:hAnsi="Calibri" w:cs="Times New Roman"/>
          <w:color w:val="333333"/>
          <w:sz w:val="20"/>
          <w:szCs w:val="20"/>
        </w:rPr>
      </w:pPr>
      <w:r>
        <w:rPr>
          <w:rFonts w:ascii="Calibri" w:hAnsi="Calibri"/>
          <w:color w:val="333333"/>
          <w:sz w:val="20"/>
          <w:szCs w:val="20"/>
        </w:rPr>
        <w:t>Find</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0.2), the probability that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assumes a value less than or equal to 0.2.</w:t>
      </w:r>
    </w:p>
    <w:p w:rsidR="00AD77BB" w:rsidRDefault="00B45BA0">
      <w:pPr>
        <w:pStyle w:val="ListParagraph"/>
        <w:numPr>
          <w:ilvl w:val="0"/>
          <w:numId w:val="119"/>
        </w:numPr>
        <w:shd w:val="clear" w:color="auto" w:fill="DAEEF3" w:themeFill="accent5" w:themeFillTint="33"/>
        <w:spacing w:after="0" w:line="360" w:lineRule="auto"/>
        <w:ind w:left="720" w:right="374"/>
        <w:textAlignment w:val="baseline"/>
        <w:rPr>
          <w:rFonts w:ascii="Calibri" w:hAnsi="Calibri"/>
          <w:color w:val="333333"/>
          <w:sz w:val="20"/>
          <w:szCs w:val="20"/>
        </w:rPr>
      </w:pPr>
      <w:r>
        <w:rPr>
          <w:rFonts w:ascii="Calibri" w:hAnsi="Calibri"/>
          <w:color w:val="333333"/>
          <w:sz w:val="20"/>
          <w:szCs w:val="20"/>
        </w:rPr>
        <w:t xml:space="preserve"> Find</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(0.4 &lt;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&lt; 0.7), the probability that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assumes a value between 0.4 and 0.7.</w:t>
      </w:r>
    </w:p>
    <w:p w:rsidR="00AD77BB" w:rsidRDefault="00B45BA0">
      <w:pPr>
        <w:pStyle w:val="simpara"/>
        <w:shd w:val="clear" w:color="auto" w:fill="DAEEF3" w:themeFill="accent5" w:themeFillTint="33"/>
        <w:spacing w:before="150" w:beforeAutospacing="0" w:after="0" w:afterAutospacing="0" w:line="360" w:lineRule="auto"/>
        <w:ind w:left="300" w:right="374"/>
        <w:textAlignment w:val="baseline"/>
        <w:rPr>
          <w:rFonts w:ascii="Calibri" w:hAnsi="Calibri"/>
          <w:color w:val="333333"/>
          <w:sz w:val="21"/>
          <w:szCs w:val="21"/>
        </w:rPr>
      </w:pPr>
      <w:r>
        <w:rPr>
          <w:rFonts w:ascii="Calibri" w:hAnsi="Calibri"/>
          <w:color w:val="333333"/>
          <w:sz w:val="21"/>
          <w:szCs w:val="21"/>
        </w:rPr>
        <w:t>Solution:</w:t>
      </w:r>
    </w:p>
    <w:p w:rsidR="00AD77BB" w:rsidRDefault="00B45BA0">
      <w:pPr>
        <w:numPr>
          <w:ilvl w:val="0"/>
          <w:numId w:val="120"/>
        </w:numPr>
        <w:shd w:val="clear" w:color="auto" w:fill="DAEEF3" w:themeFill="accent5" w:themeFillTint="33"/>
        <w:spacing w:after="0" w:line="360" w:lineRule="auto"/>
        <w:ind w:right="374"/>
        <w:textAlignment w:val="baseline"/>
        <w:rPr>
          <w:rFonts w:ascii="Calibri" w:hAnsi="Calibri"/>
          <w:color w:val="333333"/>
          <w:sz w:val="20"/>
          <w:szCs w:val="20"/>
        </w:rPr>
      </w:pPr>
      <w:r>
        <w:rPr>
          <w:rStyle w:val="Emphasis"/>
          <w:rFonts w:ascii="Calibri" w:hAnsi="Calibri"/>
          <w:color w:val="333333"/>
          <w:sz w:val="20"/>
          <w:szCs w:val="20"/>
        </w:rPr>
        <w:lastRenderedPageBreak/>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&gt; 0.75) is the area of the rectangle of height 1 and base length</w:t>
      </w:r>
      <w:r>
        <w:rPr>
          <w:rStyle w:val="apple-converted-space"/>
          <w:rFonts w:ascii="Calibri" w:hAnsi="Calibri"/>
          <w:color w:val="333333"/>
          <w:sz w:val="20"/>
          <w:szCs w:val="20"/>
        </w:rPr>
        <w:t> </w:t>
      </w:r>
      <w:r>
        <w:rPr>
          <w:rStyle w:val="mn"/>
          <w:rFonts w:ascii="MathJax_Main" w:hAnsi="MathJax_Main"/>
          <w:color w:val="333333"/>
          <w:sz w:val="15"/>
          <w:szCs w:val="15"/>
        </w:rPr>
        <w:t>1</w:t>
      </w:r>
      <w:r>
        <w:rPr>
          <w:rStyle w:val="mo"/>
          <w:rFonts w:ascii="MathJax_Main" w:hAnsi="MathJax_Main"/>
          <w:color w:val="333333"/>
          <w:sz w:val="15"/>
          <w:szCs w:val="15"/>
        </w:rPr>
        <w:t>−</w:t>
      </w:r>
      <w:r>
        <w:rPr>
          <w:rStyle w:val="mn"/>
          <w:rFonts w:ascii="MathJax_Main" w:hAnsi="MathJax_Main"/>
          <w:color w:val="333333"/>
          <w:sz w:val="15"/>
          <w:szCs w:val="15"/>
        </w:rPr>
        <w:t>0.75</w:t>
      </w:r>
      <w:r>
        <w:rPr>
          <w:rStyle w:val="mo"/>
          <w:rFonts w:ascii="MathJax_Main" w:hAnsi="MathJax_Main"/>
          <w:color w:val="333333"/>
          <w:sz w:val="15"/>
          <w:szCs w:val="15"/>
        </w:rPr>
        <w:t>=</w:t>
      </w:r>
      <w:r>
        <w:rPr>
          <w:rStyle w:val="mn"/>
          <w:rFonts w:ascii="MathJax_Main" w:hAnsi="MathJax_Main"/>
          <w:color w:val="333333"/>
          <w:sz w:val="15"/>
          <w:szCs w:val="15"/>
        </w:rPr>
        <w:t>0.25</w:t>
      </w:r>
      <w:r>
        <w:rPr>
          <w:rFonts w:ascii="Calibri" w:hAnsi="Calibri"/>
          <w:color w:val="333333"/>
          <w:sz w:val="20"/>
          <w:szCs w:val="20"/>
        </w:rPr>
        <w:t>, hence is</w:t>
      </w:r>
      <w:r>
        <w:rPr>
          <w:rStyle w:val="apple-converted-space"/>
          <w:rFonts w:ascii="Calibri" w:hAnsi="Calibri"/>
          <w:color w:val="333333"/>
          <w:sz w:val="20"/>
          <w:szCs w:val="20"/>
        </w:rPr>
        <w:t> </w:t>
      </w:r>
      <w:r>
        <w:rPr>
          <w:rStyle w:val="mtext"/>
          <w:rFonts w:ascii="MathJax_Main" w:hAnsi="MathJax_Main"/>
          <w:color w:val="333333"/>
          <w:sz w:val="15"/>
          <w:szCs w:val="15"/>
        </w:rPr>
        <w:t>base</w:t>
      </w:r>
      <w:r>
        <w:rPr>
          <w:rStyle w:val="mo"/>
          <w:rFonts w:ascii="MathJax_Main" w:hAnsi="MathJax_Main"/>
          <w:color w:val="333333"/>
          <w:sz w:val="15"/>
          <w:szCs w:val="15"/>
        </w:rPr>
        <w:t>×</w:t>
      </w:r>
      <w:r>
        <w:rPr>
          <w:rStyle w:val="mtext"/>
          <w:rFonts w:ascii="MathJax_Main" w:hAnsi="MathJax_Main"/>
          <w:color w:val="333333"/>
          <w:sz w:val="15"/>
          <w:szCs w:val="15"/>
        </w:rPr>
        <w:t>height</w:t>
      </w:r>
      <w:r>
        <w:rPr>
          <w:rStyle w:val="mo"/>
          <w:rFonts w:ascii="MathJax_Main" w:hAnsi="MathJax_Main"/>
          <w:color w:val="333333"/>
          <w:sz w:val="15"/>
          <w:szCs w:val="15"/>
        </w:rPr>
        <w:t>=(</w:t>
      </w:r>
      <w:r>
        <w:rPr>
          <w:rStyle w:val="mn"/>
          <w:rFonts w:ascii="MathJax_Main" w:hAnsi="MathJax_Main"/>
          <w:color w:val="333333"/>
          <w:sz w:val="15"/>
          <w:szCs w:val="15"/>
        </w:rPr>
        <w:t>0.25</w:t>
      </w:r>
      <w:r>
        <w:rPr>
          <w:rStyle w:val="mo"/>
          <w:rFonts w:ascii="MathJax_Main" w:hAnsi="MathJax_Main"/>
          <w:color w:val="333333"/>
          <w:sz w:val="15"/>
          <w:szCs w:val="15"/>
        </w:rPr>
        <w:t>)</w:t>
      </w:r>
      <w:r>
        <w:rPr>
          <w:rStyle w:val="mo"/>
          <w:rFonts w:ascii="Cambria Math" w:hAnsi="Cambria Math" w:cs="Cambria Math"/>
          <w:color w:val="333333"/>
          <w:sz w:val="15"/>
          <w:szCs w:val="15"/>
        </w:rPr>
        <w:t>⋅</w:t>
      </w:r>
      <w:r>
        <w:rPr>
          <w:rStyle w:val="mo"/>
          <w:rFonts w:ascii="MathJax_Main" w:hAnsi="MathJax_Main"/>
          <w:color w:val="333333"/>
          <w:sz w:val="15"/>
          <w:szCs w:val="15"/>
        </w:rPr>
        <w:t>(</w:t>
      </w:r>
      <w:r>
        <w:rPr>
          <w:rStyle w:val="mn"/>
          <w:rFonts w:ascii="MathJax_Main" w:hAnsi="MathJax_Main"/>
          <w:color w:val="333333"/>
          <w:sz w:val="15"/>
          <w:szCs w:val="15"/>
        </w:rPr>
        <w:t>1</w:t>
      </w:r>
      <w:r>
        <w:rPr>
          <w:rStyle w:val="mo"/>
          <w:rFonts w:ascii="MathJax_Main" w:hAnsi="MathJax_Main"/>
          <w:color w:val="333333"/>
          <w:sz w:val="15"/>
          <w:szCs w:val="15"/>
        </w:rPr>
        <w:t>)=</w:t>
      </w:r>
      <w:r>
        <w:rPr>
          <w:rStyle w:val="mn"/>
          <w:rFonts w:ascii="MathJax_Main" w:hAnsi="MathJax_Main"/>
          <w:color w:val="333333"/>
          <w:sz w:val="15"/>
          <w:szCs w:val="15"/>
        </w:rPr>
        <w:t>0.25</w:t>
      </w:r>
      <w:r>
        <w:rPr>
          <w:rStyle w:val="mo"/>
          <w:rFonts w:ascii="MathJax_Main" w:hAnsi="MathJax_Main"/>
          <w:color w:val="333333"/>
          <w:sz w:val="15"/>
          <w:szCs w:val="15"/>
        </w:rPr>
        <w:t>.</w:t>
      </w:r>
      <w:r>
        <w:rPr>
          <w:rStyle w:val="apple-converted-space"/>
          <w:rFonts w:ascii="Calibri" w:hAnsi="Calibri"/>
          <w:color w:val="333333"/>
          <w:sz w:val="20"/>
          <w:szCs w:val="20"/>
        </w:rPr>
        <w:t> </w:t>
      </w:r>
      <w:r>
        <w:rPr>
          <w:rFonts w:ascii="Calibri" w:hAnsi="Calibri"/>
          <w:color w:val="333333"/>
          <w:sz w:val="20"/>
          <w:szCs w:val="20"/>
        </w:rPr>
        <w:t>See</w:t>
      </w:r>
      <w:r>
        <w:rPr>
          <w:rStyle w:val="apple-converted-space"/>
          <w:rFonts w:ascii="Calibri" w:hAnsi="Calibri"/>
          <w:color w:val="333333"/>
          <w:sz w:val="20"/>
          <w:szCs w:val="20"/>
        </w:rPr>
        <w:t> </w:t>
      </w:r>
      <w:r>
        <w:rPr>
          <w:rFonts w:ascii="Calibri" w:hAnsi="Calibri"/>
          <w:color w:val="2689C6"/>
          <w:sz w:val="20"/>
          <w:szCs w:val="20"/>
        </w:rPr>
        <w:t>Figure 5.3 "Probabilities from the Uniform Distribution on "</w:t>
      </w:r>
      <w:r>
        <w:rPr>
          <w:rFonts w:ascii="Calibri" w:hAnsi="Calibri"/>
          <w:color w:val="333333"/>
          <w:sz w:val="20"/>
          <w:szCs w:val="20"/>
        </w:rPr>
        <w:t>(a).</w:t>
      </w:r>
    </w:p>
    <w:p w:rsidR="00AD77BB" w:rsidRDefault="00B45BA0">
      <w:pPr>
        <w:numPr>
          <w:ilvl w:val="0"/>
          <w:numId w:val="120"/>
        </w:numPr>
        <w:shd w:val="clear" w:color="auto" w:fill="DAEEF3" w:themeFill="accent5" w:themeFillTint="33"/>
        <w:spacing w:after="0" w:line="360" w:lineRule="auto"/>
        <w:ind w:left="360" w:right="374" w:hanging="360"/>
        <w:textAlignment w:val="baseline"/>
        <w:rPr>
          <w:rFonts w:ascii="Calibri" w:hAnsi="Calibri"/>
          <w:color w:val="333333"/>
          <w:sz w:val="20"/>
          <w:szCs w:val="20"/>
        </w:rPr>
      </w:pP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0.2) is the area of the rectangle of height 1 and base length</w:t>
      </w:r>
      <w:r>
        <w:rPr>
          <w:rStyle w:val="apple-converted-space"/>
          <w:rFonts w:ascii="Calibri" w:hAnsi="Calibri"/>
          <w:color w:val="333333"/>
          <w:sz w:val="20"/>
          <w:szCs w:val="20"/>
        </w:rPr>
        <w:t> </w:t>
      </w:r>
      <w:r>
        <w:rPr>
          <w:rStyle w:val="mn"/>
          <w:rFonts w:ascii="MathJax_Main" w:hAnsi="MathJax_Main"/>
          <w:color w:val="333333"/>
          <w:sz w:val="15"/>
          <w:szCs w:val="15"/>
        </w:rPr>
        <w:t>0.2</w:t>
      </w:r>
      <w:r>
        <w:rPr>
          <w:rStyle w:val="mo"/>
          <w:rFonts w:ascii="MathJax_Main" w:hAnsi="MathJax_Main"/>
          <w:color w:val="333333"/>
          <w:sz w:val="15"/>
          <w:szCs w:val="15"/>
        </w:rPr>
        <w:t>−</w:t>
      </w:r>
      <w:r>
        <w:rPr>
          <w:rStyle w:val="mn"/>
          <w:rFonts w:ascii="MathJax_Main" w:hAnsi="MathJax_Main"/>
          <w:color w:val="333333"/>
          <w:sz w:val="15"/>
          <w:szCs w:val="15"/>
        </w:rPr>
        <w:t>0</w:t>
      </w:r>
      <w:r>
        <w:rPr>
          <w:rStyle w:val="mo"/>
          <w:rFonts w:ascii="MathJax_Main" w:hAnsi="MathJax_Main"/>
          <w:color w:val="333333"/>
          <w:sz w:val="15"/>
          <w:szCs w:val="15"/>
        </w:rPr>
        <w:t>=</w:t>
      </w:r>
      <w:r>
        <w:rPr>
          <w:rStyle w:val="mn"/>
          <w:rFonts w:ascii="MathJax_Main" w:hAnsi="MathJax_Main"/>
          <w:color w:val="333333"/>
          <w:sz w:val="15"/>
          <w:szCs w:val="15"/>
        </w:rPr>
        <w:t>0.2</w:t>
      </w:r>
      <w:r>
        <w:rPr>
          <w:rFonts w:ascii="Calibri" w:hAnsi="Calibri"/>
          <w:color w:val="333333"/>
          <w:sz w:val="20"/>
          <w:szCs w:val="20"/>
        </w:rPr>
        <w:t>, hence is</w:t>
      </w:r>
      <w:r>
        <w:rPr>
          <w:rStyle w:val="apple-converted-space"/>
          <w:rFonts w:ascii="Calibri" w:hAnsi="Calibri"/>
          <w:color w:val="333333"/>
          <w:sz w:val="20"/>
          <w:szCs w:val="20"/>
        </w:rPr>
        <w:t> </w:t>
      </w:r>
      <w:r>
        <w:rPr>
          <w:rStyle w:val="mtext"/>
          <w:rFonts w:ascii="MathJax_Main" w:hAnsi="MathJax_Main"/>
          <w:color w:val="333333"/>
          <w:sz w:val="15"/>
          <w:szCs w:val="15"/>
        </w:rPr>
        <w:t>base</w:t>
      </w:r>
      <w:r>
        <w:rPr>
          <w:rStyle w:val="mo"/>
          <w:rFonts w:ascii="MathJax_Main" w:hAnsi="MathJax_Main"/>
          <w:color w:val="333333"/>
          <w:sz w:val="15"/>
          <w:szCs w:val="15"/>
        </w:rPr>
        <w:t>×</w:t>
      </w:r>
      <w:r>
        <w:rPr>
          <w:rStyle w:val="mtext"/>
          <w:rFonts w:ascii="MathJax_Main" w:hAnsi="MathJax_Main"/>
          <w:color w:val="333333"/>
          <w:sz w:val="15"/>
          <w:szCs w:val="15"/>
        </w:rPr>
        <w:t>height</w:t>
      </w:r>
      <w:r>
        <w:rPr>
          <w:rStyle w:val="mo"/>
          <w:rFonts w:ascii="MathJax_Main" w:hAnsi="MathJax_Main"/>
          <w:color w:val="333333"/>
          <w:sz w:val="15"/>
          <w:szCs w:val="15"/>
        </w:rPr>
        <w:t>=(</w:t>
      </w:r>
      <w:r>
        <w:rPr>
          <w:rStyle w:val="mn"/>
          <w:rFonts w:ascii="MathJax_Main" w:hAnsi="MathJax_Main"/>
          <w:color w:val="333333"/>
          <w:sz w:val="15"/>
          <w:szCs w:val="15"/>
        </w:rPr>
        <w:t>0.2</w:t>
      </w:r>
      <w:r>
        <w:rPr>
          <w:rStyle w:val="mo"/>
          <w:rFonts w:ascii="MathJax_Main" w:hAnsi="MathJax_Main"/>
          <w:color w:val="333333"/>
          <w:sz w:val="15"/>
          <w:szCs w:val="15"/>
        </w:rPr>
        <w:t>)</w:t>
      </w:r>
      <w:r>
        <w:rPr>
          <w:rStyle w:val="mo"/>
          <w:rFonts w:ascii="Cambria Math" w:hAnsi="Cambria Math" w:cs="Cambria Math"/>
          <w:color w:val="333333"/>
          <w:sz w:val="15"/>
          <w:szCs w:val="15"/>
        </w:rPr>
        <w:t>⋅</w:t>
      </w:r>
      <w:r>
        <w:rPr>
          <w:rStyle w:val="mo"/>
          <w:rFonts w:ascii="MathJax_Main" w:hAnsi="MathJax_Main"/>
          <w:color w:val="333333"/>
          <w:sz w:val="15"/>
          <w:szCs w:val="15"/>
        </w:rPr>
        <w:t>(</w:t>
      </w:r>
      <w:r>
        <w:rPr>
          <w:rStyle w:val="mn"/>
          <w:rFonts w:ascii="MathJax_Main" w:hAnsi="MathJax_Main"/>
          <w:color w:val="333333"/>
          <w:sz w:val="15"/>
          <w:szCs w:val="15"/>
        </w:rPr>
        <w:t>1</w:t>
      </w:r>
      <w:r>
        <w:rPr>
          <w:rStyle w:val="mo"/>
          <w:rFonts w:ascii="MathJax_Main" w:hAnsi="MathJax_Main"/>
          <w:color w:val="333333"/>
          <w:sz w:val="15"/>
          <w:szCs w:val="15"/>
        </w:rPr>
        <w:t>)=</w:t>
      </w:r>
      <w:r>
        <w:rPr>
          <w:rStyle w:val="mn"/>
          <w:rFonts w:ascii="MathJax_Main" w:hAnsi="MathJax_Main"/>
          <w:color w:val="333333"/>
          <w:sz w:val="15"/>
          <w:szCs w:val="15"/>
        </w:rPr>
        <w:t>0.2</w:t>
      </w:r>
      <w:r>
        <w:rPr>
          <w:rStyle w:val="mo"/>
          <w:rFonts w:ascii="MathJax_Main" w:hAnsi="MathJax_Main"/>
          <w:color w:val="333333"/>
          <w:sz w:val="15"/>
          <w:szCs w:val="15"/>
        </w:rPr>
        <w:t>.</w:t>
      </w:r>
      <w:r>
        <w:rPr>
          <w:rStyle w:val="apple-converted-space"/>
          <w:rFonts w:ascii="Calibri" w:hAnsi="Calibri"/>
          <w:color w:val="333333"/>
          <w:sz w:val="20"/>
          <w:szCs w:val="20"/>
        </w:rPr>
        <w:t> </w:t>
      </w:r>
      <w:r>
        <w:rPr>
          <w:rFonts w:ascii="Calibri" w:hAnsi="Calibri"/>
          <w:color w:val="333333"/>
          <w:sz w:val="20"/>
          <w:szCs w:val="20"/>
        </w:rPr>
        <w:t>See</w:t>
      </w:r>
      <w:r>
        <w:rPr>
          <w:rStyle w:val="apple-converted-space"/>
          <w:rFonts w:ascii="Calibri" w:hAnsi="Calibri"/>
          <w:color w:val="333333"/>
          <w:sz w:val="20"/>
          <w:szCs w:val="20"/>
        </w:rPr>
        <w:t> </w:t>
      </w:r>
      <w:r>
        <w:rPr>
          <w:rFonts w:ascii="Calibri" w:hAnsi="Calibri"/>
          <w:color w:val="2689C6"/>
          <w:sz w:val="20"/>
          <w:szCs w:val="20"/>
        </w:rPr>
        <w:t>Figure 5.3 "Probabilities from the Uniform Distribution on "</w:t>
      </w:r>
      <w:r>
        <w:rPr>
          <w:rFonts w:ascii="Calibri" w:hAnsi="Calibri"/>
          <w:color w:val="333333"/>
          <w:sz w:val="20"/>
          <w:szCs w:val="20"/>
        </w:rPr>
        <w:t>(b).</w:t>
      </w:r>
    </w:p>
    <w:p w:rsidR="00AD77BB" w:rsidRDefault="00B45BA0">
      <w:pPr>
        <w:numPr>
          <w:ilvl w:val="0"/>
          <w:numId w:val="120"/>
        </w:numPr>
        <w:shd w:val="clear" w:color="auto" w:fill="DAEEF3" w:themeFill="accent5" w:themeFillTint="33"/>
        <w:spacing w:after="0" w:line="360" w:lineRule="auto"/>
        <w:ind w:left="360" w:right="374" w:hanging="360"/>
        <w:textAlignment w:val="baseline"/>
        <w:rPr>
          <w:rFonts w:ascii="Calibri" w:hAnsi="Calibri"/>
          <w:color w:val="333333"/>
          <w:sz w:val="20"/>
          <w:szCs w:val="20"/>
        </w:rPr>
      </w:pPr>
      <w:r>
        <w:rPr>
          <w:rStyle w:val="Emphasis"/>
          <w:rFonts w:ascii="Calibri" w:hAnsi="Calibri"/>
          <w:color w:val="333333"/>
          <w:sz w:val="20"/>
          <w:szCs w:val="20"/>
        </w:rPr>
        <w:t>P</w:t>
      </w:r>
      <w:r>
        <w:rPr>
          <w:rFonts w:ascii="Calibri" w:hAnsi="Calibri"/>
          <w:color w:val="333333"/>
          <w:sz w:val="20"/>
          <w:szCs w:val="20"/>
        </w:rPr>
        <w:t>(0.4 &lt;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&lt; 0.7) is the area of the rectangle of height 1 and length</w:t>
      </w:r>
      <w:r>
        <w:rPr>
          <w:rStyle w:val="apple-converted-space"/>
          <w:rFonts w:ascii="Calibri" w:hAnsi="Calibri"/>
          <w:color w:val="333333"/>
          <w:sz w:val="20"/>
          <w:szCs w:val="20"/>
        </w:rPr>
        <w:t> </w:t>
      </w:r>
      <w:r>
        <w:rPr>
          <w:rStyle w:val="mn"/>
          <w:rFonts w:ascii="MathJax_Main" w:hAnsi="MathJax_Main"/>
          <w:color w:val="333333"/>
          <w:sz w:val="15"/>
          <w:szCs w:val="15"/>
        </w:rPr>
        <w:t>0.7</w:t>
      </w:r>
      <w:r>
        <w:rPr>
          <w:rStyle w:val="mo"/>
          <w:rFonts w:ascii="MathJax_Main" w:hAnsi="MathJax_Main"/>
          <w:color w:val="333333"/>
          <w:sz w:val="15"/>
          <w:szCs w:val="15"/>
        </w:rPr>
        <w:t>−</w:t>
      </w:r>
      <w:r>
        <w:rPr>
          <w:rStyle w:val="mn"/>
          <w:rFonts w:ascii="MathJax_Main" w:hAnsi="MathJax_Main"/>
          <w:color w:val="333333"/>
          <w:sz w:val="15"/>
          <w:szCs w:val="15"/>
        </w:rPr>
        <w:t>0.4</w:t>
      </w:r>
      <w:r>
        <w:rPr>
          <w:rStyle w:val="mo"/>
          <w:rFonts w:ascii="MathJax_Main" w:hAnsi="MathJax_Main"/>
          <w:color w:val="333333"/>
          <w:sz w:val="15"/>
          <w:szCs w:val="15"/>
        </w:rPr>
        <w:t>=</w:t>
      </w:r>
      <w:r>
        <w:rPr>
          <w:rStyle w:val="mn"/>
          <w:rFonts w:ascii="MathJax_Main" w:hAnsi="MathJax_Main"/>
          <w:color w:val="333333"/>
          <w:sz w:val="15"/>
          <w:szCs w:val="15"/>
        </w:rPr>
        <w:t>0.3</w:t>
      </w:r>
      <w:r>
        <w:rPr>
          <w:rFonts w:ascii="Calibri" w:hAnsi="Calibri"/>
          <w:color w:val="333333"/>
          <w:sz w:val="20"/>
          <w:szCs w:val="20"/>
        </w:rPr>
        <w:t>, hence is</w:t>
      </w:r>
      <w:r>
        <w:rPr>
          <w:rStyle w:val="apple-converted-space"/>
          <w:rFonts w:ascii="Calibri" w:hAnsi="Calibri"/>
          <w:color w:val="333333"/>
          <w:sz w:val="20"/>
          <w:szCs w:val="20"/>
        </w:rPr>
        <w:t> </w:t>
      </w:r>
      <w:r>
        <w:rPr>
          <w:rStyle w:val="mtext"/>
          <w:rFonts w:ascii="MathJax_Main" w:hAnsi="MathJax_Main"/>
          <w:color w:val="333333"/>
          <w:sz w:val="15"/>
          <w:szCs w:val="15"/>
        </w:rPr>
        <w:t>base</w:t>
      </w:r>
      <w:r>
        <w:rPr>
          <w:rStyle w:val="mo"/>
          <w:rFonts w:ascii="MathJax_Main" w:hAnsi="MathJax_Main"/>
          <w:color w:val="333333"/>
          <w:sz w:val="15"/>
          <w:szCs w:val="15"/>
        </w:rPr>
        <w:t>×</w:t>
      </w:r>
      <w:r>
        <w:rPr>
          <w:rStyle w:val="mtext"/>
          <w:rFonts w:ascii="MathJax_Main" w:hAnsi="MathJax_Main"/>
          <w:color w:val="333333"/>
          <w:sz w:val="15"/>
          <w:szCs w:val="15"/>
        </w:rPr>
        <w:t>height</w:t>
      </w:r>
      <w:r>
        <w:rPr>
          <w:rStyle w:val="mo"/>
          <w:rFonts w:ascii="MathJax_Main" w:hAnsi="MathJax_Main"/>
          <w:color w:val="333333"/>
          <w:sz w:val="15"/>
          <w:szCs w:val="15"/>
        </w:rPr>
        <w:t>=(</w:t>
      </w:r>
      <w:r>
        <w:rPr>
          <w:rStyle w:val="mn"/>
          <w:rFonts w:ascii="MathJax_Main" w:hAnsi="MathJax_Main"/>
          <w:color w:val="333333"/>
          <w:sz w:val="15"/>
          <w:szCs w:val="15"/>
        </w:rPr>
        <w:t>0.3</w:t>
      </w:r>
      <w:r>
        <w:rPr>
          <w:rStyle w:val="mo"/>
          <w:rFonts w:ascii="MathJax_Main" w:hAnsi="MathJax_Main"/>
          <w:color w:val="333333"/>
          <w:sz w:val="15"/>
          <w:szCs w:val="15"/>
        </w:rPr>
        <w:t>)</w:t>
      </w:r>
      <w:r>
        <w:rPr>
          <w:rStyle w:val="mo"/>
          <w:rFonts w:ascii="Cambria Math" w:hAnsi="Cambria Math" w:cs="Cambria Math"/>
          <w:color w:val="333333"/>
          <w:sz w:val="15"/>
          <w:szCs w:val="15"/>
        </w:rPr>
        <w:t>⋅</w:t>
      </w:r>
      <w:r>
        <w:rPr>
          <w:rStyle w:val="mo"/>
          <w:rFonts w:ascii="MathJax_Main" w:hAnsi="MathJax_Main"/>
          <w:color w:val="333333"/>
          <w:sz w:val="15"/>
          <w:szCs w:val="15"/>
        </w:rPr>
        <w:t>(</w:t>
      </w:r>
      <w:r>
        <w:rPr>
          <w:rStyle w:val="mn"/>
          <w:rFonts w:ascii="MathJax_Main" w:hAnsi="MathJax_Main"/>
          <w:color w:val="333333"/>
          <w:sz w:val="15"/>
          <w:szCs w:val="15"/>
        </w:rPr>
        <w:t>1</w:t>
      </w:r>
      <w:r>
        <w:rPr>
          <w:rStyle w:val="mo"/>
          <w:rFonts w:ascii="MathJax_Main" w:hAnsi="MathJax_Main"/>
          <w:color w:val="333333"/>
          <w:sz w:val="15"/>
          <w:szCs w:val="15"/>
        </w:rPr>
        <w:t>)=</w:t>
      </w:r>
      <w:r>
        <w:rPr>
          <w:rStyle w:val="mn"/>
          <w:rFonts w:ascii="MathJax_Main" w:hAnsi="MathJax_Main"/>
          <w:color w:val="333333"/>
          <w:sz w:val="15"/>
          <w:szCs w:val="15"/>
        </w:rPr>
        <w:t>0.3</w:t>
      </w:r>
      <w:r>
        <w:rPr>
          <w:rStyle w:val="mo"/>
          <w:rFonts w:ascii="MathJax_Main" w:hAnsi="MathJax_Main"/>
          <w:color w:val="333333"/>
          <w:sz w:val="15"/>
          <w:szCs w:val="15"/>
        </w:rPr>
        <w:t>.</w:t>
      </w:r>
      <w:r>
        <w:rPr>
          <w:rStyle w:val="apple-converted-space"/>
          <w:rFonts w:ascii="Calibri" w:hAnsi="Calibri"/>
          <w:color w:val="333333"/>
          <w:sz w:val="20"/>
          <w:szCs w:val="20"/>
        </w:rPr>
        <w:t> </w:t>
      </w:r>
      <w:r>
        <w:rPr>
          <w:rFonts w:ascii="Calibri" w:hAnsi="Calibri"/>
          <w:color w:val="333333"/>
          <w:sz w:val="20"/>
          <w:szCs w:val="20"/>
        </w:rPr>
        <w:t>See</w:t>
      </w:r>
      <w:r>
        <w:rPr>
          <w:rStyle w:val="apple-converted-space"/>
          <w:rFonts w:ascii="Calibri" w:hAnsi="Calibri"/>
          <w:color w:val="333333"/>
          <w:sz w:val="20"/>
          <w:szCs w:val="20"/>
        </w:rPr>
        <w:t> </w:t>
      </w:r>
      <w:r>
        <w:rPr>
          <w:rFonts w:ascii="Calibri" w:hAnsi="Calibri"/>
          <w:color w:val="2689C6"/>
          <w:sz w:val="20"/>
          <w:szCs w:val="20"/>
        </w:rPr>
        <w:t>Figure 5.3 "Probabilities from the Uniform Distribution on "</w:t>
      </w:r>
      <w:r>
        <w:rPr>
          <w:rFonts w:ascii="Calibri" w:hAnsi="Calibri"/>
          <w:color w:val="333333"/>
          <w:sz w:val="20"/>
          <w:szCs w:val="20"/>
        </w:rPr>
        <w:t>(c).</w:t>
      </w:r>
    </w:p>
    <w:p w:rsidR="00AD77BB" w:rsidRDefault="00B45BA0">
      <w:pPr>
        <w:shd w:val="clear" w:color="auto" w:fill="E3EFF7"/>
        <w:spacing w:after="0" w:line="439" w:lineRule="atLeast"/>
        <w:ind w:left="300" w:right="375"/>
        <w:textAlignment w:val="baseline"/>
        <w:rPr>
          <w:rFonts w:ascii="Calibri" w:eastAsia="Times New Roman" w:hAnsi="Calibri" w:cs="Times New Roman"/>
          <w:i/>
          <w:iCs/>
          <w:color w:val="BB9966"/>
          <w:sz w:val="19"/>
          <w:szCs w:val="19"/>
        </w:rPr>
      </w:pPr>
      <w:r>
        <w:rPr>
          <w:rFonts w:ascii="Calibri" w:eastAsia="Times New Roman" w:hAnsi="Calibri" w:cs="Times New Roman"/>
          <w:i/>
          <w:iCs/>
          <w:color w:val="000000"/>
          <w:sz w:val="20"/>
          <w:szCs w:val="20"/>
        </w:rPr>
        <w:t>Figure 5.3</w:t>
      </w:r>
      <w:r>
        <w:rPr>
          <w:rFonts w:ascii="Calibri" w:eastAsia="Times New Roman" w:hAnsi="Calibri" w:cs="Times New Roman"/>
          <w:i/>
          <w:iCs/>
          <w:color w:val="BB9966"/>
          <w:sz w:val="19"/>
          <w:szCs w:val="19"/>
        </w:rPr>
        <w:t>Probabilities from the Uniform Distribution on </w:t>
      </w:r>
      <w:r>
        <w:rPr>
          <w:rFonts w:ascii="MathJax_Main" w:eastAsia="Times New Roman" w:hAnsi="MathJax_Main" w:cs="Times New Roman"/>
          <w:color w:val="BB9966"/>
          <w:sz w:val="15"/>
          <w:szCs w:val="15"/>
        </w:rPr>
        <w:t>[0,1]</w:t>
      </w:r>
    </w:p>
    <w:p w:rsidR="00AD77BB" w:rsidRDefault="00B45BA0">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sz w:val="26"/>
          <w:szCs w:val="26"/>
          <w:shd w:val="clear" w:color="auto" w:fill="DAEEF3" w:themeFill="accent5" w:themeFillTint="33"/>
        </w:rPr>
        <w:drawing>
          <wp:inline distT="0" distB="0" distL="0" distR="0" wp14:anchorId="685265B2" wp14:editId="3C1452DA">
            <wp:extent cx="4800600" cy="1171575"/>
            <wp:effectExtent l="0" t="0" r="0" b="9525"/>
            <wp:docPr id="146" name="Picture 159" descr="http://images.flatworldknowledge.com/shafer/shafer-fig0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images.flatworldknowledge.com/shafer/shafer-fig05_003.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800600" cy="1171575"/>
                    </a:xfrm>
                    <a:prstGeom prst="rect">
                      <a:avLst/>
                    </a:prstGeom>
                    <a:noFill/>
                    <a:ln>
                      <a:noFill/>
                    </a:ln>
                  </pic:spPr>
                </pic:pic>
              </a:graphicData>
            </a:graphic>
          </wp:inline>
        </w:drawing>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2</w:t>
      </w:r>
    </w:p>
    <w:p w:rsidR="00AD77BB" w:rsidRDefault="00B45BA0">
      <w:pPr>
        <w:pStyle w:val="para"/>
        <w:shd w:val="clear" w:color="auto" w:fill="DAEEF3" w:themeFill="accent5" w:themeFillTint="33"/>
        <w:spacing w:before="15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A man arrives at a bus stop at a random time (that is, with no regard for the scheduled service) to catch the next bus. Buses run every 30 minutes without fail, hence the next bus will come any time during the next 30 minutes with evenly distributed probability (a uniform distribution). Find the probability that a bus will come within the next 10 minutes.</w:t>
      </w:r>
    </w:p>
    <w:p w:rsidR="00AD77BB" w:rsidRDefault="00B45BA0">
      <w:pPr>
        <w:pStyle w:val="simpara"/>
        <w:shd w:val="clear" w:color="auto" w:fill="DAEEF3" w:themeFill="accent5" w:themeFillTint="33"/>
        <w:spacing w:before="15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Solution:</w:t>
      </w:r>
    </w:p>
    <w:p w:rsidR="00AD77BB" w:rsidRDefault="00B45BA0">
      <w:pPr>
        <w:pStyle w:val="para"/>
        <w:shd w:val="clear" w:color="auto" w:fill="DAEEF3" w:themeFill="accent5" w:themeFillTint="33"/>
        <w:spacing w:before="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The graph of the density function is a horizontal line above the interval from 0 to 30 and is the</w:t>
      </w:r>
      <w:r>
        <w:rPr>
          <w:rStyle w:val="apple-converted-space"/>
          <w:rFonts w:ascii="Calibri" w:hAnsi="Calibri"/>
          <w:color w:val="333333"/>
          <w:sz w:val="21"/>
          <w:szCs w:val="21"/>
        </w:rPr>
        <w:t> </w:t>
      </w:r>
      <w:r>
        <w:rPr>
          <w:rStyle w:val="Emphasis"/>
          <w:rFonts w:ascii="Calibri" w:eastAsiaTheme="majorEastAsia" w:hAnsi="Calibri"/>
          <w:color w:val="333333"/>
          <w:sz w:val="20"/>
          <w:szCs w:val="20"/>
        </w:rPr>
        <w:t>x</w:t>
      </w:r>
      <w:r>
        <w:rPr>
          <w:rFonts w:ascii="Calibri" w:hAnsi="Calibri"/>
          <w:color w:val="333333"/>
          <w:sz w:val="21"/>
          <w:szCs w:val="21"/>
        </w:rPr>
        <w:t>-axis everywhere else. Since the total area under the curve must be 1, the height of the horizontal line is 1/30. See</w:t>
      </w:r>
      <w:r>
        <w:rPr>
          <w:rStyle w:val="apple-converted-space"/>
          <w:rFonts w:ascii="Calibri" w:hAnsi="Calibri"/>
          <w:color w:val="333333"/>
          <w:sz w:val="21"/>
          <w:szCs w:val="21"/>
        </w:rPr>
        <w:t> </w:t>
      </w:r>
      <w:r>
        <w:rPr>
          <w:rFonts w:ascii="Calibri" w:hAnsi="Calibri"/>
          <w:color w:val="2689C6"/>
          <w:sz w:val="21"/>
          <w:szCs w:val="21"/>
        </w:rPr>
        <w:t>Figure 5.4 "Probability of Waiting At Most 10 Minutes for a Bus"</w:t>
      </w:r>
      <w:r>
        <w:rPr>
          <w:rFonts w:ascii="Calibri" w:hAnsi="Calibri"/>
          <w:color w:val="333333"/>
          <w:sz w:val="21"/>
          <w:szCs w:val="21"/>
        </w:rPr>
        <w:t>. The probability sought is</w:t>
      </w:r>
      <w:r>
        <w:rPr>
          <w:rStyle w:val="apple-converted-space"/>
          <w:rFonts w:ascii="Calibri" w:hAnsi="Calibri"/>
          <w:color w:val="333333"/>
          <w:sz w:val="21"/>
          <w:szCs w:val="21"/>
        </w:rPr>
        <w:t> </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0</w:t>
      </w:r>
      <w:r>
        <w:rPr>
          <w:rStyle w:val="mo"/>
          <w:rFonts w:ascii="MathJax_Main" w:hAnsi="MathJax_Main"/>
          <w:b/>
          <w:color w:val="333333"/>
          <w:sz w:val="15"/>
          <w:szCs w:val="15"/>
        </w:rPr>
        <w:t>≤</w:t>
      </w:r>
      <w:r>
        <w:rPr>
          <w:rStyle w:val="mi"/>
          <w:rFonts w:ascii="MathJax_Math" w:hAnsi="MathJax_Math"/>
          <w:b/>
          <w:i/>
          <w:iCs/>
          <w:color w:val="333333"/>
          <w:sz w:val="15"/>
          <w:szCs w:val="15"/>
        </w:rPr>
        <w:t>X</w:t>
      </w:r>
      <w:r>
        <w:rPr>
          <w:rStyle w:val="mo"/>
          <w:rFonts w:ascii="MathJax_Main" w:hAnsi="MathJax_Main"/>
          <w:b/>
          <w:color w:val="333333"/>
          <w:sz w:val="15"/>
          <w:szCs w:val="15"/>
        </w:rPr>
        <w:t>≤</w:t>
      </w:r>
      <w:r>
        <w:rPr>
          <w:rStyle w:val="mn"/>
          <w:rFonts w:ascii="MathJax_Main" w:hAnsi="MathJax_Main"/>
          <w:b/>
          <w:color w:val="333333"/>
          <w:sz w:val="15"/>
          <w:szCs w:val="15"/>
        </w:rPr>
        <w:t>10</w:t>
      </w:r>
      <w:r>
        <w:rPr>
          <w:rStyle w:val="mo"/>
          <w:rFonts w:ascii="MathJax_Main" w:hAnsi="MathJax_Main"/>
          <w:b/>
          <w:color w:val="333333"/>
          <w:sz w:val="15"/>
          <w:szCs w:val="15"/>
        </w:rPr>
        <w:t>).</w:t>
      </w:r>
      <w:r>
        <w:rPr>
          <w:rStyle w:val="apple-converted-space"/>
          <w:rFonts w:ascii="Calibri" w:hAnsi="Calibri"/>
          <w:color w:val="333333"/>
          <w:sz w:val="21"/>
          <w:szCs w:val="21"/>
        </w:rPr>
        <w:t> </w:t>
      </w:r>
      <w:r>
        <w:rPr>
          <w:rFonts w:ascii="Calibri" w:hAnsi="Calibri"/>
          <w:color w:val="333333"/>
          <w:sz w:val="21"/>
          <w:szCs w:val="21"/>
        </w:rPr>
        <w:t>By definition, this probability is the area of the rectangular region bounded above by the horizontal line</w:t>
      </w:r>
      <w:r>
        <w:rPr>
          <w:rStyle w:val="apple-converted-space"/>
          <w:rFonts w:ascii="Calibri" w:hAnsi="Calibri"/>
          <w:color w:val="333333"/>
          <w:sz w:val="21"/>
          <w:szCs w:val="21"/>
        </w:rPr>
        <w:t> </w:t>
      </w:r>
      <w:r>
        <w:rPr>
          <w:rStyle w:val="mi"/>
          <w:rFonts w:ascii="MathJax_Math" w:hAnsi="MathJax_Math"/>
          <w:b/>
          <w:i/>
          <w:iCs/>
          <w:color w:val="333333"/>
          <w:sz w:val="15"/>
          <w:szCs w:val="15"/>
        </w:rPr>
        <w:t>f</w:t>
      </w:r>
      <w:r>
        <w:rPr>
          <w:rStyle w:val="mo"/>
          <w:rFonts w:ascii="MathJax_Main" w:hAnsi="MathJax_Main"/>
          <w:b/>
          <w:color w:val="333333"/>
          <w:sz w:val="15"/>
          <w:szCs w:val="15"/>
        </w:rPr>
        <w:t>(</w:t>
      </w:r>
      <w:r>
        <w:rPr>
          <w:rStyle w:val="mi"/>
          <w:rFonts w:ascii="MathJax_Math" w:hAnsi="MathJax_Math"/>
          <w:b/>
          <w:i/>
          <w:iCs/>
          <w:color w:val="333333"/>
          <w:sz w:val="15"/>
          <w:szCs w:val="15"/>
        </w:rPr>
        <w:t>x</w:t>
      </w:r>
      <w:r>
        <w:rPr>
          <w:rStyle w:val="mo"/>
          <w:rFonts w:ascii="MathJax_Main" w:hAnsi="MathJax_Main"/>
          <w:b/>
          <w:color w:val="333333"/>
          <w:sz w:val="15"/>
          <w:szCs w:val="15"/>
        </w:rPr>
        <w:t>)=</w:t>
      </w:r>
      <w:r>
        <w:rPr>
          <w:rStyle w:val="mn"/>
          <w:rFonts w:ascii="MathJax_Main" w:hAnsi="MathJax_Main"/>
          <w:b/>
          <w:color w:val="333333"/>
          <w:sz w:val="15"/>
          <w:szCs w:val="15"/>
        </w:rPr>
        <w:t>1</w:t>
      </w:r>
      <w:r>
        <w:rPr>
          <w:rStyle w:val="mo"/>
          <w:rFonts w:ascii="MathJax_Main" w:hAnsi="MathJax_Main"/>
          <w:b/>
          <w:color w:val="333333"/>
          <w:sz w:val="15"/>
          <w:szCs w:val="15"/>
        </w:rPr>
        <w:t>/</w:t>
      </w:r>
      <w:r>
        <w:rPr>
          <w:rStyle w:val="mn"/>
          <w:rFonts w:ascii="MathJax_Main" w:hAnsi="MathJax_Main"/>
          <w:b/>
          <w:color w:val="333333"/>
          <w:sz w:val="15"/>
          <w:szCs w:val="15"/>
        </w:rPr>
        <w:t>30</w:t>
      </w:r>
      <w:r>
        <w:rPr>
          <w:rFonts w:ascii="Calibri" w:hAnsi="Calibri"/>
          <w:color w:val="333333"/>
          <w:sz w:val="21"/>
          <w:szCs w:val="21"/>
        </w:rPr>
        <w:t>, bounded below by the</w:t>
      </w:r>
      <w:r>
        <w:rPr>
          <w:rStyle w:val="apple-converted-space"/>
          <w:rFonts w:ascii="Calibri" w:hAnsi="Calibri"/>
          <w:color w:val="333333"/>
          <w:sz w:val="21"/>
          <w:szCs w:val="21"/>
        </w:rPr>
        <w:t> </w:t>
      </w:r>
      <w:r>
        <w:rPr>
          <w:rStyle w:val="Emphasis"/>
          <w:rFonts w:ascii="Calibri" w:eastAsiaTheme="majorEastAsia" w:hAnsi="Calibri"/>
          <w:color w:val="333333"/>
          <w:sz w:val="20"/>
          <w:szCs w:val="20"/>
        </w:rPr>
        <w:t>x</w:t>
      </w:r>
      <w:r>
        <w:rPr>
          <w:rFonts w:ascii="Calibri" w:hAnsi="Calibri"/>
          <w:color w:val="333333"/>
          <w:sz w:val="21"/>
          <w:szCs w:val="21"/>
        </w:rPr>
        <w:t>-axis, bounded on the left by the vertical line at 0 (the</w:t>
      </w:r>
      <w:r>
        <w:rPr>
          <w:rStyle w:val="apple-converted-space"/>
          <w:rFonts w:ascii="Calibri" w:hAnsi="Calibri"/>
          <w:color w:val="333333"/>
          <w:sz w:val="21"/>
          <w:szCs w:val="21"/>
        </w:rPr>
        <w:t> </w:t>
      </w:r>
      <w:r>
        <w:rPr>
          <w:rStyle w:val="Emphasis"/>
          <w:rFonts w:ascii="Calibri" w:eastAsiaTheme="majorEastAsia" w:hAnsi="Calibri"/>
          <w:color w:val="333333"/>
          <w:sz w:val="20"/>
          <w:szCs w:val="20"/>
        </w:rPr>
        <w:t>y</w:t>
      </w:r>
      <w:r>
        <w:rPr>
          <w:rFonts w:ascii="Calibri" w:hAnsi="Calibri"/>
          <w:color w:val="333333"/>
          <w:sz w:val="21"/>
          <w:szCs w:val="21"/>
        </w:rPr>
        <w:t>-axis), and bounded on the right by the vertical line at 10. This is the shaded region in</w:t>
      </w:r>
      <w:r>
        <w:rPr>
          <w:rStyle w:val="apple-converted-space"/>
          <w:rFonts w:ascii="Calibri" w:hAnsi="Calibri"/>
          <w:color w:val="333333"/>
          <w:sz w:val="21"/>
          <w:szCs w:val="21"/>
        </w:rPr>
        <w:t> </w:t>
      </w:r>
      <w:r>
        <w:rPr>
          <w:rFonts w:ascii="Calibri" w:hAnsi="Calibri"/>
          <w:color w:val="2689C6"/>
          <w:sz w:val="21"/>
          <w:szCs w:val="21"/>
        </w:rPr>
        <w:t>Figure 5.4 "Probability of Waiting At Most 10 Minutes for a Bus"</w:t>
      </w:r>
      <w:r>
        <w:rPr>
          <w:rFonts w:ascii="Calibri" w:hAnsi="Calibri"/>
          <w:color w:val="333333"/>
          <w:sz w:val="21"/>
          <w:szCs w:val="21"/>
        </w:rPr>
        <w:t>. Its area is the base of the rectangle times its height,</w:t>
      </w:r>
      <w:r>
        <w:rPr>
          <w:rStyle w:val="apple-converted-space"/>
          <w:rFonts w:ascii="Calibri" w:hAnsi="Calibri"/>
          <w:color w:val="333333"/>
          <w:sz w:val="21"/>
          <w:szCs w:val="21"/>
        </w:rPr>
        <w:t> </w:t>
      </w:r>
      <w:r>
        <w:rPr>
          <w:rStyle w:val="mn"/>
          <w:rFonts w:ascii="MathJax_Main" w:hAnsi="MathJax_Main"/>
          <w:b/>
          <w:color w:val="333333"/>
          <w:sz w:val="15"/>
          <w:szCs w:val="15"/>
        </w:rPr>
        <w:t>10</w:t>
      </w:r>
      <w:r>
        <w:rPr>
          <w:rStyle w:val="mo"/>
          <w:rFonts w:ascii="Cambria Math" w:hAnsi="Cambria Math" w:cs="Cambria Math"/>
          <w:b/>
          <w:color w:val="333333"/>
          <w:sz w:val="15"/>
          <w:szCs w:val="15"/>
        </w:rPr>
        <w:t>⋅</w:t>
      </w:r>
      <w:r>
        <w:rPr>
          <w:rStyle w:val="mo"/>
          <w:rFonts w:ascii="MathJax_Main" w:hAnsi="MathJax_Main"/>
          <w:b/>
          <w:color w:val="333333"/>
          <w:sz w:val="15"/>
          <w:szCs w:val="15"/>
        </w:rPr>
        <w:t>(</w:t>
      </w:r>
      <w:r>
        <w:rPr>
          <w:rStyle w:val="mn"/>
          <w:rFonts w:ascii="MathJax_Main" w:hAnsi="MathJax_Main"/>
          <w:b/>
          <w:color w:val="333333"/>
          <w:sz w:val="15"/>
          <w:szCs w:val="15"/>
        </w:rPr>
        <w:t>1</w:t>
      </w:r>
      <w:r>
        <w:rPr>
          <w:rStyle w:val="mo"/>
          <w:rFonts w:ascii="MathJax_Main" w:hAnsi="MathJax_Main"/>
          <w:b/>
          <w:color w:val="333333"/>
          <w:sz w:val="15"/>
          <w:szCs w:val="15"/>
        </w:rPr>
        <w:t>/</w:t>
      </w:r>
      <w:r>
        <w:rPr>
          <w:rStyle w:val="mn"/>
          <w:rFonts w:ascii="MathJax_Main" w:hAnsi="MathJax_Main"/>
          <w:b/>
          <w:color w:val="333333"/>
          <w:sz w:val="15"/>
          <w:szCs w:val="15"/>
        </w:rPr>
        <w:t>30</w:t>
      </w:r>
      <w:r>
        <w:rPr>
          <w:rStyle w:val="mo"/>
          <w:rFonts w:ascii="MathJax_Main" w:hAnsi="MathJax_Main"/>
          <w:b/>
          <w:color w:val="333333"/>
          <w:sz w:val="15"/>
          <w:szCs w:val="15"/>
        </w:rPr>
        <w:t>)=</w:t>
      </w:r>
      <w:r>
        <w:rPr>
          <w:rStyle w:val="mn"/>
          <w:rFonts w:ascii="MathJax_Main" w:hAnsi="MathJax_Main"/>
          <w:b/>
          <w:color w:val="333333"/>
          <w:sz w:val="15"/>
          <w:szCs w:val="15"/>
        </w:rPr>
        <w:t>1</w:t>
      </w:r>
      <w:r>
        <w:rPr>
          <w:rStyle w:val="mo"/>
          <w:rFonts w:ascii="MathJax_Main" w:hAnsi="MathJax_Main"/>
          <w:b/>
          <w:color w:val="333333"/>
          <w:sz w:val="15"/>
          <w:szCs w:val="15"/>
        </w:rPr>
        <w:t>/</w:t>
      </w:r>
      <w:r>
        <w:rPr>
          <w:rStyle w:val="mn"/>
          <w:rFonts w:ascii="MathJax_Main" w:hAnsi="MathJax_Main"/>
          <w:b/>
          <w:color w:val="333333"/>
          <w:sz w:val="15"/>
          <w:szCs w:val="15"/>
        </w:rPr>
        <w:t>3</w:t>
      </w:r>
      <w:r>
        <w:rPr>
          <w:rStyle w:val="mo"/>
          <w:rFonts w:ascii="MathJax_Main" w:hAnsi="MathJax_Main"/>
          <w:color w:val="333333"/>
          <w:sz w:val="15"/>
          <w:szCs w:val="15"/>
        </w:rPr>
        <w:t>.</w:t>
      </w:r>
      <w:r>
        <w:rPr>
          <w:rStyle w:val="apple-converted-space"/>
          <w:rFonts w:ascii="Calibri" w:hAnsi="Calibri"/>
          <w:color w:val="333333"/>
          <w:sz w:val="21"/>
          <w:szCs w:val="21"/>
        </w:rPr>
        <w:t> </w:t>
      </w:r>
      <w:r>
        <w:rPr>
          <w:rFonts w:ascii="Calibri" w:hAnsi="Calibri"/>
          <w:color w:val="333333"/>
          <w:sz w:val="21"/>
          <w:szCs w:val="21"/>
        </w:rPr>
        <w:t>Thus</w:t>
      </w:r>
      <w:r>
        <w:rPr>
          <w:rStyle w:val="apple-converted-space"/>
          <w:rFonts w:ascii="Calibri" w:hAnsi="Calibri"/>
          <w:color w:val="333333"/>
          <w:sz w:val="21"/>
          <w:szCs w:val="21"/>
        </w:rPr>
        <w:t> </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0</w:t>
      </w:r>
      <w:r>
        <w:rPr>
          <w:rStyle w:val="mo"/>
          <w:rFonts w:ascii="MathJax_Main" w:hAnsi="MathJax_Main"/>
          <w:b/>
          <w:color w:val="333333"/>
          <w:sz w:val="15"/>
          <w:szCs w:val="15"/>
        </w:rPr>
        <w:t>≤</w:t>
      </w:r>
      <w:r>
        <w:rPr>
          <w:rStyle w:val="mi"/>
          <w:rFonts w:ascii="MathJax_Math" w:hAnsi="MathJax_Math"/>
          <w:b/>
          <w:i/>
          <w:iCs/>
          <w:color w:val="333333"/>
          <w:sz w:val="15"/>
          <w:szCs w:val="15"/>
        </w:rPr>
        <w:t>X</w:t>
      </w:r>
      <w:r>
        <w:rPr>
          <w:rStyle w:val="mo"/>
          <w:rFonts w:ascii="MathJax_Main" w:hAnsi="MathJax_Main"/>
          <w:b/>
          <w:color w:val="333333"/>
          <w:sz w:val="15"/>
          <w:szCs w:val="15"/>
        </w:rPr>
        <w:t>≤</w:t>
      </w:r>
      <w:r>
        <w:rPr>
          <w:rStyle w:val="mn"/>
          <w:rFonts w:ascii="MathJax_Main" w:hAnsi="MathJax_Main"/>
          <w:b/>
          <w:color w:val="333333"/>
          <w:sz w:val="15"/>
          <w:szCs w:val="15"/>
        </w:rPr>
        <w:t>10</w:t>
      </w:r>
      <w:r>
        <w:rPr>
          <w:rStyle w:val="mo"/>
          <w:rFonts w:ascii="MathJax_Main" w:hAnsi="MathJax_Main"/>
          <w:b/>
          <w:color w:val="333333"/>
          <w:sz w:val="15"/>
          <w:szCs w:val="15"/>
        </w:rPr>
        <w:t>)=</w:t>
      </w:r>
      <w:r>
        <w:rPr>
          <w:rStyle w:val="mn"/>
          <w:rFonts w:ascii="MathJax_Main" w:hAnsi="MathJax_Main"/>
          <w:b/>
          <w:color w:val="333333"/>
          <w:sz w:val="15"/>
          <w:szCs w:val="15"/>
        </w:rPr>
        <w:t>1</w:t>
      </w:r>
      <w:r>
        <w:rPr>
          <w:rStyle w:val="mo"/>
          <w:rFonts w:ascii="MathJax_Main" w:hAnsi="MathJax_Main"/>
          <w:b/>
          <w:color w:val="333333"/>
          <w:sz w:val="15"/>
          <w:szCs w:val="15"/>
        </w:rPr>
        <w:t>/</w:t>
      </w:r>
      <w:r>
        <w:rPr>
          <w:rStyle w:val="mn"/>
          <w:rFonts w:ascii="MathJax_Main" w:hAnsi="MathJax_Main"/>
          <w:b/>
          <w:color w:val="333333"/>
          <w:sz w:val="15"/>
          <w:szCs w:val="15"/>
        </w:rPr>
        <w:t>3</w:t>
      </w:r>
      <w:r>
        <w:rPr>
          <w:rStyle w:val="mo"/>
          <w:rFonts w:ascii="MathJax_Main" w:hAnsi="MathJax_Main"/>
          <w:b/>
          <w:color w:val="333333"/>
          <w:sz w:val="15"/>
          <w:szCs w:val="15"/>
        </w:rPr>
        <w:t>.</w:t>
      </w:r>
    </w:p>
    <w:p w:rsidR="00AD77BB" w:rsidRDefault="00AD77BB">
      <w:pPr>
        <w:pStyle w:val="Title5"/>
        <w:spacing w:before="0" w:beforeAutospacing="0" w:after="0" w:afterAutospacing="0" w:line="439" w:lineRule="atLeast"/>
        <w:ind w:left="300" w:right="375"/>
        <w:textAlignment w:val="baseline"/>
        <w:rPr>
          <w:rStyle w:val="title-prefix"/>
          <w:i/>
          <w:iCs/>
          <w:color w:val="000000"/>
          <w:sz w:val="20"/>
          <w:szCs w:val="20"/>
        </w:rPr>
      </w:pPr>
    </w:p>
    <w:p w:rsidR="00AD77BB" w:rsidRDefault="00AD77BB">
      <w:pPr>
        <w:pStyle w:val="Title5"/>
        <w:spacing w:before="0" w:beforeAutospacing="0" w:after="0" w:afterAutospacing="0" w:line="439" w:lineRule="atLeast"/>
        <w:ind w:left="300" w:right="375"/>
        <w:textAlignment w:val="baseline"/>
        <w:rPr>
          <w:rStyle w:val="title-prefix"/>
          <w:rFonts w:ascii="Calibri" w:hAnsi="Calibri"/>
          <w:i/>
          <w:iCs/>
          <w:color w:val="000000"/>
          <w:sz w:val="20"/>
          <w:szCs w:val="20"/>
        </w:rPr>
      </w:pPr>
    </w:p>
    <w:p w:rsidR="00AD77BB" w:rsidRDefault="00AD77BB">
      <w:pPr>
        <w:pStyle w:val="Title5"/>
        <w:spacing w:before="0" w:beforeAutospacing="0" w:after="0" w:afterAutospacing="0" w:line="439" w:lineRule="atLeast"/>
        <w:ind w:left="300" w:right="375"/>
        <w:textAlignment w:val="baseline"/>
        <w:rPr>
          <w:rStyle w:val="title-prefix"/>
          <w:rFonts w:ascii="Calibri" w:hAnsi="Calibri"/>
          <w:i/>
          <w:iCs/>
          <w:color w:val="000000"/>
          <w:sz w:val="20"/>
          <w:szCs w:val="20"/>
        </w:rPr>
      </w:pPr>
    </w:p>
    <w:p w:rsidR="00AD77BB" w:rsidRDefault="00AD77BB">
      <w:pPr>
        <w:pStyle w:val="Title5"/>
        <w:spacing w:before="0" w:beforeAutospacing="0" w:after="0" w:afterAutospacing="0" w:line="439" w:lineRule="atLeast"/>
        <w:ind w:left="300" w:right="375"/>
        <w:textAlignment w:val="baseline"/>
        <w:rPr>
          <w:rStyle w:val="title-prefix"/>
          <w:rFonts w:ascii="Calibri" w:hAnsi="Calibri"/>
          <w:i/>
          <w:iCs/>
          <w:color w:val="000000"/>
          <w:sz w:val="20"/>
          <w:szCs w:val="20"/>
        </w:rPr>
      </w:pPr>
    </w:p>
    <w:p w:rsidR="00AD77BB" w:rsidRDefault="00B45BA0">
      <w:pPr>
        <w:pStyle w:val="Title5"/>
        <w:spacing w:before="0" w:beforeAutospacing="0" w:after="0" w:afterAutospacing="0" w:line="439" w:lineRule="atLeast"/>
        <w:ind w:left="300" w:right="375"/>
        <w:textAlignment w:val="baseline"/>
        <w:rPr>
          <w:color w:val="BB9966"/>
          <w:sz w:val="22"/>
          <w:szCs w:val="22"/>
        </w:rPr>
      </w:pPr>
      <w:r>
        <w:rPr>
          <w:rStyle w:val="title-prefix"/>
          <w:rFonts w:ascii="Calibri" w:hAnsi="Calibri"/>
          <w:i/>
          <w:iCs/>
          <w:color w:val="000000"/>
          <w:sz w:val="20"/>
          <w:szCs w:val="20"/>
        </w:rPr>
        <w:lastRenderedPageBreak/>
        <w:t>Figure 5.4</w:t>
      </w:r>
      <w:r>
        <w:rPr>
          <w:rFonts w:ascii="Calibri" w:hAnsi="Calibri"/>
          <w:i/>
          <w:iCs/>
          <w:color w:val="BB9966"/>
          <w:sz w:val="22"/>
          <w:szCs w:val="22"/>
        </w:rPr>
        <w:t>Probability of Waiting At Most 10 Minutes for a Bus</w:t>
      </w:r>
    </w:p>
    <w:p w:rsidR="00AD77BB" w:rsidRDefault="00B45BA0">
      <w:pPr>
        <w:spacing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14:anchorId="72BB5254" wp14:editId="17525841">
            <wp:extent cx="4552950" cy="1714500"/>
            <wp:effectExtent l="0" t="0" r="0" b="0"/>
            <wp:docPr id="147" name="Picture 160" descr="http://images.flatworldknowledge.com/shafer/shafer-fig0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images.flatworldknowledge.com/shafer/shafer-fig05_004.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552950" cy="171450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4D107321" wp14:editId="0B1D97B4">
            <wp:extent cx="4848225" cy="4010025"/>
            <wp:effectExtent l="0" t="0" r="9525" b="9525"/>
            <wp:docPr id="148"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848225" cy="4010025"/>
                    </a:xfrm>
                    <a:prstGeom prst="rect">
                      <a:avLst/>
                    </a:prstGeom>
                    <a:noFill/>
                    <a:ln>
                      <a:noFill/>
                    </a:ln>
                  </pic:spPr>
                </pic:pic>
              </a:graphicData>
            </a:graphic>
          </wp:inline>
        </w:drawing>
      </w:r>
    </w:p>
    <w:p w:rsidR="00AD77BB" w:rsidRDefault="00AD77BB">
      <w:pPr>
        <w:pStyle w:val="Title5"/>
        <w:shd w:val="clear" w:color="auto" w:fill="FFFFFF"/>
        <w:spacing w:before="0" w:beforeAutospacing="0" w:after="0" w:afterAutospacing="0" w:line="439" w:lineRule="atLeast"/>
        <w:textAlignment w:val="baseline"/>
        <w:rPr>
          <w:rStyle w:val="title-prefix"/>
          <w:rFonts w:ascii="Georgia" w:hAnsi="Georgia"/>
          <w:i/>
          <w:iCs/>
          <w:color w:val="000000"/>
        </w:rPr>
      </w:pPr>
    </w:p>
    <w:p w:rsidR="00AD77BB" w:rsidRDefault="00AD77BB">
      <w:pPr>
        <w:pStyle w:val="Title5"/>
        <w:shd w:val="clear" w:color="auto" w:fill="FFFFFF"/>
        <w:spacing w:before="0" w:beforeAutospacing="0" w:after="0" w:afterAutospacing="0" w:line="439" w:lineRule="atLeast"/>
        <w:textAlignment w:val="baseline"/>
        <w:rPr>
          <w:rStyle w:val="title-prefix"/>
          <w:rFonts w:ascii="Georgia" w:hAnsi="Georgia"/>
          <w:i/>
          <w:iCs/>
          <w:color w:val="000000"/>
          <w:sz w:val="20"/>
          <w:szCs w:val="20"/>
        </w:rPr>
      </w:pPr>
    </w:p>
    <w:p w:rsidR="00AD77BB" w:rsidRDefault="00AD77BB">
      <w:pPr>
        <w:pStyle w:val="Title5"/>
        <w:shd w:val="clear" w:color="auto" w:fill="FFFFFF"/>
        <w:spacing w:before="0" w:beforeAutospacing="0" w:after="0" w:afterAutospacing="0" w:line="439" w:lineRule="atLeast"/>
        <w:textAlignment w:val="baseline"/>
        <w:rPr>
          <w:rStyle w:val="title-prefix"/>
          <w:rFonts w:ascii="Georgia" w:hAnsi="Georgia"/>
          <w:i/>
          <w:iCs/>
          <w:color w:val="000000"/>
          <w:sz w:val="20"/>
          <w:szCs w:val="20"/>
        </w:rPr>
      </w:pPr>
    </w:p>
    <w:p w:rsidR="00AD77BB" w:rsidRDefault="00AD77BB">
      <w:pPr>
        <w:pStyle w:val="Title5"/>
        <w:shd w:val="clear" w:color="auto" w:fill="FFFFFF"/>
        <w:spacing w:before="0" w:beforeAutospacing="0" w:after="0" w:afterAutospacing="0" w:line="439" w:lineRule="atLeast"/>
        <w:textAlignment w:val="baseline"/>
        <w:rPr>
          <w:rStyle w:val="title-prefix"/>
          <w:rFonts w:ascii="Georgia" w:hAnsi="Georgia"/>
          <w:i/>
          <w:iCs/>
          <w:color w:val="000000"/>
          <w:sz w:val="20"/>
          <w:szCs w:val="20"/>
        </w:rPr>
      </w:pPr>
    </w:p>
    <w:p w:rsidR="00AD77BB" w:rsidRDefault="00AD77BB">
      <w:pPr>
        <w:pStyle w:val="Title5"/>
        <w:shd w:val="clear" w:color="auto" w:fill="FFFFFF"/>
        <w:spacing w:before="0" w:beforeAutospacing="0" w:after="0" w:afterAutospacing="0" w:line="439" w:lineRule="atLeast"/>
        <w:textAlignment w:val="baseline"/>
        <w:rPr>
          <w:rStyle w:val="title-prefix"/>
          <w:rFonts w:ascii="Georgia" w:hAnsi="Georgia"/>
          <w:i/>
          <w:iCs/>
          <w:color w:val="000000"/>
          <w:sz w:val="20"/>
          <w:szCs w:val="20"/>
        </w:rPr>
      </w:pPr>
    </w:p>
    <w:p w:rsidR="00AD77BB" w:rsidRDefault="00AD77BB">
      <w:pPr>
        <w:pStyle w:val="Title5"/>
        <w:shd w:val="clear" w:color="auto" w:fill="FFFFFF"/>
        <w:spacing w:before="0" w:beforeAutospacing="0" w:after="0" w:afterAutospacing="0" w:line="439" w:lineRule="atLeast"/>
        <w:textAlignment w:val="baseline"/>
        <w:rPr>
          <w:rStyle w:val="title-prefix"/>
          <w:rFonts w:ascii="Georgia" w:hAnsi="Georgia"/>
          <w:i/>
          <w:iCs/>
          <w:color w:val="000000"/>
          <w:sz w:val="20"/>
          <w:szCs w:val="20"/>
        </w:rPr>
      </w:pPr>
    </w:p>
    <w:p w:rsidR="00AD77BB" w:rsidRDefault="00AD77BB">
      <w:pPr>
        <w:pStyle w:val="Title5"/>
        <w:shd w:val="clear" w:color="auto" w:fill="FFFFFF"/>
        <w:spacing w:before="0" w:beforeAutospacing="0" w:after="0" w:afterAutospacing="0" w:line="439" w:lineRule="atLeast"/>
        <w:textAlignment w:val="baseline"/>
        <w:rPr>
          <w:rStyle w:val="title-prefix"/>
          <w:rFonts w:ascii="Georgia" w:hAnsi="Georgia"/>
          <w:i/>
          <w:iCs/>
          <w:color w:val="000000"/>
          <w:sz w:val="20"/>
          <w:szCs w:val="20"/>
        </w:rPr>
      </w:pPr>
    </w:p>
    <w:p w:rsidR="00AD77BB" w:rsidRDefault="00B45BA0">
      <w:pPr>
        <w:pStyle w:val="Title5"/>
        <w:shd w:val="clear" w:color="auto" w:fill="FFFFFF"/>
        <w:spacing w:before="0" w:beforeAutospacing="0" w:after="0" w:afterAutospacing="0" w:line="439" w:lineRule="atLeast"/>
        <w:textAlignment w:val="baseline"/>
        <w:rPr>
          <w:color w:val="BB9966"/>
          <w:sz w:val="22"/>
          <w:szCs w:val="22"/>
        </w:rPr>
      </w:pPr>
      <w:r>
        <w:rPr>
          <w:rStyle w:val="title-prefix"/>
          <w:rFonts w:ascii="Georgia" w:hAnsi="Georgia"/>
          <w:i/>
          <w:iCs/>
          <w:color w:val="000000"/>
          <w:sz w:val="20"/>
          <w:szCs w:val="20"/>
        </w:rPr>
        <w:lastRenderedPageBreak/>
        <w:t>Figure 5.5</w:t>
      </w:r>
      <w:r>
        <w:rPr>
          <w:rStyle w:val="apple-converted-space"/>
          <w:rFonts w:ascii="Georgia" w:hAnsi="Georgia"/>
          <w:i/>
          <w:iCs/>
          <w:color w:val="BB9966"/>
          <w:sz w:val="22"/>
          <w:szCs w:val="22"/>
        </w:rPr>
        <w:t> </w:t>
      </w:r>
      <w:r>
        <w:rPr>
          <w:rFonts w:ascii="Georgia" w:hAnsi="Georgia"/>
          <w:i/>
          <w:iCs/>
          <w:color w:val="BB9966"/>
          <w:sz w:val="22"/>
          <w:szCs w:val="22"/>
        </w:rPr>
        <w:t>Bell Curves with</w:t>
      </w:r>
      <w:r>
        <w:rPr>
          <w:rStyle w:val="apple-converted-space"/>
          <w:rFonts w:ascii="Georgia" w:hAnsi="Georgia"/>
          <w:i/>
          <w:iCs/>
          <w:color w:val="BB9966"/>
          <w:sz w:val="22"/>
          <w:szCs w:val="22"/>
        </w:rPr>
        <w:t> </w:t>
      </w:r>
      <w:r>
        <w:rPr>
          <w:rStyle w:val="Emphasis"/>
          <w:rFonts w:ascii="Georgia" w:hAnsi="Georgia"/>
          <w:color w:val="BB9966"/>
          <w:sz w:val="20"/>
          <w:szCs w:val="20"/>
        </w:rPr>
        <w:t>σ</w:t>
      </w:r>
      <w:r>
        <w:rPr>
          <w:rStyle w:val="apple-converted-space"/>
          <w:rFonts w:ascii="Georgia" w:hAnsi="Georgia"/>
          <w:i/>
          <w:iCs/>
          <w:color w:val="BB9966"/>
          <w:sz w:val="22"/>
          <w:szCs w:val="22"/>
        </w:rPr>
        <w:t> </w:t>
      </w:r>
      <w:r>
        <w:rPr>
          <w:rFonts w:ascii="Georgia" w:hAnsi="Georgia"/>
          <w:i/>
          <w:iCs/>
          <w:color w:val="BB9966"/>
          <w:sz w:val="22"/>
          <w:szCs w:val="22"/>
        </w:rPr>
        <w:t>= 0.25 and Different Values of</w:t>
      </w:r>
      <w:r>
        <w:rPr>
          <w:rStyle w:val="apple-converted-space"/>
          <w:rFonts w:ascii="Georgia" w:hAnsi="Georgia"/>
          <w:i/>
          <w:iCs/>
          <w:color w:val="BB9966"/>
          <w:sz w:val="22"/>
          <w:szCs w:val="22"/>
        </w:rPr>
        <w:t> </w:t>
      </w:r>
      <w:r>
        <w:rPr>
          <w:rStyle w:val="Emphasis"/>
          <w:rFonts w:ascii="Georgia" w:hAnsi="Georgia"/>
          <w:color w:val="BB9966"/>
          <w:sz w:val="20"/>
          <w:szCs w:val="20"/>
        </w:rPr>
        <w:t>μ</w:t>
      </w:r>
    </w:p>
    <w:p w:rsidR="00AD77BB" w:rsidRDefault="00B45BA0">
      <w:pPr>
        <w:shd w:val="clear" w:color="auto" w:fill="FFFFFF"/>
        <w:spacing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14:anchorId="09517849" wp14:editId="15803C39">
            <wp:extent cx="3990975" cy="2447925"/>
            <wp:effectExtent l="0" t="0" r="9525" b="9525"/>
            <wp:docPr id="149" name="Picture 163" descr="http://images.flatworldknowledge.com/shafer/shafer-fig0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images.flatworldknowledge.com/shafer/shafer-fig05_005.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990975" cy="2447925"/>
                    </a:xfrm>
                    <a:prstGeom prst="rect">
                      <a:avLst/>
                    </a:prstGeom>
                    <a:noFill/>
                    <a:ln>
                      <a:noFill/>
                    </a:ln>
                  </pic:spPr>
                </pic:pic>
              </a:graphicData>
            </a:graphic>
          </wp:inline>
        </w:drawing>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value of</w:t>
      </w:r>
      <w:r>
        <w:rPr>
          <w:rStyle w:val="apple-converted-space"/>
          <w:rFonts w:ascii="Georgia" w:hAnsi="Georgia"/>
          <w:color w:val="333333"/>
          <w:sz w:val="21"/>
          <w:szCs w:val="21"/>
        </w:rPr>
        <w:t> </w:t>
      </w:r>
      <w:r>
        <w:rPr>
          <w:rStyle w:val="Emphasis"/>
          <w:rFonts w:ascii="Georgia" w:hAnsi="Georgia"/>
          <w:color w:val="333333"/>
          <w:sz w:val="20"/>
          <w:szCs w:val="20"/>
        </w:rPr>
        <w:t>σ</w:t>
      </w:r>
      <w:r>
        <w:rPr>
          <w:rStyle w:val="apple-converted-space"/>
          <w:rFonts w:ascii="Georgia" w:hAnsi="Georgia"/>
          <w:color w:val="333333"/>
          <w:sz w:val="21"/>
          <w:szCs w:val="21"/>
        </w:rPr>
        <w:t> </w:t>
      </w:r>
      <w:r>
        <w:rPr>
          <w:rFonts w:ascii="Georgia" w:hAnsi="Georgia"/>
          <w:color w:val="333333"/>
          <w:sz w:val="21"/>
          <w:szCs w:val="21"/>
        </w:rPr>
        <w:t>determines whether the bell curve is tall and thin or short and squat, subject always to the condition that the total area under the curve be equal to 1. This is shown in</w:t>
      </w:r>
      <w:r>
        <w:rPr>
          <w:rStyle w:val="apple-converted-space"/>
          <w:rFonts w:ascii="Georgia" w:hAnsi="Georgia"/>
          <w:color w:val="333333"/>
          <w:sz w:val="21"/>
          <w:szCs w:val="21"/>
        </w:rPr>
        <w:t> </w:t>
      </w:r>
      <w:r>
        <w:rPr>
          <w:rFonts w:ascii="Georgia" w:eastAsiaTheme="majorEastAsia" w:hAnsi="Georgia"/>
          <w:color w:val="2689C6"/>
          <w:sz w:val="21"/>
          <w:szCs w:val="21"/>
        </w:rPr>
        <w:t>Figure 5.6 "Bell Curves with "</w:t>
      </w:r>
      <w:r>
        <w:rPr>
          <w:rFonts w:ascii="Georgia" w:hAnsi="Georgia"/>
          <w:color w:val="333333"/>
          <w:sz w:val="21"/>
          <w:szCs w:val="21"/>
        </w:rPr>
        <w:t>, where we have arbitrarily chosen to center the curves at</w:t>
      </w:r>
      <w:r>
        <w:rPr>
          <w:rStyle w:val="apple-converted-space"/>
          <w:rFonts w:ascii="Georgia" w:hAnsi="Georgia"/>
          <w:color w:val="333333"/>
          <w:sz w:val="21"/>
          <w:szCs w:val="21"/>
        </w:rPr>
        <w:t> </w:t>
      </w:r>
      <w:r>
        <w:rPr>
          <w:rStyle w:val="Emphasis"/>
          <w:rFonts w:ascii="Georgia" w:hAnsi="Georgia"/>
          <w:color w:val="333333"/>
          <w:sz w:val="20"/>
          <w:szCs w:val="20"/>
        </w:rPr>
        <w:t>μ</w:t>
      </w:r>
      <w:r>
        <w:rPr>
          <w:rStyle w:val="apple-converted-space"/>
          <w:rFonts w:ascii="Georgia" w:hAnsi="Georgia"/>
          <w:color w:val="333333"/>
          <w:sz w:val="21"/>
          <w:szCs w:val="21"/>
        </w:rPr>
        <w:t> </w:t>
      </w:r>
      <w:r>
        <w:rPr>
          <w:rFonts w:ascii="Georgia" w:hAnsi="Georgia"/>
          <w:color w:val="333333"/>
          <w:sz w:val="21"/>
          <w:szCs w:val="21"/>
        </w:rPr>
        <w:t>= 6.</w:t>
      </w:r>
    </w:p>
    <w:p w:rsidR="00AD77BB" w:rsidRDefault="00B45BA0">
      <w:pPr>
        <w:pStyle w:val="Title5"/>
        <w:shd w:val="clear" w:color="auto" w:fill="FFFFFF"/>
        <w:spacing w:before="0" w:beforeAutospacing="0" w:after="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5.6</w:t>
      </w:r>
      <w:r>
        <w:rPr>
          <w:rStyle w:val="apple-converted-space"/>
          <w:rFonts w:ascii="Georgia" w:hAnsi="Georgia"/>
          <w:i/>
          <w:iCs/>
          <w:color w:val="BB9966"/>
          <w:sz w:val="22"/>
          <w:szCs w:val="22"/>
        </w:rPr>
        <w:t> </w:t>
      </w:r>
      <w:r>
        <w:rPr>
          <w:rFonts w:ascii="Georgia" w:hAnsi="Georgia"/>
          <w:i/>
          <w:iCs/>
          <w:color w:val="BB9966"/>
          <w:sz w:val="22"/>
          <w:szCs w:val="22"/>
        </w:rPr>
        <w:t>Bell Curves with</w:t>
      </w:r>
      <w:r>
        <w:rPr>
          <w:rStyle w:val="apple-converted-space"/>
          <w:rFonts w:ascii="Georgia" w:hAnsi="Georgia"/>
          <w:i/>
          <w:iCs/>
          <w:color w:val="BB9966"/>
          <w:sz w:val="22"/>
          <w:szCs w:val="22"/>
        </w:rPr>
        <w:t> </w:t>
      </w:r>
      <w:r>
        <w:rPr>
          <w:rStyle w:val="Emphasis"/>
          <w:rFonts w:ascii="Georgia" w:hAnsi="Georgia"/>
          <w:color w:val="BB9966"/>
          <w:sz w:val="20"/>
          <w:szCs w:val="20"/>
        </w:rPr>
        <w:t>μ</w:t>
      </w:r>
      <w:r>
        <w:rPr>
          <w:rStyle w:val="apple-converted-space"/>
          <w:rFonts w:ascii="Georgia" w:hAnsi="Georgia"/>
          <w:i/>
          <w:iCs/>
          <w:color w:val="BB9966"/>
          <w:sz w:val="22"/>
          <w:szCs w:val="22"/>
        </w:rPr>
        <w:t> </w:t>
      </w:r>
      <w:r>
        <w:rPr>
          <w:rFonts w:ascii="Georgia" w:hAnsi="Georgia"/>
          <w:i/>
          <w:iCs/>
          <w:color w:val="BB9966"/>
          <w:sz w:val="22"/>
          <w:szCs w:val="22"/>
        </w:rPr>
        <w:t>= 6 and Different Values of</w:t>
      </w:r>
      <w:r>
        <w:rPr>
          <w:rStyle w:val="apple-converted-space"/>
          <w:rFonts w:ascii="Georgia" w:hAnsi="Georgia"/>
          <w:i/>
          <w:iCs/>
          <w:color w:val="BB9966"/>
          <w:sz w:val="22"/>
          <w:szCs w:val="22"/>
        </w:rPr>
        <w:t> </w:t>
      </w:r>
      <w:r>
        <w:rPr>
          <w:rStyle w:val="Emphasis"/>
          <w:rFonts w:ascii="Georgia" w:hAnsi="Georgia"/>
          <w:color w:val="BB9966"/>
          <w:sz w:val="20"/>
          <w:szCs w:val="20"/>
        </w:rPr>
        <w:t>σ</w:t>
      </w:r>
    </w:p>
    <w:p w:rsidR="00AD77BB" w:rsidRDefault="00B45BA0">
      <w:pPr>
        <w:shd w:val="clear" w:color="auto" w:fill="FFFFFF"/>
        <w:spacing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14:anchorId="739316EB" wp14:editId="6CE328C2">
            <wp:extent cx="4286250" cy="2781300"/>
            <wp:effectExtent l="0" t="0" r="0" b="0"/>
            <wp:docPr id="150" name="Picture 162" descr="http://images.flatworldknowledge.com/shafer/shafer-fig05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images.flatworldknowledge.com/shafer/shafer-fig05_006.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286250" cy="2781300"/>
                    </a:xfrm>
                    <a:prstGeom prst="rect">
                      <a:avLst/>
                    </a:prstGeom>
                    <a:noFill/>
                    <a:ln>
                      <a:noFill/>
                    </a:ln>
                  </pic:spPr>
                </pic:pic>
              </a:graphicData>
            </a:graphic>
          </wp:inline>
        </w:drawing>
      </w:r>
    </w:p>
    <w:p w:rsidR="00AD77BB" w:rsidRDefault="00B45BA0">
      <w:pPr>
        <w:pStyle w:val="Heading3"/>
        <w:shd w:val="clear" w:color="auto" w:fill="F4F4F4"/>
        <w:spacing w:before="0" w:beforeAutospacing="0" w:after="0" w:afterAutospacing="0" w:line="360" w:lineRule="auto"/>
        <w:textAlignment w:val="baseline"/>
        <w:rPr>
          <w:rFonts w:ascii="Calibri" w:hAnsi="Calibri"/>
          <w:color w:val="333333"/>
          <w:sz w:val="30"/>
          <w:szCs w:val="30"/>
        </w:rPr>
      </w:pPr>
      <w:r>
        <w:rPr>
          <w:rFonts w:ascii="Calibri" w:hAnsi="Calibri"/>
          <w:color w:val="333333"/>
          <w:sz w:val="30"/>
          <w:szCs w:val="30"/>
        </w:rPr>
        <w:t>Definition</w:t>
      </w: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rPr>
        <w:t>The probability distribution corresponding to the density function for the bell curve with parameters</w:t>
      </w:r>
      <w:r>
        <w:rPr>
          <w:rStyle w:val="apple-converted-space"/>
          <w:rFonts w:ascii="Georgia" w:hAnsi="Georgia"/>
          <w:color w:val="333333"/>
          <w:sz w:val="20"/>
          <w:szCs w:val="20"/>
        </w:rPr>
        <w:t> </w:t>
      </w:r>
      <w:r>
        <w:rPr>
          <w:rStyle w:val="Emphasis"/>
          <w:rFonts w:ascii="Georgia" w:hAnsi="Georgia"/>
          <w:color w:val="333333"/>
          <w:sz w:val="20"/>
          <w:szCs w:val="20"/>
        </w:rPr>
        <w:t>μ</w:t>
      </w:r>
      <w:r>
        <w:rPr>
          <w:rStyle w:val="apple-converted-space"/>
          <w:rFonts w:ascii="Georgia" w:hAnsi="Georgia"/>
          <w:color w:val="333333"/>
          <w:sz w:val="20"/>
          <w:szCs w:val="20"/>
        </w:rPr>
        <w:t> </w:t>
      </w:r>
      <w:r>
        <w:rPr>
          <w:rStyle w:val="Emphasis"/>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rPr>
        <w:t>σ</w:t>
      </w:r>
      <w:r>
        <w:rPr>
          <w:rStyle w:val="apple-converted-space"/>
          <w:rFonts w:ascii="Georgia" w:hAnsi="Georgia"/>
          <w:color w:val="333333"/>
          <w:sz w:val="20"/>
          <w:szCs w:val="20"/>
        </w:rPr>
        <w:t> </w:t>
      </w:r>
      <w:r>
        <w:rPr>
          <w:rStyle w:val="Emphasis"/>
          <w:rFonts w:ascii="Georgia" w:hAnsi="Georgia"/>
          <w:color w:val="333333"/>
          <w:sz w:val="20"/>
          <w:szCs w:val="20"/>
        </w:rPr>
        <w:t>is called the</w:t>
      </w:r>
      <w:r>
        <w:rPr>
          <w:rStyle w:val="apple-converted-space"/>
          <w:rFonts w:ascii="Georgia" w:hAnsi="Georgia"/>
          <w:color w:val="333333"/>
          <w:sz w:val="20"/>
          <w:szCs w:val="20"/>
        </w:rPr>
        <w:t> </w:t>
      </w:r>
      <w:r>
        <w:rPr>
          <w:rStyle w:val="marginterm"/>
          <w:rFonts w:ascii="Georgia" w:eastAsiaTheme="majorEastAsia" w:hAnsi="Georgia"/>
          <w:b/>
          <w:color w:val="333333"/>
          <w:sz w:val="20"/>
          <w:szCs w:val="20"/>
        </w:rPr>
        <w:t>normal distribution</w:t>
      </w:r>
      <w:r>
        <w:rPr>
          <w:rStyle w:val="marginterm"/>
          <w:rFonts w:ascii="Georgia" w:eastAsiaTheme="majorEastAsia" w:hAnsi="Georgia"/>
          <w:color w:val="333333"/>
          <w:sz w:val="20"/>
          <w:szCs w:val="20"/>
        </w:rPr>
        <w:t xml:space="preserve"> </w:t>
      </w:r>
      <w:r>
        <w:rPr>
          <w:rStyle w:val="Emphasis"/>
          <w:rFonts w:ascii="Georgia" w:hAnsi="Georgia"/>
          <w:color w:val="333333"/>
          <w:sz w:val="20"/>
          <w:szCs w:val="20"/>
        </w:rPr>
        <w:t>with mean</w:t>
      </w:r>
      <w:r>
        <w:rPr>
          <w:rStyle w:val="apple-converted-space"/>
          <w:rFonts w:ascii="Georgia" w:hAnsi="Georgia"/>
          <w:color w:val="333333"/>
          <w:sz w:val="20"/>
          <w:szCs w:val="20"/>
        </w:rPr>
        <w:t> </w:t>
      </w:r>
      <w:r>
        <w:rPr>
          <w:rStyle w:val="Emphasis"/>
          <w:rFonts w:ascii="Georgia" w:hAnsi="Georgia"/>
          <w:color w:val="333333"/>
          <w:sz w:val="20"/>
          <w:szCs w:val="20"/>
        </w:rPr>
        <w:t>μ</w:t>
      </w:r>
      <w:r>
        <w:rPr>
          <w:rStyle w:val="apple-converted-space"/>
          <w:rFonts w:ascii="Georgia" w:hAnsi="Georgia"/>
          <w:color w:val="333333"/>
          <w:sz w:val="20"/>
          <w:szCs w:val="20"/>
        </w:rPr>
        <w:t> </w:t>
      </w:r>
      <w:r>
        <w:rPr>
          <w:rStyle w:val="Emphasis"/>
          <w:rFonts w:ascii="Georgia" w:hAnsi="Georgia"/>
          <w:color w:val="333333"/>
          <w:sz w:val="20"/>
          <w:szCs w:val="20"/>
        </w:rPr>
        <w:t>and standard deviation</w:t>
      </w:r>
      <w:r>
        <w:rPr>
          <w:rStyle w:val="apple-converted-space"/>
          <w:rFonts w:ascii="Georgia" w:hAnsi="Georgia"/>
          <w:color w:val="333333"/>
          <w:sz w:val="20"/>
          <w:szCs w:val="20"/>
        </w:rPr>
        <w:t> </w:t>
      </w:r>
      <w:r>
        <w:rPr>
          <w:rStyle w:val="Emphasis"/>
          <w:rFonts w:ascii="Georgia" w:hAnsi="Georgia"/>
          <w:color w:val="333333"/>
          <w:sz w:val="20"/>
          <w:szCs w:val="20"/>
        </w:rPr>
        <w:t>σ</w:t>
      </w:r>
      <w:r>
        <w:rPr>
          <w:rFonts w:ascii="Georgia" w:hAnsi="Georgia"/>
          <w:color w:val="333333"/>
          <w:sz w:val="20"/>
          <w:szCs w:val="20"/>
        </w:rPr>
        <w:t>.</w:t>
      </w:r>
    </w:p>
    <w:p w:rsidR="00AD77BB" w:rsidRDefault="00AD77BB">
      <w:pPr>
        <w:pStyle w:val="Heading3"/>
        <w:shd w:val="clear" w:color="auto" w:fill="F4F4F4"/>
        <w:spacing w:before="0" w:beforeAutospacing="0" w:after="0" w:afterAutospacing="0" w:line="360" w:lineRule="auto"/>
        <w:textAlignment w:val="baseline"/>
        <w:rPr>
          <w:rFonts w:ascii="Calibri" w:hAnsi="Calibri"/>
          <w:color w:val="333333"/>
          <w:sz w:val="30"/>
          <w:szCs w:val="30"/>
        </w:rPr>
      </w:pPr>
    </w:p>
    <w:p w:rsidR="00AD77BB" w:rsidRDefault="00AD77BB">
      <w:pPr>
        <w:pStyle w:val="Heading3"/>
        <w:shd w:val="clear" w:color="auto" w:fill="F4F4F4"/>
        <w:spacing w:before="0" w:beforeAutospacing="0" w:after="0" w:afterAutospacing="0" w:line="360" w:lineRule="auto"/>
        <w:textAlignment w:val="baseline"/>
        <w:rPr>
          <w:rFonts w:ascii="Calibri" w:hAnsi="Calibri"/>
          <w:color w:val="333333"/>
          <w:sz w:val="30"/>
          <w:szCs w:val="30"/>
        </w:rPr>
      </w:pPr>
    </w:p>
    <w:p w:rsidR="00AD77BB" w:rsidRDefault="00AD77BB">
      <w:pPr>
        <w:pStyle w:val="Heading3"/>
        <w:shd w:val="clear" w:color="auto" w:fill="F4F4F4"/>
        <w:spacing w:before="0" w:beforeAutospacing="0" w:after="0" w:afterAutospacing="0" w:line="360" w:lineRule="auto"/>
        <w:textAlignment w:val="baseline"/>
        <w:rPr>
          <w:rFonts w:ascii="Calibri" w:hAnsi="Calibri"/>
          <w:color w:val="333333"/>
          <w:sz w:val="30"/>
          <w:szCs w:val="30"/>
        </w:rPr>
      </w:pPr>
    </w:p>
    <w:p w:rsidR="00AD77BB" w:rsidRDefault="00B45BA0">
      <w:pPr>
        <w:pStyle w:val="Heading3"/>
        <w:shd w:val="clear" w:color="auto" w:fill="F4F4F4"/>
        <w:spacing w:before="0" w:beforeAutospacing="0" w:after="0" w:afterAutospacing="0" w:line="360" w:lineRule="auto"/>
        <w:textAlignment w:val="baseline"/>
        <w:rPr>
          <w:rFonts w:ascii="Calibri" w:hAnsi="Calibri"/>
          <w:color w:val="333333"/>
          <w:sz w:val="30"/>
          <w:szCs w:val="30"/>
        </w:rPr>
      </w:pPr>
      <w:r>
        <w:rPr>
          <w:rFonts w:ascii="Calibri" w:hAnsi="Calibri"/>
          <w:color w:val="333333"/>
          <w:sz w:val="30"/>
          <w:szCs w:val="30"/>
        </w:rPr>
        <w:t>Definition</w:t>
      </w: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rPr>
        <w:t>A continuous random variable whose probabilities are described by the normal distribution with mean</w:t>
      </w:r>
      <w:r>
        <w:rPr>
          <w:rStyle w:val="apple-converted-space"/>
          <w:rFonts w:ascii="Georgia" w:hAnsi="Georgia"/>
          <w:color w:val="333333"/>
          <w:sz w:val="20"/>
          <w:szCs w:val="20"/>
        </w:rPr>
        <w:t> </w:t>
      </w:r>
      <w:r>
        <w:rPr>
          <w:rStyle w:val="Emphasis"/>
          <w:rFonts w:ascii="Georgia" w:hAnsi="Georgia"/>
          <w:color w:val="333333"/>
          <w:sz w:val="20"/>
          <w:szCs w:val="20"/>
        </w:rPr>
        <w:t>μ</w:t>
      </w:r>
      <w:r>
        <w:rPr>
          <w:rStyle w:val="apple-converted-space"/>
          <w:rFonts w:ascii="Georgia" w:hAnsi="Georgia"/>
          <w:color w:val="333333"/>
          <w:sz w:val="20"/>
          <w:szCs w:val="20"/>
        </w:rPr>
        <w:t> </w:t>
      </w:r>
      <w:r>
        <w:rPr>
          <w:rStyle w:val="Emphasis"/>
          <w:rFonts w:ascii="Georgia" w:hAnsi="Georgia"/>
          <w:color w:val="333333"/>
          <w:sz w:val="20"/>
          <w:szCs w:val="20"/>
        </w:rPr>
        <w:t>and standard deviation</w:t>
      </w:r>
      <w:r>
        <w:rPr>
          <w:rStyle w:val="apple-converted-space"/>
          <w:rFonts w:ascii="Georgia" w:hAnsi="Georgia"/>
          <w:color w:val="333333"/>
          <w:sz w:val="20"/>
          <w:szCs w:val="20"/>
        </w:rPr>
        <w:t> </w:t>
      </w:r>
      <w:r>
        <w:rPr>
          <w:rStyle w:val="Emphasis"/>
          <w:rFonts w:ascii="Georgia" w:hAnsi="Georgia"/>
          <w:color w:val="333333"/>
          <w:sz w:val="20"/>
          <w:szCs w:val="20"/>
        </w:rPr>
        <w:t>σ</w:t>
      </w:r>
      <w:r>
        <w:rPr>
          <w:rStyle w:val="apple-converted-space"/>
          <w:rFonts w:ascii="Georgia" w:hAnsi="Georgia"/>
          <w:color w:val="333333"/>
          <w:sz w:val="20"/>
          <w:szCs w:val="20"/>
        </w:rPr>
        <w:t> </w:t>
      </w:r>
      <w:r>
        <w:rPr>
          <w:rStyle w:val="Emphasis"/>
          <w:rFonts w:ascii="Georgia" w:hAnsi="Georgia"/>
          <w:color w:val="333333"/>
          <w:sz w:val="20"/>
          <w:szCs w:val="20"/>
        </w:rPr>
        <w:t xml:space="preserve">is called a </w:t>
      </w:r>
      <w:r>
        <w:rPr>
          <w:rStyle w:val="Strong"/>
          <w:rFonts w:ascii="Georgia" w:hAnsi="Georgia"/>
          <w:color w:val="333333"/>
          <w:sz w:val="20"/>
          <w:szCs w:val="20"/>
        </w:rPr>
        <w:t xml:space="preserve">normally distributed random variable, or a </w:t>
      </w:r>
      <w:r>
        <w:rPr>
          <w:rStyle w:val="marginterm"/>
          <w:rFonts w:ascii="Georgia" w:eastAsiaTheme="majorEastAsia" w:hAnsi="Georgia"/>
          <w:b/>
          <w:color w:val="333333"/>
          <w:sz w:val="20"/>
          <w:szCs w:val="20"/>
        </w:rPr>
        <w:t>normal random variable</w:t>
      </w:r>
      <w:r>
        <w:rPr>
          <w:rStyle w:val="apple-converted-space"/>
          <w:rFonts w:ascii="Georgia" w:hAnsi="Georgia"/>
          <w:color w:val="333333"/>
          <w:sz w:val="20"/>
          <w:szCs w:val="20"/>
        </w:rPr>
        <w:t> </w:t>
      </w:r>
      <w:r>
        <w:rPr>
          <w:rStyle w:val="Emphasis"/>
          <w:rFonts w:ascii="Georgia" w:hAnsi="Georgia"/>
          <w:color w:val="333333"/>
          <w:sz w:val="20"/>
          <w:szCs w:val="20"/>
        </w:rPr>
        <w:t>for short, with mean</w:t>
      </w:r>
      <w:r>
        <w:rPr>
          <w:rStyle w:val="apple-converted-space"/>
          <w:rFonts w:ascii="Georgia" w:hAnsi="Georgia"/>
          <w:color w:val="333333"/>
          <w:sz w:val="20"/>
          <w:szCs w:val="20"/>
        </w:rPr>
        <w:t> </w:t>
      </w:r>
      <w:r>
        <w:rPr>
          <w:rStyle w:val="Emphasis"/>
          <w:rFonts w:ascii="Georgia" w:hAnsi="Georgia"/>
          <w:color w:val="333333"/>
          <w:sz w:val="20"/>
          <w:szCs w:val="20"/>
        </w:rPr>
        <w:t>μ</w:t>
      </w:r>
      <w:r>
        <w:rPr>
          <w:rStyle w:val="apple-converted-space"/>
          <w:rFonts w:ascii="Georgia" w:hAnsi="Georgia"/>
          <w:color w:val="333333"/>
          <w:sz w:val="20"/>
          <w:szCs w:val="20"/>
        </w:rPr>
        <w:t> </w:t>
      </w:r>
      <w:r>
        <w:rPr>
          <w:rStyle w:val="Emphasis"/>
          <w:rFonts w:ascii="Georgia" w:hAnsi="Georgia"/>
          <w:color w:val="333333"/>
          <w:sz w:val="20"/>
          <w:szCs w:val="20"/>
        </w:rPr>
        <w:t>and standard deviation</w:t>
      </w:r>
      <w:r>
        <w:rPr>
          <w:rStyle w:val="apple-converted-space"/>
          <w:rFonts w:ascii="Georgia" w:hAnsi="Georgia"/>
          <w:color w:val="333333"/>
          <w:sz w:val="20"/>
          <w:szCs w:val="20"/>
        </w:rPr>
        <w:t> </w:t>
      </w:r>
      <w:r>
        <w:rPr>
          <w:rStyle w:val="Emphasis"/>
          <w:rFonts w:ascii="Georgia" w:hAnsi="Georgia"/>
          <w:color w:val="333333"/>
          <w:sz w:val="20"/>
          <w:szCs w:val="20"/>
        </w:rPr>
        <w:t>σ</w:t>
      </w:r>
      <w:r>
        <w:rPr>
          <w:rFonts w:ascii="Georgia" w:hAnsi="Georgia"/>
          <w:color w:val="333333"/>
          <w:sz w:val="20"/>
          <w:szCs w:val="20"/>
        </w:rPr>
        <w:t>.</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eastAsiaTheme="majorEastAsia" w:hAnsi="Georgia"/>
          <w:color w:val="2689C6"/>
          <w:sz w:val="21"/>
          <w:szCs w:val="21"/>
        </w:rPr>
        <w:t>Figure 5.7 "Density Function for a Normally Distributed Random Variable with Mean "</w:t>
      </w:r>
      <w:r>
        <w:rPr>
          <w:rStyle w:val="apple-converted-space"/>
          <w:rFonts w:ascii="Georgia" w:hAnsi="Georgia"/>
          <w:color w:val="333333"/>
          <w:sz w:val="21"/>
          <w:szCs w:val="21"/>
        </w:rPr>
        <w:t> </w:t>
      </w:r>
      <w:r>
        <w:rPr>
          <w:rFonts w:ascii="Georgia" w:hAnsi="Georgia"/>
          <w:color w:val="333333"/>
          <w:sz w:val="21"/>
          <w:szCs w:val="21"/>
        </w:rPr>
        <w:t>shows the density function that determines the normal distribution with mean</w:t>
      </w:r>
      <w:r>
        <w:rPr>
          <w:rStyle w:val="apple-converted-space"/>
          <w:rFonts w:ascii="Georgia" w:hAnsi="Georgia"/>
          <w:color w:val="333333"/>
          <w:sz w:val="21"/>
          <w:szCs w:val="21"/>
        </w:rPr>
        <w:t> </w:t>
      </w:r>
      <w:r>
        <w:rPr>
          <w:rStyle w:val="Emphasis"/>
          <w:rFonts w:ascii="Georgia" w:hAnsi="Georgia"/>
          <w:color w:val="333333"/>
          <w:sz w:val="20"/>
          <w:szCs w:val="20"/>
        </w:rPr>
        <w:t>μ</w:t>
      </w:r>
      <w:r>
        <w:rPr>
          <w:rStyle w:val="apple-converted-space"/>
          <w:rFonts w:ascii="Georgia" w:hAnsi="Georgia"/>
          <w:color w:val="333333"/>
          <w:sz w:val="21"/>
          <w:szCs w:val="21"/>
        </w:rPr>
        <w:t> </w:t>
      </w:r>
      <w:r>
        <w:rPr>
          <w:rFonts w:ascii="Georgia" w:hAnsi="Georgia"/>
          <w:color w:val="333333"/>
          <w:sz w:val="21"/>
          <w:szCs w:val="21"/>
        </w:rPr>
        <w:t>and standard deviation</w:t>
      </w:r>
      <w:r>
        <w:rPr>
          <w:rStyle w:val="apple-converted-space"/>
          <w:rFonts w:ascii="Georgia" w:hAnsi="Georgia"/>
          <w:color w:val="333333"/>
          <w:sz w:val="21"/>
          <w:szCs w:val="21"/>
        </w:rPr>
        <w:t> </w:t>
      </w:r>
      <w:r>
        <w:rPr>
          <w:rStyle w:val="Emphasis"/>
          <w:rFonts w:ascii="Georgia" w:hAnsi="Georgia"/>
          <w:color w:val="333333"/>
          <w:sz w:val="20"/>
          <w:szCs w:val="20"/>
        </w:rPr>
        <w:t>σ</w:t>
      </w:r>
      <w:r>
        <w:rPr>
          <w:rFonts w:ascii="Georgia" w:hAnsi="Georgia"/>
          <w:color w:val="333333"/>
          <w:sz w:val="21"/>
          <w:szCs w:val="21"/>
        </w:rPr>
        <w:t>. We repeat an important fact about this curve:</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The density curve for the normal distribution is symmetric about the mean.</w:t>
      </w:r>
    </w:p>
    <w:p w:rsidR="00AD77BB" w:rsidRDefault="00AD77BB">
      <w:pPr>
        <w:shd w:val="clear" w:color="auto" w:fill="FFFFFF"/>
        <w:spacing w:line="270" w:lineRule="atLeast"/>
        <w:textAlignment w:val="baseline"/>
        <w:rPr>
          <w:rFonts w:ascii="Calibri" w:hAnsi="Calibri"/>
          <w:color w:val="555555"/>
          <w:sz w:val="27"/>
          <w:szCs w:val="27"/>
        </w:rPr>
      </w:pP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t>Figure 5.7</w:t>
      </w:r>
      <w:r>
        <w:rPr>
          <w:rFonts w:ascii="Georgia" w:eastAsia="Times New Roman" w:hAnsi="Georgia" w:cs="Times New Roman"/>
          <w:i/>
          <w:iCs/>
          <w:color w:val="BB9966"/>
          <w:sz w:val="19"/>
          <w:szCs w:val="19"/>
        </w:rPr>
        <w:t> Density Function for a Normally Distributed Random Variable with Mean </w:t>
      </w:r>
      <w:r>
        <w:rPr>
          <w:rFonts w:ascii="Georgia" w:eastAsia="Times New Roman" w:hAnsi="Georgia" w:cs="Times New Roman"/>
          <w:i/>
          <w:iCs/>
          <w:color w:val="BB9966"/>
          <w:sz w:val="20"/>
          <w:szCs w:val="20"/>
        </w:rPr>
        <w:t>μ</w:t>
      </w:r>
      <w:r>
        <w:rPr>
          <w:rFonts w:ascii="Georgia" w:eastAsia="Times New Roman" w:hAnsi="Georgia" w:cs="Times New Roman"/>
          <w:i/>
          <w:iCs/>
          <w:color w:val="BB9966"/>
          <w:sz w:val="19"/>
          <w:szCs w:val="19"/>
        </w:rPr>
        <w:t> and Standard Deviation </w:t>
      </w:r>
      <w:r>
        <w:rPr>
          <w:rFonts w:ascii="Georgia" w:eastAsia="Times New Roman" w:hAnsi="Georgia" w:cs="Times New Roman"/>
          <w:i/>
          <w:iCs/>
          <w:color w:val="BB9966"/>
          <w:sz w:val="20"/>
          <w:szCs w:val="20"/>
        </w:rPr>
        <w:t>σ</w:t>
      </w:r>
    </w:p>
    <w:p w:rsidR="00AD77BB" w:rsidRDefault="00B45BA0">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sz w:val="26"/>
          <w:szCs w:val="26"/>
          <w:shd w:val="clear" w:color="auto" w:fill="FFFFFF"/>
        </w:rPr>
        <w:drawing>
          <wp:inline distT="0" distB="0" distL="0" distR="0" wp14:anchorId="619F9030" wp14:editId="416B6910">
            <wp:extent cx="4838700" cy="2895600"/>
            <wp:effectExtent l="0" t="0" r="0" b="0"/>
            <wp:docPr id="151" name="Picture 164" descr="http://images.flatworldknowledge.com/shafer/shafer-fig0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images.flatworldknowledge.com/shafer/shafer-fig05_007.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838700" cy="2895600"/>
                    </a:xfrm>
                    <a:prstGeom prst="rect">
                      <a:avLst/>
                    </a:prstGeom>
                    <a:noFill/>
                    <a:ln>
                      <a:noFill/>
                    </a:ln>
                  </pic:spPr>
                </pic:pic>
              </a:graphicData>
            </a:graphic>
          </wp:inline>
        </w:drawing>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3</w:t>
      </w:r>
    </w:p>
    <w:p w:rsidR="00AD77BB" w:rsidRDefault="00B45BA0">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Heights of 25-year-old men in a certain region have mean 69.75 inches and standard deviation 2.59 inches. These heights are approximately normally distributed. Thus the height</w:t>
      </w:r>
      <w:r>
        <w:rPr>
          <w:rStyle w:val="apple-converted-space"/>
          <w:rFonts w:ascii="Calibri" w:hAnsi="Calibri"/>
          <w:color w:val="333333"/>
          <w:sz w:val="21"/>
          <w:szCs w:val="21"/>
        </w:rPr>
        <w:t> </w:t>
      </w:r>
      <w:r>
        <w:rPr>
          <w:rStyle w:val="Emphasis"/>
          <w:rFonts w:ascii="Calibri" w:hAnsi="Calibri"/>
          <w:color w:val="333333"/>
          <w:sz w:val="20"/>
          <w:szCs w:val="20"/>
        </w:rPr>
        <w:t>X</w:t>
      </w:r>
      <w:r>
        <w:rPr>
          <w:rStyle w:val="apple-converted-space"/>
          <w:rFonts w:ascii="Calibri" w:hAnsi="Calibri"/>
          <w:color w:val="333333"/>
          <w:sz w:val="21"/>
          <w:szCs w:val="21"/>
        </w:rPr>
        <w:t> </w:t>
      </w:r>
      <w:r>
        <w:rPr>
          <w:rFonts w:ascii="Calibri" w:hAnsi="Calibri"/>
          <w:color w:val="333333"/>
          <w:sz w:val="21"/>
          <w:szCs w:val="21"/>
        </w:rPr>
        <w:t>of a randomly selected 25-year-old man is a normal random variable with mean</w:t>
      </w:r>
      <w:r>
        <w:rPr>
          <w:rStyle w:val="apple-converted-space"/>
          <w:rFonts w:ascii="Calibri" w:hAnsi="Calibri"/>
          <w:color w:val="333333"/>
          <w:sz w:val="21"/>
          <w:szCs w:val="21"/>
        </w:rPr>
        <w:t> </w:t>
      </w:r>
      <w:r>
        <w:rPr>
          <w:rStyle w:val="Emphasis"/>
          <w:rFonts w:ascii="Calibri" w:hAnsi="Calibri"/>
          <w:color w:val="333333"/>
          <w:sz w:val="20"/>
          <w:szCs w:val="20"/>
        </w:rPr>
        <w:t>μ</w:t>
      </w:r>
      <w:r>
        <w:rPr>
          <w:rStyle w:val="apple-converted-space"/>
          <w:rFonts w:ascii="Calibri" w:hAnsi="Calibri"/>
          <w:color w:val="333333"/>
          <w:sz w:val="21"/>
          <w:szCs w:val="21"/>
        </w:rPr>
        <w:t> </w:t>
      </w:r>
      <w:r>
        <w:rPr>
          <w:rFonts w:ascii="Calibri" w:hAnsi="Calibri"/>
          <w:color w:val="333333"/>
          <w:sz w:val="21"/>
          <w:szCs w:val="21"/>
        </w:rPr>
        <w:t>= 69.75 and standard deviation</w:t>
      </w:r>
      <w:r>
        <w:rPr>
          <w:rStyle w:val="apple-converted-space"/>
          <w:rFonts w:ascii="Calibri" w:hAnsi="Calibri"/>
          <w:color w:val="333333"/>
          <w:sz w:val="21"/>
          <w:szCs w:val="21"/>
        </w:rPr>
        <w:t> </w:t>
      </w:r>
      <w:r>
        <w:rPr>
          <w:rStyle w:val="Emphasis"/>
          <w:rFonts w:ascii="Calibri" w:hAnsi="Calibri"/>
          <w:color w:val="333333"/>
          <w:sz w:val="20"/>
          <w:szCs w:val="20"/>
        </w:rPr>
        <w:t>σ</w:t>
      </w:r>
      <w:r>
        <w:rPr>
          <w:rStyle w:val="apple-converted-space"/>
          <w:rFonts w:ascii="Calibri" w:hAnsi="Calibri"/>
          <w:color w:val="333333"/>
          <w:sz w:val="21"/>
          <w:szCs w:val="21"/>
        </w:rPr>
        <w:t> </w:t>
      </w:r>
      <w:r>
        <w:rPr>
          <w:rFonts w:ascii="Calibri" w:hAnsi="Calibri"/>
          <w:color w:val="333333"/>
          <w:sz w:val="21"/>
          <w:szCs w:val="21"/>
        </w:rPr>
        <w:t>= 2.59. Sketch a qualitatively accurate graph of the density function for</w:t>
      </w:r>
      <w:r>
        <w:rPr>
          <w:rStyle w:val="apple-converted-space"/>
          <w:rFonts w:ascii="Calibri" w:hAnsi="Calibri"/>
          <w:color w:val="333333"/>
          <w:sz w:val="21"/>
          <w:szCs w:val="21"/>
        </w:rPr>
        <w:t> </w:t>
      </w:r>
      <w:r>
        <w:rPr>
          <w:rStyle w:val="Emphasis"/>
          <w:rFonts w:ascii="Calibri" w:hAnsi="Calibri"/>
          <w:color w:val="333333"/>
          <w:sz w:val="20"/>
          <w:szCs w:val="20"/>
        </w:rPr>
        <w:t>X</w:t>
      </w:r>
      <w:r>
        <w:rPr>
          <w:rFonts w:ascii="Calibri" w:hAnsi="Calibri"/>
          <w:color w:val="333333"/>
          <w:sz w:val="21"/>
          <w:szCs w:val="21"/>
        </w:rPr>
        <w:t>. Find the probability that a randomly selected 25-year-old man is more than 69.75 inches tall.</w:t>
      </w:r>
    </w:p>
    <w:p w:rsidR="00AD77BB" w:rsidRDefault="00B45BA0">
      <w:pPr>
        <w:pStyle w:val="simpara"/>
        <w:shd w:val="clear" w:color="auto" w:fill="DAEEF3" w:themeFill="accent5" w:themeFillTint="33"/>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lastRenderedPageBreak/>
        <w:t>Solution:</w:t>
      </w:r>
    </w:p>
    <w:p w:rsidR="00AD77BB" w:rsidRDefault="00B45BA0">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The distribution of heights looks like the bell curve in</w:t>
      </w:r>
      <w:r>
        <w:rPr>
          <w:rStyle w:val="apple-converted-space"/>
          <w:rFonts w:ascii="Calibri" w:hAnsi="Calibri"/>
          <w:color w:val="333333"/>
          <w:sz w:val="21"/>
          <w:szCs w:val="21"/>
        </w:rPr>
        <w:t> </w:t>
      </w:r>
      <w:r>
        <w:rPr>
          <w:rFonts w:ascii="Calibri" w:hAnsi="Calibri"/>
          <w:color w:val="2689C6"/>
          <w:sz w:val="21"/>
          <w:szCs w:val="21"/>
        </w:rPr>
        <w:t>Figure 5.8 "Density Function for Heights of 25-Year-Old Men"</w:t>
      </w:r>
      <w:r>
        <w:rPr>
          <w:rFonts w:ascii="Calibri" w:hAnsi="Calibri"/>
          <w:color w:val="333333"/>
          <w:sz w:val="21"/>
          <w:szCs w:val="21"/>
        </w:rPr>
        <w:t>. The important point is that it is centered at its mean, 69.75, and is symmetric about the mean.</w:t>
      </w:r>
    </w:p>
    <w:p w:rsidR="00AD77BB" w:rsidRDefault="00AD77BB">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p>
    <w:p w:rsidR="00AD77BB" w:rsidRDefault="00B45BA0">
      <w:pPr>
        <w:spacing w:after="0" w:line="439" w:lineRule="atLeast"/>
        <w:ind w:left="300" w:right="375"/>
        <w:textAlignment w:val="baseline"/>
        <w:rPr>
          <w:rFonts w:ascii="Calibri" w:eastAsia="Times New Roman" w:hAnsi="Calibri" w:cs="Times New Roman"/>
          <w:i/>
          <w:iCs/>
          <w:color w:val="BB9966"/>
        </w:rPr>
      </w:pPr>
      <w:r>
        <w:rPr>
          <w:rFonts w:ascii="Calibri" w:eastAsia="Times New Roman" w:hAnsi="Calibri" w:cs="Times New Roman"/>
          <w:i/>
          <w:iCs/>
          <w:color w:val="000000"/>
          <w:sz w:val="20"/>
          <w:szCs w:val="20"/>
        </w:rPr>
        <w:t>Figure 5.8</w:t>
      </w:r>
      <w:r>
        <w:rPr>
          <w:rFonts w:ascii="Calibri" w:eastAsia="Times New Roman" w:hAnsi="Calibri" w:cs="Times New Roman"/>
          <w:i/>
          <w:iCs/>
          <w:color w:val="BB9966"/>
        </w:rPr>
        <w:t>Density Function for Heights of 25-Year-Old Men</w:t>
      </w:r>
    </w:p>
    <w:p w:rsidR="00AD77BB" w:rsidRDefault="00B45BA0">
      <w:pPr>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14:anchorId="50AA6CAB" wp14:editId="3517BE81">
            <wp:extent cx="5391150" cy="3228975"/>
            <wp:effectExtent l="0" t="0" r="0" b="9525"/>
            <wp:docPr id="152" name="Picture 165" descr="http://images.flatworldknowledge.com/shafer/shafer-fig0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images.flatworldknowledge.com/shafer/shafer-fig05_008.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391150" cy="3228975"/>
                    </a:xfrm>
                    <a:prstGeom prst="rect">
                      <a:avLst/>
                    </a:prstGeom>
                    <a:noFill/>
                    <a:ln>
                      <a:noFill/>
                    </a:ln>
                  </pic:spPr>
                </pic:pic>
              </a:graphicData>
            </a:graphic>
          </wp:inline>
        </w:drawing>
      </w:r>
    </w:p>
    <w:p w:rsidR="00AD77BB" w:rsidRDefault="00B45BA0">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Since the total area under the curve is 1, by symmetry the area to the right of 69.75 is half the total, or 0.5. But this area is precisely the probability </w:t>
      </w:r>
      <w:r>
        <w:rPr>
          <w:rFonts w:ascii="Calibri" w:eastAsia="Times New Roman" w:hAnsi="Calibri" w:cs="Times New Roman"/>
          <w:i/>
          <w:iCs/>
          <w:color w:val="333333"/>
          <w:sz w:val="20"/>
          <w:szCs w:val="20"/>
        </w:rPr>
        <w:t>P</w:t>
      </w:r>
      <w:r>
        <w:rPr>
          <w:rFonts w:ascii="Calibri" w:eastAsia="Times New Roman" w:hAnsi="Calibri" w:cs="Times New Roman"/>
          <w:color w:val="333333"/>
          <w:sz w:val="21"/>
          <w:szCs w:val="21"/>
        </w:rPr>
        <w:t>(</w:t>
      </w:r>
      <w:r>
        <w:rPr>
          <w:rFonts w:ascii="Calibri" w:eastAsia="Times New Roman" w:hAnsi="Calibri" w:cs="Times New Roman"/>
          <w:i/>
          <w:iCs/>
          <w:color w:val="333333"/>
          <w:sz w:val="20"/>
          <w:szCs w:val="20"/>
        </w:rPr>
        <w:t>X</w:t>
      </w:r>
      <w:r>
        <w:rPr>
          <w:rFonts w:ascii="Calibri" w:eastAsia="Times New Roman" w:hAnsi="Calibri" w:cs="Times New Roman"/>
          <w:color w:val="333333"/>
          <w:sz w:val="21"/>
          <w:szCs w:val="21"/>
        </w:rPr>
        <w:t> &gt; 69.75), the probability that a randomly selected 25-year-old man is more than 69.75 inches tall.</w:t>
      </w:r>
    </w:p>
    <w:p w:rsidR="00AD77BB" w:rsidRDefault="00B45BA0">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We will learn how to compute other probabilities in the next two sections.</w:t>
      </w:r>
    </w:p>
    <w:p w:rsidR="00AD77BB" w:rsidRDefault="00AD77BB">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KEY TAKEAWAYS</w:t>
      </w:r>
    </w:p>
    <w:p w:rsidR="00AD77BB" w:rsidRDefault="00B45BA0">
      <w:pPr>
        <w:numPr>
          <w:ilvl w:val="0"/>
          <w:numId w:val="121"/>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 a continuous random variable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the only probabilities that are computed are those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taking a value in a specified interval.</w:t>
      </w:r>
    </w:p>
    <w:p w:rsidR="00AD77BB" w:rsidRDefault="00B45BA0">
      <w:pPr>
        <w:numPr>
          <w:ilvl w:val="0"/>
          <w:numId w:val="121"/>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probability that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take a value in a particular interval is the same whether or not the endpoints of the interval are included.</w:t>
      </w:r>
    </w:p>
    <w:p w:rsidR="00AD77BB" w:rsidRDefault="00B45BA0">
      <w:pPr>
        <w:numPr>
          <w:ilvl w:val="0"/>
          <w:numId w:val="121"/>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probability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a</w:t>
      </w:r>
      <w:r>
        <w:rPr>
          <w:rFonts w:ascii="MathJax_Main" w:eastAsia="Times New Roman" w:hAnsi="MathJax_Main" w:cs="Times New Roman"/>
          <w:b/>
          <w:color w:val="333333"/>
          <w:sz w:val="15"/>
          <w:szCs w:val="15"/>
        </w:rPr>
        <w:t>&lt;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&lt;</w:t>
      </w:r>
      <w:r>
        <w:rPr>
          <w:rFonts w:ascii="MathJax_Math" w:eastAsia="Times New Roman" w:hAnsi="MathJax_Math" w:cs="Times New Roman"/>
          <w:b/>
          <w:i/>
          <w:iCs/>
          <w:color w:val="333333"/>
          <w:sz w:val="15"/>
          <w:szCs w:val="15"/>
        </w:rPr>
        <w:t>b</w:t>
      </w:r>
      <w:r>
        <w:rPr>
          <w:rFonts w:ascii="MathJax_Main" w:eastAsia="Times New Roman" w:hAnsi="MathJax_Main" w:cs="Times New Roman"/>
          <w:b/>
          <w:color w:val="333333"/>
          <w:sz w:val="15"/>
          <w:szCs w:val="15"/>
        </w:rPr>
        <w:t>)</w:t>
      </w:r>
      <w:r>
        <w:rPr>
          <w:rFonts w:ascii="Calibri" w:eastAsia="Times New Roman" w:hAnsi="Calibri" w:cs="Times New Roman"/>
          <w:b/>
          <w:color w:val="333333"/>
          <w:sz w:val="20"/>
          <w:szCs w:val="20"/>
        </w:rPr>
        <w:t xml:space="preserve">, </w:t>
      </w:r>
      <w:r>
        <w:rPr>
          <w:rFonts w:ascii="Calibri" w:eastAsia="Times New Roman" w:hAnsi="Calibri" w:cs="Times New Roman"/>
          <w:color w:val="333333"/>
          <w:sz w:val="20"/>
          <w:szCs w:val="20"/>
        </w:rPr>
        <w:t>that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take a value in the interval from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to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is the area of the region between the vertical lines through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above the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-axis, and below the graph of a function </w:t>
      </w:r>
      <w:r>
        <w:rPr>
          <w:rFonts w:ascii="MathJax_Math" w:eastAsia="Times New Roman" w:hAnsi="MathJax_Math" w:cs="Times New Roman"/>
          <w:b/>
          <w:i/>
          <w:iCs/>
          <w:color w:val="333333"/>
          <w:sz w:val="15"/>
          <w:szCs w:val="15"/>
        </w:rPr>
        <w:t>f</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w:t>
      </w:r>
      <w:r>
        <w:rPr>
          <w:rFonts w:ascii="Calibri" w:eastAsia="Times New Roman" w:hAnsi="Calibri" w:cs="Times New Roman"/>
          <w:color w:val="333333"/>
          <w:sz w:val="20"/>
          <w:szCs w:val="20"/>
        </w:rPr>
        <w:t> called the density function.</w:t>
      </w:r>
    </w:p>
    <w:p w:rsidR="00AD77BB" w:rsidRDefault="00B45BA0">
      <w:pPr>
        <w:numPr>
          <w:ilvl w:val="0"/>
          <w:numId w:val="121"/>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A normally distributed random variable is one whose density function is a bell curve.</w:t>
      </w:r>
    </w:p>
    <w:p w:rsidR="00AD77BB" w:rsidRDefault="00B45BA0">
      <w:pPr>
        <w:numPr>
          <w:ilvl w:val="0"/>
          <w:numId w:val="121"/>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Every bell curve is symmetric about its mean and lies everywhere above the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-axis, which it approaches asymptotically (arbitrarily closely without touching).</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EXERCISES</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BASIC</w:t>
      </w:r>
    </w:p>
    <w:p w:rsidR="00AD77BB" w:rsidRDefault="00B45BA0">
      <w:pPr>
        <w:pStyle w:val="para"/>
        <w:numPr>
          <w:ilvl w:val="0"/>
          <w:numId w:val="122"/>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 continuous random variable</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has a uniform distribution on the interval</w:t>
      </w:r>
      <w:r>
        <w:rPr>
          <w:rStyle w:val="apple-converted-space"/>
          <w:rFonts w:ascii="Calibri" w:hAnsi="Calibri"/>
          <w:color w:val="333333"/>
          <w:sz w:val="20"/>
          <w:szCs w:val="20"/>
        </w:rPr>
        <w:t> </w:t>
      </w:r>
      <w:r>
        <w:rPr>
          <w:rStyle w:val="mo"/>
          <w:rFonts w:ascii="MathJax_Main" w:hAnsi="MathJax_Main"/>
          <w:color w:val="333333"/>
          <w:sz w:val="15"/>
          <w:szCs w:val="15"/>
        </w:rPr>
        <w:t>[</w:t>
      </w:r>
      <w:r>
        <w:rPr>
          <w:rStyle w:val="mn"/>
          <w:rFonts w:ascii="MathJax_Main" w:hAnsi="MathJax_Main"/>
          <w:color w:val="333333"/>
          <w:sz w:val="15"/>
          <w:szCs w:val="15"/>
        </w:rPr>
        <w:t>5,12</w:t>
      </w:r>
      <w:r>
        <w:rPr>
          <w:rStyle w:val="mo"/>
          <w:rFonts w:ascii="MathJax_Main" w:hAnsi="MathJax_Main"/>
          <w:color w:val="333333"/>
          <w:sz w:val="15"/>
          <w:szCs w:val="15"/>
        </w:rPr>
        <w:t>].</w:t>
      </w:r>
      <w:r>
        <w:rPr>
          <w:rFonts w:ascii="Calibri" w:hAnsi="Calibri"/>
          <w:color w:val="333333"/>
          <w:sz w:val="20"/>
          <w:szCs w:val="20"/>
        </w:rPr>
        <w:t>Sketch the graph of its density function.</w:t>
      </w:r>
    </w:p>
    <w:p w:rsidR="00AD77BB" w:rsidRDefault="00B45BA0">
      <w:pPr>
        <w:pStyle w:val="para"/>
        <w:numPr>
          <w:ilvl w:val="0"/>
          <w:numId w:val="122"/>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 continuous random variable</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has a uniform distribution on the interval</w:t>
      </w:r>
      <w:r>
        <w:rPr>
          <w:rStyle w:val="apple-converted-space"/>
          <w:rFonts w:ascii="Calibri" w:hAnsi="Calibri"/>
          <w:color w:val="333333"/>
          <w:sz w:val="20"/>
          <w:szCs w:val="20"/>
        </w:rPr>
        <w:t> </w:t>
      </w:r>
      <w:r>
        <w:rPr>
          <w:rStyle w:val="mo"/>
          <w:rFonts w:ascii="MathJax_Main" w:hAnsi="MathJax_Main"/>
          <w:color w:val="333333"/>
          <w:sz w:val="15"/>
          <w:szCs w:val="15"/>
        </w:rPr>
        <w:t>[</w:t>
      </w:r>
      <w:r>
        <w:rPr>
          <w:rStyle w:val="mtext"/>
          <w:rFonts w:ascii="MathJax_Main" w:hAnsi="MathJax_Main"/>
          <w:color w:val="333333"/>
          <w:sz w:val="15"/>
          <w:szCs w:val="15"/>
        </w:rPr>
        <w:t>−</w:t>
      </w:r>
      <w:r>
        <w:rPr>
          <w:rStyle w:val="mn"/>
          <w:rFonts w:ascii="MathJax_Main" w:hAnsi="MathJax_Main"/>
          <w:color w:val="333333"/>
          <w:sz w:val="15"/>
          <w:szCs w:val="15"/>
        </w:rPr>
        <w:t>3,3</w:t>
      </w:r>
      <w:r>
        <w:rPr>
          <w:rStyle w:val="mo"/>
          <w:rFonts w:ascii="MathJax_Main" w:hAnsi="MathJax_Main"/>
          <w:color w:val="333333"/>
          <w:sz w:val="15"/>
          <w:szCs w:val="15"/>
        </w:rPr>
        <w:t>].</w:t>
      </w:r>
      <w:r>
        <w:rPr>
          <w:rFonts w:ascii="Calibri" w:hAnsi="Calibri"/>
          <w:color w:val="333333"/>
          <w:sz w:val="20"/>
          <w:szCs w:val="20"/>
        </w:rPr>
        <w:t>Sketch the graph of its density function.</w:t>
      </w:r>
    </w:p>
    <w:p w:rsidR="00AD77BB" w:rsidRDefault="00B45BA0">
      <w:pPr>
        <w:pStyle w:val="para"/>
        <w:numPr>
          <w:ilvl w:val="0"/>
          <w:numId w:val="122"/>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 continuous random variable</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has a normal distribution with mean 100 and standard deviation 10. Sketch a qualitatively accurate graph of its density function.</w:t>
      </w:r>
    </w:p>
    <w:p w:rsidR="00AD77BB" w:rsidRDefault="00B45BA0">
      <w:pPr>
        <w:pStyle w:val="para"/>
        <w:numPr>
          <w:ilvl w:val="0"/>
          <w:numId w:val="122"/>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 continuous random variable</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has a normal distribution with mean 73 and standard deviation 2.5. Sketch a qualitatively accurate graph of its density function.</w:t>
      </w:r>
    </w:p>
    <w:p w:rsidR="00AD77BB" w:rsidRDefault="00B45BA0">
      <w:pPr>
        <w:pStyle w:val="para"/>
        <w:numPr>
          <w:ilvl w:val="0"/>
          <w:numId w:val="122"/>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 continuous random variable</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has a normal distribution with mean 73. The probability that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takes a value greater than 80 is 0.212. Use this information and the symmetry of the density function to find the probability that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takes a value less than 66. Sketch the density curve with relevant regions shaded to illustrate the computation.</w:t>
      </w:r>
    </w:p>
    <w:p w:rsidR="00AD77BB" w:rsidRDefault="00B45BA0">
      <w:pPr>
        <w:pStyle w:val="para"/>
        <w:numPr>
          <w:ilvl w:val="0"/>
          <w:numId w:val="122"/>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A continuous random variable</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has a normal distribution with mean 169. The probability that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takes a value greater than 180 is 0.17. Use this information and the symmetry of the density function to find the probability that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takes a value less than 158. Sketch the density curve with relevant regions shaded to illustrate the computation.</w:t>
      </w:r>
    </w:p>
    <w:p w:rsidR="00AD77BB" w:rsidRDefault="00B45BA0">
      <w:pPr>
        <w:pStyle w:val="para"/>
        <w:numPr>
          <w:ilvl w:val="0"/>
          <w:numId w:val="122"/>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Fonts w:ascii="Calibri" w:hAnsi="Calibri"/>
          <w:color w:val="333333"/>
          <w:sz w:val="20"/>
          <w:szCs w:val="20"/>
        </w:rPr>
        <w:t>A continuous random variable</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has a normal distribution with mean 50.5. The probability that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takes a value less than 54 is 0.76. Use this information and the symmetry of the density function to find the probability that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takes a value greater than 47. Sketch the density curve with relevant regions shaded to illustrate the computation.</w:t>
      </w:r>
    </w:p>
    <w:p w:rsidR="00AD77BB" w:rsidRDefault="00B45BA0">
      <w:pPr>
        <w:pStyle w:val="para"/>
        <w:numPr>
          <w:ilvl w:val="0"/>
          <w:numId w:val="122"/>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Fonts w:ascii="Calibri" w:hAnsi="Calibri"/>
          <w:color w:val="333333"/>
          <w:sz w:val="20"/>
          <w:szCs w:val="20"/>
        </w:rPr>
        <w:t>A continuous random variable</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has a normal distribution with mean 12.25. The probability that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takes a value less than 13 is 0.82. Use this information and the symmetry of the density function to find the probability that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takes a value greater than 11.50. Sketch the density curve with relevant regions shaded to illustrate the computation.</w:t>
      </w:r>
    </w:p>
    <w:p w:rsidR="00AD77BB" w:rsidRDefault="00B45BA0">
      <w:pPr>
        <w:pStyle w:val="para"/>
        <w:numPr>
          <w:ilvl w:val="0"/>
          <w:numId w:val="122"/>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Fonts w:ascii="Calibri" w:hAnsi="Calibri"/>
          <w:color w:val="333333"/>
          <w:sz w:val="20"/>
          <w:szCs w:val="20"/>
        </w:rPr>
        <w:t>The figure provided shows the density curves of three normally distributed random variables</w:t>
      </w:r>
      <w:r>
        <w:rPr>
          <w:rStyle w:val="apple-converted-space"/>
          <w:rFonts w:ascii="Calibri" w:hAnsi="Calibri"/>
          <w:color w:val="333333"/>
          <w:sz w:val="20"/>
          <w:szCs w:val="20"/>
        </w:rPr>
        <w:t> </w:t>
      </w:r>
      <w:r>
        <w:rPr>
          <w:rStyle w:val="Emphasis"/>
          <w:rFonts w:ascii="Calibri" w:hAnsi="Calibri"/>
          <w:color w:val="333333"/>
          <w:sz w:val="20"/>
          <w:szCs w:val="20"/>
        </w:rPr>
        <w:t>X</w:t>
      </w:r>
      <w:r>
        <w:rPr>
          <w:rStyle w:val="Emphasis"/>
          <w:rFonts w:ascii="Calibri" w:hAnsi="Calibri"/>
          <w:color w:val="333333"/>
          <w:sz w:val="20"/>
          <w:szCs w:val="20"/>
          <w:vertAlign w:val="subscript"/>
        </w:rPr>
        <w:t>A</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Emphasis"/>
          <w:rFonts w:ascii="Calibri" w:hAnsi="Calibri"/>
          <w:color w:val="333333"/>
          <w:sz w:val="20"/>
          <w:szCs w:val="20"/>
          <w:vertAlign w:val="subscript"/>
        </w:rPr>
        <w:t>B</w:t>
      </w:r>
      <w:r>
        <w:rPr>
          <w:rFonts w:ascii="Calibri" w:hAnsi="Calibri"/>
          <w:color w:val="333333"/>
          <w:sz w:val="20"/>
          <w:szCs w:val="20"/>
        </w:rPr>
        <w:t>, and</w:t>
      </w:r>
      <w:r>
        <w:rPr>
          <w:rStyle w:val="apple-converted-space"/>
          <w:rFonts w:ascii="Calibri" w:hAnsi="Calibri"/>
          <w:color w:val="333333"/>
          <w:sz w:val="20"/>
          <w:szCs w:val="20"/>
        </w:rPr>
        <w:t> </w:t>
      </w:r>
      <w:r>
        <w:rPr>
          <w:rStyle w:val="Emphasis"/>
          <w:rFonts w:ascii="Calibri" w:hAnsi="Calibri"/>
          <w:color w:val="333333"/>
          <w:sz w:val="20"/>
          <w:szCs w:val="20"/>
        </w:rPr>
        <w:t>X</w:t>
      </w:r>
      <w:r>
        <w:rPr>
          <w:rStyle w:val="Emphasis"/>
          <w:rFonts w:ascii="Calibri" w:hAnsi="Calibri"/>
          <w:color w:val="333333"/>
          <w:sz w:val="20"/>
          <w:szCs w:val="20"/>
          <w:vertAlign w:val="subscript"/>
        </w:rPr>
        <w:t>C</w:t>
      </w:r>
      <w:r>
        <w:rPr>
          <w:rFonts w:ascii="Calibri" w:hAnsi="Calibri"/>
          <w:color w:val="333333"/>
          <w:sz w:val="20"/>
          <w:szCs w:val="20"/>
        </w:rPr>
        <w:t>. Their standard deviations (in no particular order) are 15, 7, and 20. Use the figure to identify the values of the means</w:t>
      </w:r>
      <w:r>
        <w:rPr>
          <w:rStyle w:val="apple-converted-space"/>
          <w:rFonts w:ascii="Calibri" w:hAnsi="Calibri"/>
          <w:color w:val="333333"/>
          <w:sz w:val="20"/>
          <w:szCs w:val="20"/>
        </w:rPr>
        <w:t> </w:t>
      </w:r>
      <w:r>
        <w:rPr>
          <w:rStyle w:val="mi"/>
          <w:rFonts w:ascii="MathJax_Math" w:hAnsi="MathJax_Math"/>
          <w:i/>
          <w:iCs/>
          <w:color w:val="333333"/>
          <w:sz w:val="15"/>
          <w:szCs w:val="15"/>
        </w:rPr>
        <w:t>μ</w:t>
      </w:r>
      <w:r>
        <w:rPr>
          <w:rStyle w:val="mi"/>
          <w:rFonts w:ascii="MathJax_Math" w:hAnsi="MathJax_Math"/>
          <w:i/>
          <w:iCs/>
          <w:color w:val="333333"/>
          <w:sz w:val="12"/>
          <w:szCs w:val="12"/>
        </w:rPr>
        <w:t>A</w:t>
      </w:r>
      <w:r>
        <w:rPr>
          <w:rFonts w:ascii="Calibri" w:hAnsi="Calibri"/>
          <w:color w:val="333333"/>
          <w:sz w:val="20"/>
          <w:szCs w:val="20"/>
        </w:rPr>
        <w:t>,</w:t>
      </w:r>
      <w:r>
        <w:rPr>
          <w:rStyle w:val="apple-converted-space"/>
          <w:rFonts w:ascii="Calibri" w:hAnsi="Calibri"/>
          <w:color w:val="333333"/>
          <w:sz w:val="20"/>
          <w:szCs w:val="20"/>
        </w:rPr>
        <w:t> </w:t>
      </w:r>
      <w:r>
        <w:rPr>
          <w:rStyle w:val="mi"/>
          <w:rFonts w:ascii="MathJax_Math" w:hAnsi="MathJax_Math"/>
          <w:i/>
          <w:iCs/>
          <w:color w:val="333333"/>
          <w:sz w:val="15"/>
          <w:szCs w:val="15"/>
        </w:rPr>
        <w:t>μ</w:t>
      </w:r>
      <w:r>
        <w:rPr>
          <w:rStyle w:val="mi"/>
          <w:rFonts w:ascii="MathJax_Math" w:hAnsi="MathJax_Math"/>
          <w:i/>
          <w:iCs/>
          <w:color w:val="333333"/>
          <w:sz w:val="12"/>
          <w:szCs w:val="12"/>
        </w:rPr>
        <w:t>B</w:t>
      </w:r>
      <w:r>
        <w:rPr>
          <w:rFonts w:ascii="Calibri" w:hAnsi="Calibri"/>
          <w:color w:val="333333"/>
          <w:sz w:val="20"/>
          <w:szCs w:val="20"/>
        </w:rPr>
        <w:t>, and</w:t>
      </w:r>
      <w:r>
        <w:rPr>
          <w:rStyle w:val="apple-converted-space"/>
          <w:rFonts w:ascii="Calibri" w:hAnsi="Calibri"/>
          <w:color w:val="333333"/>
          <w:sz w:val="20"/>
          <w:szCs w:val="20"/>
        </w:rPr>
        <w:t> </w:t>
      </w:r>
      <w:r>
        <w:rPr>
          <w:rStyle w:val="mi"/>
          <w:rFonts w:ascii="MathJax_Math" w:hAnsi="MathJax_Math"/>
          <w:i/>
          <w:iCs/>
          <w:color w:val="333333"/>
          <w:sz w:val="15"/>
          <w:szCs w:val="15"/>
        </w:rPr>
        <w:t>μ</w:t>
      </w:r>
      <w:r>
        <w:rPr>
          <w:rStyle w:val="mi"/>
          <w:rFonts w:ascii="MathJax_Math" w:hAnsi="MathJax_Math"/>
          <w:i/>
          <w:iCs/>
          <w:color w:val="333333"/>
          <w:sz w:val="12"/>
          <w:szCs w:val="12"/>
        </w:rPr>
        <w:t>C</w:t>
      </w:r>
      <w:r>
        <w:rPr>
          <w:rStyle w:val="apple-converted-space"/>
          <w:rFonts w:ascii="Calibri" w:hAnsi="Calibri"/>
          <w:color w:val="333333"/>
          <w:sz w:val="20"/>
          <w:szCs w:val="20"/>
        </w:rPr>
        <w:t> </w:t>
      </w:r>
      <w:r>
        <w:rPr>
          <w:rFonts w:ascii="Calibri" w:hAnsi="Calibri"/>
          <w:color w:val="333333"/>
          <w:sz w:val="20"/>
          <w:szCs w:val="20"/>
        </w:rPr>
        <w:t>and standard deviations</w:t>
      </w:r>
      <w:r>
        <w:rPr>
          <w:rStyle w:val="apple-converted-space"/>
          <w:rFonts w:ascii="Calibri" w:hAnsi="Calibri"/>
          <w:color w:val="333333"/>
          <w:sz w:val="20"/>
          <w:szCs w:val="20"/>
        </w:rPr>
        <w:t> </w:t>
      </w:r>
      <w:r>
        <w:rPr>
          <w:rStyle w:val="mi"/>
          <w:rFonts w:ascii="MathJax_Math" w:hAnsi="MathJax_Math"/>
          <w:i/>
          <w:iCs/>
          <w:color w:val="333333"/>
          <w:sz w:val="15"/>
          <w:szCs w:val="15"/>
        </w:rPr>
        <w:t>σ</w:t>
      </w:r>
      <w:r>
        <w:rPr>
          <w:rStyle w:val="mi"/>
          <w:rFonts w:ascii="MathJax_Math" w:hAnsi="MathJax_Math"/>
          <w:i/>
          <w:iCs/>
          <w:color w:val="333333"/>
          <w:sz w:val="12"/>
          <w:szCs w:val="12"/>
        </w:rPr>
        <w:t>A</w:t>
      </w:r>
      <w:r>
        <w:rPr>
          <w:rFonts w:ascii="Calibri" w:hAnsi="Calibri"/>
          <w:color w:val="333333"/>
          <w:sz w:val="20"/>
          <w:szCs w:val="20"/>
        </w:rPr>
        <w:t>,</w:t>
      </w:r>
      <w:r>
        <w:rPr>
          <w:rStyle w:val="apple-converted-space"/>
          <w:rFonts w:ascii="Calibri" w:hAnsi="Calibri"/>
          <w:color w:val="333333"/>
          <w:sz w:val="20"/>
          <w:szCs w:val="20"/>
        </w:rPr>
        <w:t> </w:t>
      </w:r>
      <w:r>
        <w:rPr>
          <w:rStyle w:val="mi"/>
          <w:rFonts w:ascii="MathJax_Math" w:hAnsi="MathJax_Math"/>
          <w:i/>
          <w:iCs/>
          <w:color w:val="333333"/>
          <w:sz w:val="15"/>
          <w:szCs w:val="15"/>
        </w:rPr>
        <w:t>σ</w:t>
      </w:r>
      <w:r>
        <w:rPr>
          <w:rStyle w:val="mi"/>
          <w:rFonts w:ascii="MathJax_Math" w:hAnsi="MathJax_Math"/>
          <w:i/>
          <w:iCs/>
          <w:color w:val="333333"/>
          <w:sz w:val="12"/>
          <w:szCs w:val="12"/>
        </w:rPr>
        <w:t>B</w:t>
      </w:r>
      <w:r>
        <w:rPr>
          <w:rFonts w:ascii="Calibri" w:hAnsi="Calibri"/>
          <w:color w:val="333333"/>
          <w:sz w:val="20"/>
          <w:szCs w:val="20"/>
        </w:rPr>
        <w:t>, and</w:t>
      </w:r>
      <w:r>
        <w:rPr>
          <w:rStyle w:val="apple-converted-space"/>
          <w:rFonts w:ascii="Calibri" w:hAnsi="Calibri"/>
          <w:color w:val="333333"/>
          <w:sz w:val="20"/>
          <w:szCs w:val="20"/>
        </w:rPr>
        <w:t> </w:t>
      </w:r>
      <w:r>
        <w:rPr>
          <w:rStyle w:val="mi"/>
          <w:rFonts w:ascii="MathJax_Math" w:hAnsi="MathJax_Math"/>
          <w:i/>
          <w:iCs/>
          <w:color w:val="333333"/>
          <w:sz w:val="15"/>
          <w:szCs w:val="15"/>
        </w:rPr>
        <w:t>σ</w:t>
      </w:r>
      <w:r>
        <w:rPr>
          <w:rStyle w:val="mi"/>
          <w:rFonts w:ascii="MathJax_Math" w:hAnsi="MathJax_Math"/>
          <w:i/>
          <w:iCs/>
          <w:color w:val="333333"/>
          <w:sz w:val="12"/>
          <w:szCs w:val="12"/>
        </w:rPr>
        <w:t>C</w:t>
      </w:r>
      <w:r>
        <w:rPr>
          <w:rStyle w:val="apple-converted-space"/>
          <w:rFonts w:ascii="Calibri" w:hAnsi="Calibri"/>
          <w:color w:val="333333"/>
          <w:sz w:val="20"/>
          <w:szCs w:val="20"/>
        </w:rPr>
        <w:t> </w:t>
      </w:r>
      <w:r>
        <w:rPr>
          <w:rFonts w:ascii="Calibri" w:hAnsi="Calibri"/>
          <w:color w:val="333333"/>
          <w:sz w:val="20"/>
          <w:szCs w:val="20"/>
        </w:rPr>
        <w:t>of the three random variables.</w:t>
      </w:r>
    </w:p>
    <w:p w:rsidR="00AD77BB" w:rsidRDefault="00AD77BB">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rsidR="00AD77BB" w:rsidRDefault="00B45BA0">
      <w:p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sz w:val="20"/>
          <w:szCs w:val="20"/>
        </w:rPr>
        <w:lastRenderedPageBreak/>
        <w:drawing>
          <wp:inline distT="0" distB="0" distL="0" distR="0" wp14:anchorId="6AF4214B" wp14:editId="32AE308F">
            <wp:extent cx="4400550" cy="2943225"/>
            <wp:effectExtent l="0" t="0" r="0" b="9525"/>
            <wp:docPr id="153" name="Picture 166" descr="http://images.flatworldknowledge.com/shafer/shafer-fig05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images.flatworldknowledge.com/shafer/shafer-fig05_009.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flipH="1">
                      <a:off x="0" y="0"/>
                      <a:ext cx="4400550" cy="2943225"/>
                    </a:xfrm>
                    <a:prstGeom prst="rect">
                      <a:avLst/>
                    </a:prstGeom>
                    <a:noFill/>
                    <a:ln>
                      <a:noFill/>
                    </a:ln>
                  </pic:spPr>
                </pic:pic>
              </a:graphicData>
            </a:graphic>
          </wp:inline>
        </w:drawing>
      </w:r>
    </w:p>
    <w:p w:rsidR="00AD77BB" w:rsidRDefault="00AD77BB">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p>
    <w:p w:rsidR="00AD77BB" w:rsidRDefault="00B45BA0">
      <w:pPr>
        <w:pStyle w:val="ListParagraph"/>
        <w:numPr>
          <w:ilvl w:val="0"/>
          <w:numId w:val="12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figure provided shows the density curves of three normally distributed random variables </w:t>
      </w:r>
      <w:r>
        <w:rPr>
          <w:rFonts w:ascii="Calibri" w:eastAsia="Times New Roman" w:hAnsi="Calibri" w:cs="Times New Roman"/>
          <w:i/>
          <w:iCs/>
          <w:color w:val="333333"/>
          <w:sz w:val="20"/>
          <w:szCs w:val="20"/>
        </w:rPr>
        <w:t>X</w:t>
      </w:r>
      <w:r>
        <w:rPr>
          <w:rFonts w:ascii="Calibri" w:eastAsia="Times New Roman" w:hAnsi="Calibri" w:cs="Times New Roman"/>
          <w:i/>
          <w:iCs/>
          <w:color w:val="333333"/>
          <w:sz w:val="20"/>
          <w:szCs w:val="20"/>
          <w:vertAlign w:val="subscript"/>
        </w:rPr>
        <w:t>A</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X</w:t>
      </w:r>
      <w:r>
        <w:rPr>
          <w:rFonts w:ascii="Calibri" w:eastAsia="Times New Roman" w:hAnsi="Calibri" w:cs="Times New Roman"/>
          <w:i/>
          <w:iCs/>
          <w:color w:val="333333"/>
          <w:sz w:val="20"/>
          <w:szCs w:val="20"/>
          <w:vertAlign w:val="subscript"/>
        </w:rPr>
        <w:t>B</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X</w:t>
      </w:r>
      <w:r>
        <w:rPr>
          <w:rFonts w:ascii="Calibri" w:eastAsia="Times New Roman" w:hAnsi="Calibri" w:cs="Times New Roman"/>
          <w:i/>
          <w:iCs/>
          <w:color w:val="333333"/>
          <w:sz w:val="20"/>
          <w:szCs w:val="20"/>
          <w:vertAlign w:val="subscript"/>
        </w:rPr>
        <w:t>C</w:t>
      </w:r>
      <w:r>
        <w:rPr>
          <w:rFonts w:ascii="Calibri" w:eastAsia="Times New Roman" w:hAnsi="Calibri" w:cs="Times New Roman"/>
          <w:color w:val="333333"/>
          <w:sz w:val="20"/>
          <w:szCs w:val="20"/>
        </w:rPr>
        <w:t>. Their standard deviations (in no particular order) are 20, 5, and 10. Use the figure to identify the values of the means </w:t>
      </w:r>
      <w:r>
        <w:rPr>
          <w:rFonts w:ascii="MathJax_Math" w:eastAsia="Times New Roman" w:hAnsi="MathJax_Math" w:cs="Times New Roman"/>
          <w:i/>
          <w:iCs/>
          <w:color w:val="333333"/>
          <w:sz w:val="15"/>
          <w:szCs w:val="15"/>
        </w:rPr>
        <w:t>μ</w:t>
      </w:r>
      <w:r>
        <w:rPr>
          <w:rFonts w:ascii="MathJax_Math" w:eastAsia="Times New Roman" w:hAnsi="MathJax_Math" w:cs="Times New Roman"/>
          <w:i/>
          <w:iCs/>
          <w:color w:val="333333"/>
          <w:sz w:val="12"/>
          <w:szCs w:val="12"/>
        </w:rPr>
        <w:t>A</w:t>
      </w:r>
      <w:r>
        <w:rPr>
          <w:rFonts w:ascii="Calibri" w:eastAsia="Times New Roman" w:hAnsi="Calibri" w:cs="Times New Roman"/>
          <w:color w:val="333333"/>
          <w:sz w:val="20"/>
          <w:szCs w:val="20"/>
        </w:rPr>
        <w:t>, </w:t>
      </w:r>
      <w:r>
        <w:rPr>
          <w:rFonts w:ascii="MathJax_Math" w:eastAsia="Times New Roman" w:hAnsi="MathJax_Math" w:cs="Times New Roman"/>
          <w:i/>
          <w:iCs/>
          <w:color w:val="333333"/>
          <w:sz w:val="15"/>
          <w:szCs w:val="15"/>
        </w:rPr>
        <w:t>μ</w:t>
      </w:r>
      <w:r>
        <w:rPr>
          <w:rFonts w:ascii="MathJax_Math" w:eastAsia="Times New Roman" w:hAnsi="MathJax_Math" w:cs="Times New Roman"/>
          <w:i/>
          <w:iCs/>
          <w:color w:val="333333"/>
          <w:sz w:val="12"/>
          <w:szCs w:val="12"/>
        </w:rPr>
        <w:t>B</w:t>
      </w:r>
      <w:r>
        <w:rPr>
          <w:rFonts w:ascii="Calibri" w:eastAsia="Times New Roman" w:hAnsi="Calibri" w:cs="Times New Roman"/>
          <w:color w:val="333333"/>
          <w:sz w:val="20"/>
          <w:szCs w:val="20"/>
        </w:rPr>
        <w:t>, and </w:t>
      </w:r>
      <w:r>
        <w:rPr>
          <w:rFonts w:ascii="MathJax_Math" w:eastAsia="Times New Roman" w:hAnsi="MathJax_Math" w:cs="Times New Roman"/>
          <w:i/>
          <w:iCs/>
          <w:color w:val="333333"/>
          <w:sz w:val="15"/>
          <w:szCs w:val="15"/>
        </w:rPr>
        <w:t>μ</w:t>
      </w:r>
      <w:r>
        <w:rPr>
          <w:rFonts w:ascii="MathJax_Math" w:eastAsia="Times New Roman" w:hAnsi="MathJax_Math" w:cs="Times New Roman"/>
          <w:i/>
          <w:iCs/>
          <w:color w:val="333333"/>
          <w:sz w:val="12"/>
          <w:szCs w:val="12"/>
        </w:rPr>
        <w:t>C</w:t>
      </w:r>
      <w:r>
        <w:rPr>
          <w:rFonts w:ascii="Calibri" w:eastAsia="Times New Roman" w:hAnsi="Calibri" w:cs="Times New Roman"/>
          <w:color w:val="333333"/>
          <w:sz w:val="20"/>
          <w:szCs w:val="20"/>
        </w:rPr>
        <w:t> and standard deviations </w:t>
      </w:r>
      <w:r>
        <w:rPr>
          <w:rFonts w:ascii="MathJax_Math" w:eastAsia="Times New Roman" w:hAnsi="MathJax_Math" w:cs="Times New Roman"/>
          <w:i/>
          <w:iCs/>
          <w:color w:val="333333"/>
          <w:sz w:val="15"/>
          <w:szCs w:val="15"/>
        </w:rPr>
        <w:t>σ</w:t>
      </w:r>
      <w:r>
        <w:rPr>
          <w:rFonts w:ascii="MathJax_Math" w:eastAsia="Times New Roman" w:hAnsi="MathJax_Math" w:cs="Times New Roman"/>
          <w:i/>
          <w:iCs/>
          <w:color w:val="333333"/>
          <w:sz w:val="12"/>
          <w:szCs w:val="12"/>
        </w:rPr>
        <w:t>A</w:t>
      </w:r>
      <w:r>
        <w:rPr>
          <w:rFonts w:ascii="Calibri" w:eastAsia="Times New Roman" w:hAnsi="Calibri" w:cs="Times New Roman"/>
          <w:color w:val="333333"/>
          <w:sz w:val="20"/>
          <w:szCs w:val="20"/>
        </w:rPr>
        <w:t>, </w:t>
      </w:r>
      <w:r>
        <w:rPr>
          <w:rFonts w:ascii="MathJax_Math" w:eastAsia="Times New Roman" w:hAnsi="MathJax_Math" w:cs="Times New Roman"/>
          <w:i/>
          <w:iCs/>
          <w:color w:val="333333"/>
          <w:sz w:val="15"/>
          <w:szCs w:val="15"/>
        </w:rPr>
        <w:t>σ</w:t>
      </w:r>
      <w:r>
        <w:rPr>
          <w:rFonts w:ascii="MathJax_Math" w:eastAsia="Times New Roman" w:hAnsi="MathJax_Math" w:cs="Times New Roman"/>
          <w:i/>
          <w:iCs/>
          <w:color w:val="333333"/>
          <w:sz w:val="12"/>
          <w:szCs w:val="12"/>
        </w:rPr>
        <w:t>B</w:t>
      </w:r>
      <w:r>
        <w:rPr>
          <w:rFonts w:ascii="Calibri" w:eastAsia="Times New Roman" w:hAnsi="Calibri" w:cs="Times New Roman"/>
          <w:color w:val="333333"/>
          <w:sz w:val="20"/>
          <w:szCs w:val="20"/>
        </w:rPr>
        <w:t>, and </w:t>
      </w:r>
      <w:r>
        <w:rPr>
          <w:rFonts w:ascii="MathJax_Math" w:eastAsia="Times New Roman" w:hAnsi="MathJax_Math" w:cs="Times New Roman"/>
          <w:i/>
          <w:iCs/>
          <w:color w:val="333333"/>
          <w:sz w:val="15"/>
          <w:szCs w:val="15"/>
        </w:rPr>
        <w:t>σ</w:t>
      </w:r>
      <w:r>
        <w:rPr>
          <w:rFonts w:ascii="MathJax_Math" w:eastAsia="Times New Roman" w:hAnsi="MathJax_Math" w:cs="Times New Roman"/>
          <w:i/>
          <w:iCs/>
          <w:color w:val="333333"/>
          <w:sz w:val="12"/>
          <w:szCs w:val="12"/>
        </w:rPr>
        <w:t>C</w:t>
      </w:r>
      <w:r>
        <w:rPr>
          <w:rFonts w:ascii="Calibri" w:eastAsia="Times New Roman" w:hAnsi="Calibri" w:cs="Times New Roman"/>
          <w:color w:val="333333"/>
          <w:sz w:val="20"/>
          <w:szCs w:val="20"/>
        </w:rPr>
        <w:t> of the three random variables.</w:t>
      </w:r>
    </w:p>
    <w:p w:rsidR="00AD77BB" w:rsidRDefault="00AD77BB">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p>
    <w:p w:rsidR="00AD77BB" w:rsidRDefault="00B45BA0">
      <w:pPr>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sz w:val="20"/>
          <w:szCs w:val="20"/>
        </w:rPr>
        <w:drawing>
          <wp:inline distT="0" distB="0" distL="0" distR="0" wp14:anchorId="5F89B098" wp14:editId="40489E78">
            <wp:extent cx="4400550" cy="2895600"/>
            <wp:effectExtent l="0" t="0" r="0" b="0"/>
            <wp:docPr id="154" name="Picture 167" descr="http://images.flatworldknowledge.com/shafer/shafer-fig05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images.flatworldknowledge.com/shafer/shafer-fig05_010.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400550" cy="2895600"/>
                    </a:xfrm>
                    <a:prstGeom prst="rect">
                      <a:avLst/>
                    </a:prstGeom>
                    <a:noFill/>
                    <a:ln>
                      <a:noFill/>
                    </a:ln>
                  </pic:spPr>
                </pic:pic>
              </a:graphicData>
            </a:graphic>
          </wp:inline>
        </w:drawing>
      </w:r>
    </w:p>
    <w:p w:rsidR="00AD77BB" w:rsidRDefault="00AD77BB">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APPLICATIONS</w:t>
      </w:r>
    </w:p>
    <w:p w:rsidR="00AD77BB" w:rsidRDefault="00B45BA0">
      <w:pPr>
        <w:numPr>
          <w:ilvl w:val="0"/>
          <w:numId w:val="123"/>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Dogberry's alarm clock is battery operated. The battery could fail with equal probability at any time of the day or night. Every day Dogberry sets his alarm for 6:30 a.m. and goes to bed at 10:00 p.m. Find the </w:t>
      </w:r>
      <w:r>
        <w:rPr>
          <w:rFonts w:ascii="Calibri" w:eastAsia="Times New Roman" w:hAnsi="Calibri" w:cs="Times New Roman"/>
          <w:color w:val="333333"/>
          <w:sz w:val="20"/>
          <w:szCs w:val="20"/>
        </w:rPr>
        <w:lastRenderedPageBreak/>
        <w:t>probability that when the clock battery finally dies, it will do so at the most inconvenient time, between 10:00 p.m. and 6:30 a.m.</w:t>
      </w:r>
    </w:p>
    <w:p w:rsidR="00AD77BB" w:rsidRDefault="00B45BA0">
      <w:pPr>
        <w:numPr>
          <w:ilvl w:val="0"/>
          <w:numId w:val="123"/>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Buses running a bus line near Desdemona's house run every 15 minutes. Without paying attention to the schedule she walks to the nearest stop to take the bus to town. Find the probability that she waits more than 10 minutes.</w:t>
      </w:r>
    </w:p>
    <w:p w:rsidR="00AD77BB" w:rsidRDefault="00B45BA0">
      <w:pPr>
        <w:numPr>
          <w:ilvl w:val="0"/>
          <w:numId w:val="123"/>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amount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of orange juice in a randomly selected half-gallon container varies according to a normal distribution with mean 64 ounces and standard deviation 0.25 ounce.</w:t>
      </w:r>
    </w:p>
    <w:p w:rsidR="00AD77BB" w:rsidRDefault="00B45BA0">
      <w:pPr>
        <w:numPr>
          <w:ilvl w:val="1"/>
          <w:numId w:val="12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Sketch the graph of the density function for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w:t>
      </w:r>
    </w:p>
    <w:p w:rsidR="00AD77BB" w:rsidRDefault="00B45BA0">
      <w:pPr>
        <w:numPr>
          <w:ilvl w:val="1"/>
          <w:numId w:val="12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proportion of all containers contain less than a half gallon (64 ounces)? Explain.</w:t>
      </w:r>
    </w:p>
    <w:p w:rsidR="00AD77BB" w:rsidRDefault="00B45BA0">
      <w:pPr>
        <w:numPr>
          <w:ilvl w:val="1"/>
          <w:numId w:val="12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is the median amount of orange juice in such containers? Explain.</w:t>
      </w:r>
    </w:p>
    <w:p w:rsidR="00AD77BB" w:rsidRDefault="00B45BA0">
      <w:pPr>
        <w:numPr>
          <w:ilvl w:val="0"/>
          <w:numId w:val="123"/>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weight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of grass seed in bags marked 50 lb varies according to a normal distribution with mean 50 lb and standard deviation 1 ounce (0.0625 lb).</w:t>
      </w:r>
    </w:p>
    <w:p w:rsidR="00AD77BB" w:rsidRDefault="00B45BA0">
      <w:pPr>
        <w:numPr>
          <w:ilvl w:val="1"/>
          <w:numId w:val="12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Sketch the graph of the density function for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w:t>
      </w:r>
    </w:p>
    <w:p w:rsidR="00AD77BB" w:rsidRDefault="00B45BA0">
      <w:pPr>
        <w:numPr>
          <w:ilvl w:val="1"/>
          <w:numId w:val="12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proportion of all bags weigh less than 50 pounds? Explain.</w:t>
      </w:r>
    </w:p>
    <w:p w:rsidR="00AD77BB" w:rsidRDefault="00B45BA0">
      <w:pPr>
        <w:numPr>
          <w:ilvl w:val="1"/>
          <w:numId w:val="12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is the median weight of such bags? Explain.</w:t>
      </w:r>
    </w:p>
    <w:p w:rsidR="00AD77BB" w:rsidRDefault="00B45BA0">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3CF446F9" wp14:editId="02538F15">
            <wp:extent cx="5076825" cy="4095750"/>
            <wp:effectExtent l="0" t="0" r="9525" b="0"/>
            <wp:docPr id="155"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076825" cy="4095750"/>
                    </a:xfrm>
                    <a:prstGeom prst="rect">
                      <a:avLst/>
                    </a:prstGeom>
                    <a:noFill/>
                    <a:ln>
                      <a:noFill/>
                    </a:ln>
                  </pic:spPr>
                </pic:pic>
              </a:graphicData>
            </a:graphic>
          </wp:inline>
        </w:drawing>
      </w:r>
    </w:p>
    <w:p w:rsidR="00AD77BB" w:rsidRDefault="00AD77BB">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p>
    <w:p w:rsidR="00AD77BB" w:rsidRDefault="00B45B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5.2</w:t>
      </w:r>
      <w:r>
        <w:rPr>
          <w:rStyle w:val="apple-converted-space"/>
          <w:rFonts w:ascii="Calibri" w:hAnsi="Calibri"/>
          <w:color w:val="333333"/>
        </w:rPr>
        <w:t> </w:t>
      </w:r>
      <w:r>
        <w:rPr>
          <w:rFonts w:ascii="Calibri" w:hAnsi="Calibri"/>
          <w:color w:val="333333"/>
        </w:rPr>
        <w:t>The Standard Normal Distribution</w:t>
      </w:r>
    </w:p>
    <w:p w:rsidR="00AD77BB" w:rsidRDefault="00AD77BB"/>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AD77BB" w:rsidRDefault="00B45BA0">
      <w:pPr>
        <w:numPr>
          <w:ilvl w:val="0"/>
          <w:numId w:val="124"/>
        </w:numPr>
        <w:shd w:val="clear" w:color="auto" w:fill="EAE9DC"/>
        <w:spacing w:after="0" w:line="360" w:lineRule="auto"/>
        <w:ind w:left="360" w:right="375"/>
        <w:textAlignment w:val="baseline"/>
        <w:rPr>
          <w:rFonts w:ascii="Calibri" w:hAnsi="Calibri"/>
          <w:color w:val="333333"/>
          <w:sz w:val="20"/>
          <w:szCs w:val="20"/>
        </w:rPr>
      </w:pPr>
      <w:r>
        <w:rPr>
          <w:rFonts w:ascii="Calibri" w:hAnsi="Calibri"/>
          <w:color w:val="333333"/>
          <w:sz w:val="20"/>
          <w:szCs w:val="20"/>
        </w:rPr>
        <w:t>To learn what a standard normal random variable is.</w:t>
      </w:r>
    </w:p>
    <w:p w:rsidR="00AD77BB" w:rsidRDefault="00B45BA0">
      <w:pPr>
        <w:numPr>
          <w:ilvl w:val="0"/>
          <w:numId w:val="124"/>
        </w:numPr>
        <w:shd w:val="clear" w:color="auto" w:fill="EAE9DC"/>
        <w:spacing w:after="0" w:line="360" w:lineRule="auto"/>
        <w:ind w:left="360" w:right="375"/>
        <w:textAlignment w:val="baseline"/>
        <w:rPr>
          <w:rFonts w:ascii="Calibri" w:hAnsi="Calibri"/>
          <w:color w:val="333333"/>
          <w:sz w:val="20"/>
          <w:szCs w:val="20"/>
        </w:rPr>
      </w:pPr>
      <w:r>
        <w:rPr>
          <w:rFonts w:ascii="Calibri" w:hAnsi="Calibri"/>
          <w:color w:val="333333"/>
          <w:sz w:val="20"/>
          <w:szCs w:val="20"/>
        </w:rPr>
        <w:t>To learn how to use</w:t>
      </w:r>
      <w:r>
        <w:rPr>
          <w:rStyle w:val="apple-converted-space"/>
          <w:rFonts w:ascii="Calibri" w:hAnsi="Calibri"/>
          <w:color w:val="333333"/>
          <w:sz w:val="20"/>
          <w:szCs w:val="20"/>
        </w:rPr>
        <w:t> </w:t>
      </w:r>
      <w:r>
        <w:rPr>
          <w:rFonts w:ascii="Calibri" w:hAnsi="Calibri"/>
          <w:color w:val="2689C6"/>
          <w:sz w:val="20"/>
          <w:szCs w:val="20"/>
        </w:rPr>
        <w:t>Figure 12.2 "Cumulative Normal Probability"</w:t>
      </w:r>
      <w:r>
        <w:rPr>
          <w:rStyle w:val="apple-converted-space"/>
          <w:rFonts w:ascii="Calibri" w:hAnsi="Calibri"/>
          <w:color w:val="333333"/>
          <w:sz w:val="20"/>
          <w:szCs w:val="20"/>
        </w:rPr>
        <w:t> </w:t>
      </w:r>
      <w:r>
        <w:rPr>
          <w:rFonts w:ascii="Calibri" w:hAnsi="Calibri"/>
          <w:color w:val="333333"/>
          <w:sz w:val="20"/>
          <w:szCs w:val="20"/>
        </w:rPr>
        <w:t>to compute probabilities related to a standard normal random variable.</w:t>
      </w:r>
    </w:p>
    <w:p w:rsidR="00AD77BB" w:rsidRDefault="00AD77BB">
      <w:pPr>
        <w:pStyle w:val="Heading3"/>
        <w:shd w:val="clear" w:color="auto" w:fill="F4F4F4"/>
        <w:spacing w:before="0" w:beforeAutospacing="0" w:after="0" w:afterAutospacing="0" w:line="360" w:lineRule="auto"/>
        <w:textAlignment w:val="baseline"/>
        <w:rPr>
          <w:rFonts w:ascii="Calibri" w:hAnsi="Calibri"/>
          <w:color w:val="333333"/>
          <w:sz w:val="30"/>
          <w:szCs w:val="30"/>
        </w:rPr>
      </w:pPr>
    </w:p>
    <w:p w:rsidR="00AD77BB" w:rsidRDefault="00B45BA0">
      <w:pPr>
        <w:pStyle w:val="Heading3"/>
        <w:shd w:val="clear" w:color="auto" w:fill="F4F4F4"/>
        <w:spacing w:before="0" w:beforeAutospacing="0" w:after="0" w:afterAutospacing="0" w:line="360" w:lineRule="auto"/>
        <w:textAlignment w:val="baseline"/>
        <w:rPr>
          <w:rFonts w:ascii="Calibri" w:hAnsi="Calibri"/>
          <w:color w:val="333333"/>
          <w:sz w:val="30"/>
          <w:szCs w:val="30"/>
        </w:rPr>
      </w:pPr>
      <w:r>
        <w:rPr>
          <w:rFonts w:ascii="Calibri" w:hAnsi="Calibri"/>
          <w:color w:val="333333"/>
          <w:sz w:val="30"/>
          <w:szCs w:val="30"/>
        </w:rPr>
        <w:t>Definition</w:t>
      </w: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rPr>
        <w:t>A</w:t>
      </w:r>
      <w:r>
        <w:rPr>
          <w:rStyle w:val="apple-converted-space"/>
          <w:rFonts w:ascii="Georgia" w:hAnsi="Georgia"/>
          <w:color w:val="333333"/>
          <w:sz w:val="20"/>
          <w:szCs w:val="20"/>
        </w:rPr>
        <w:t> </w:t>
      </w:r>
      <w:r>
        <w:rPr>
          <w:rStyle w:val="marginterm"/>
          <w:rFonts w:ascii="Georgia" w:hAnsi="Georgia"/>
          <w:b/>
          <w:color w:val="333333"/>
          <w:sz w:val="20"/>
          <w:szCs w:val="20"/>
        </w:rPr>
        <w:t>standard normal random variable</w:t>
      </w:r>
      <w:r>
        <w:rPr>
          <w:rStyle w:val="apple-converted-space"/>
          <w:rFonts w:ascii="Georgia" w:hAnsi="Georgia"/>
          <w:color w:val="333333"/>
          <w:sz w:val="20"/>
          <w:szCs w:val="20"/>
        </w:rPr>
        <w:t> </w:t>
      </w:r>
      <w:r>
        <w:rPr>
          <w:rStyle w:val="Emphasis"/>
          <w:rFonts w:ascii="Georgia" w:hAnsi="Georgia"/>
          <w:color w:val="333333"/>
          <w:sz w:val="20"/>
          <w:szCs w:val="20"/>
        </w:rPr>
        <w:t>is a normally distributed random variable with mean</w:t>
      </w:r>
      <w:r>
        <w:rPr>
          <w:rStyle w:val="apple-converted-space"/>
          <w:rFonts w:ascii="Georgia" w:hAnsi="Georgia"/>
          <w:color w:val="333333"/>
          <w:sz w:val="20"/>
          <w:szCs w:val="20"/>
        </w:rPr>
        <w:t> </w:t>
      </w:r>
      <w:r>
        <w:rPr>
          <w:rStyle w:val="Emphasis"/>
          <w:rFonts w:ascii="Georgia" w:hAnsi="Georgia"/>
          <w:color w:val="333333"/>
          <w:sz w:val="20"/>
          <w:szCs w:val="20"/>
        </w:rPr>
        <w:t>μ</w:t>
      </w:r>
      <w:r>
        <w:rPr>
          <w:rStyle w:val="apple-converted-space"/>
          <w:rFonts w:ascii="Georgia" w:hAnsi="Georgia"/>
          <w:color w:val="333333"/>
          <w:sz w:val="20"/>
          <w:szCs w:val="20"/>
        </w:rPr>
        <w:t> </w:t>
      </w:r>
      <w:r>
        <w:rPr>
          <w:rFonts w:ascii="Georgia" w:hAnsi="Georgia"/>
          <w:color w:val="333333"/>
          <w:sz w:val="20"/>
          <w:szCs w:val="20"/>
        </w:rPr>
        <w:t>= 0</w:t>
      </w:r>
      <w:r>
        <w:rPr>
          <w:rStyle w:val="apple-converted-space"/>
          <w:rFonts w:ascii="Georgia" w:hAnsi="Georgia"/>
          <w:color w:val="333333"/>
          <w:sz w:val="20"/>
          <w:szCs w:val="20"/>
        </w:rPr>
        <w:t> </w:t>
      </w:r>
      <w:r>
        <w:rPr>
          <w:rStyle w:val="Emphasis"/>
          <w:rFonts w:ascii="Georgia" w:hAnsi="Georgia"/>
          <w:color w:val="333333"/>
          <w:sz w:val="20"/>
          <w:szCs w:val="20"/>
        </w:rPr>
        <w:t>and standard deviation</w:t>
      </w:r>
      <w:r>
        <w:rPr>
          <w:rStyle w:val="apple-converted-space"/>
          <w:rFonts w:ascii="Georgia" w:hAnsi="Georgia"/>
          <w:color w:val="333333"/>
          <w:sz w:val="20"/>
          <w:szCs w:val="20"/>
        </w:rPr>
        <w:t> </w:t>
      </w:r>
      <w:r>
        <w:rPr>
          <w:rStyle w:val="Emphasis"/>
          <w:rFonts w:ascii="Georgia" w:hAnsi="Georgia"/>
          <w:color w:val="333333"/>
          <w:sz w:val="20"/>
          <w:szCs w:val="20"/>
        </w:rPr>
        <w:t>σ</w:t>
      </w:r>
      <w:r>
        <w:rPr>
          <w:rStyle w:val="apple-converted-space"/>
          <w:rFonts w:ascii="Georgia" w:hAnsi="Georgia"/>
          <w:color w:val="333333"/>
          <w:sz w:val="20"/>
          <w:szCs w:val="20"/>
        </w:rPr>
        <w:t> </w:t>
      </w:r>
      <w:r>
        <w:rPr>
          <w:rFonts w:ascii="Georgia" w:hAnsi="Georgia"/>
          <w:color w:val="333333"/>
          <w:sz w:val="20"/>
          <w:szCs w:val="20"/>
        </w:rPr>
        <w:t>= 1.</w:t>
      </w:r>
      <w:r>
        <w:rPr>
          <w:rStyle w:val="apple-converted-space"/>
          <w:rFonts w:ascii="Georgia" w:hAnsi="Georgia"/>
          <w:color w:val="333333"/>
          <w:sz w:val="20"/>
          <w:szCs w:val="20"/>
        </w:rPr>
        <w:t> </w:t>
      </w:r>
      <w:r>
        <w:rPr>
          <w:rStyle w:val="Emphasis"/>
          <w:rFonts w:ascii="Georgia" w:hAnsi="Georgia"/>
          <w:color w:val="333333"/>
          <w:sz w:val="20"/>
          <w:szCs w:val="20"/>
        </w:rPr>
        <w:t>It will always be denoted by the letter</w:t>
      </w:r>
      <w:r>
        <w:rPr>
          <w:rStyle w:val="apple-converted-space"/>
          <w:rFonts w:ascii="Georgia" w:hAnsi="Georgia"/>
          <w:color w:val="333333"/>
          <w:sz w:val="20"/>
          <w:szCs w:val="20"/>
        </w:rPr>
        <w:t> </w:t>
      </w:r>
      <w:r>
        <w:rPr>
          <w:rStyle w:val="Emphasis"/>
          <w:rFonts w:ascii="Georgia" w:hAnsi="Georgia"/>
          <w:color w:val="333333"/>
          <w:sz w:val="20"/>
          <w:szCs w:val="20"/>
        </w:rPr>
        <w:t>Z</w:t>
      </w:r>
      <w:r>
        <w:rPr>
          <w:rFonts w:ascii="Georgia" w:hAnsi="Georgia"/>
          <w:color w:val="333333"/>
          <w:sz w:val="20"/>
          <w:szCs w:val="20"/>
        </w:rPr>
        <w:t>.</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density function for a standard normal random variable is shown in</w:t>
      </w:r>
      <w:r>
        <w:rPr>
          <w:rStyle w:val="apple-converted-space"/>
          <w:rFonts w:ascii="Georgia" w:hAnsi="Georgia"/>
          <w:color w:val="333333"/>
          <w:sz w:val="21"/>
          <w:szCs w:val="21"/>
        </w:rPr>
        <w:t> </w:t>
      </w:r>
      <w:r>
        <w:rPr>
          <w:rFonts w:ascii="Georgia" w:eastAsiaTheme="majorEastAsia" w:hAnsi="Georgia"/>
          <w:color w:val="2689C6"/>
          <w:sz w:val="21"/>
          <w:szCs w:val="21"/>
        </w:rPr>
        <w:t>Figure 5.9 "Density Curve for a Standard Normal Random Variable"</w:t>
      </w:r>
      <w:r>
        <w:rPr>
          <w:rFonts w:ascii="Georgia" w:hAnsi="Georgia"/>
          <w:color w:val="333333"/>
          <w:sz w:val="21"/>
          <w:szCs w:val="21"/>
        </w:rPr>
        <w:t>.</w:t>
      </w:r>
    </w:p>
    <w:p w:rsidR="00AD77BB" w:rsidRDefault="00B45BA0">
      <w:pPr>
        <w:pStyle w:val="Title5"/>
        <w:shd w:val="clear" w:color="auto" w:fill="FFFFFF"/>
        <w:spacing w:before="0" w:beforeAutospacing="0" w:after="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5.9</w:t>
      </w:r>
      <w:r>
        <w:rPr>
          <w:rStyle w:val="apple-converted-space"/>
          <w:rFonts w:ascii="Georgia" w:hAnsi="Georgia"/>
          <w:i/>
          <w:iCs/>
          <w:color w:val="BB9966"/>
          <w:sz w:val="22"/>
          <w:szCs w:val="22"/>
        </w:rPr>
        <w:t> </w:t>
      </w:r>
      <w:r>
        <w:rPr>
          <w:rFonts w:ascii="Georgia" w:hAnsi="Georgia"/>
          <w:i/>
          <w:iCs/>
          <w:color w:val="BB9966"/>
          <w:sz w:val="22"/>
          <w:szCs w:val="22"/>
        </w:rPr>
        <w:t>Density Curve for a Standard Normal Random Variable</w:t>
      </w:r>
    </w:p>
    <w:p w:rsidR="00AD77BB" w:rsidRDefault="00B45BA0">
      <w:pPr>
        <w:shd w:val="clear" w:color="auto" w:fill="FFFFFF"/>
        <w:spacing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14:anchorId="5AA4DD30" wp14:editId="01C65C00">
            <wp:extent cx="5724525" cy="3400425"/>
            <wp:effectExtent l="0" t="0" r="9525" b="9525"/>
            <wp:docPr id="156" name="Picture 169" descr="http://images.flatworldknowledge.com/shafer/shafer-fig05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images.flatworldknowledge.com/shafer/shafer-fig05_011.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24525" cy="3400425"/>
                    </a:xfrm>
                    <a:prstGeom prst="rect">
                      <a:avLst/>
                    </a:prstGeom>
                    <a:noFill/>
                    <a:ln>
                      <a:noFill/>
                    </a:ln>
                  </pic:spPr>
                </pic:pic>
              </a:graphicData>
            </a:graphic>
          </wp:inline>
        </w:drawing>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To compute probabilities for</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Z</w:t>
      </w:r>
      <w:r>
        <w:rPr>
          <w:rStyle w:val="apple-converted-space"/>
          <w:rFonts w:ascii="Georgia" w:hAnsi="Georgia"/>
          <w:color w:val="333333"/>
          <w:sz w:val="21"/>
          <w:szCs w:val="21"/>
        </w:rPr>
        <w:t> </w:t>
      </w:r>
      <w:r>
        <w:rPr>
          <w:rFonts w:ascii="Georgia" w:hAnsi="Georgia"/>
          <w:color w:val="333333"/>
          <w:sz w:val="21"/>
          <w:szCs w:val="21"/>
        </w:rPr>
        <w:t>we will not work with its density function directly but instead read probabilities out of</w:t>
      </w:r>
      <w:r>
        <w:rPr>
          <w:rStyle w:val="apple-converted-space"/>
          <w:rFonts w:ascii="Georgia" w:hAnsi="Georgia"/>
          <w:color w:val="333333"/>
          <w:sz w:val="21"/>
          <w:szCs w:val="21"/>
        </w:rPr>
        <w:t> </w:t>
      </w:r>
      <w:r>
        <w:rPr>
          <w:rFonts w:ascii="Georgia" w:hAnsi="Georgia"/>
          <w:color w:val="2689C6"/>
          <w:sz w:val="21"/>
          <w:szCs w:val="21"/>
        </w:rPr>
        <w:t>Figure 12.2 "Cumulative Normal Probability"</w:t>
      </w:r>
      <w:r>
        <w:rPr>
          <w:rStyle w:val="apple-converted-space"/>
          <w:rFonts w:ascii="Georgia" w:hAnsi="Georgia"/>
          <w:color w:val="333333"/>
          <w:sz w:val="21"/>
          <w:szCs w:val="21"/>
        </w:rPr>
        <w:t> </w:t>
      </w:r>
      <w:r>
        <w:rPr>
          <w:rFonts w:ascii="Georgia" w:hAnsi="Georgia"/>
          <w:color w:val="333333"/>
          <w:sz w:val="21"/>
          <w:szCs w:val="21"/>
        </w:rPr>
        <w:t>in</w:t>
      </w:r>
      <w:r>
        <w:rPr>
          <w:rStyle w:val="apple-converted-space"/>
          <w:rFonts w:ascii="Georgia" w:hAnsi="Georgia"/>
          <w:color w:val="333333"/>
          <w:sz w:val="21"/>
          <w:szCs w:val="21"/>
        </w:rPr>
        <w:t> </w:t>
      </w:r>
      <w:r>
        <w:rPr>
          <w:rFonts w:ascii="Georgia" w:hAnsi="Georgia"/>
          <w:color w:val="2689C6"/>
          <w:sz w:val="21"/>
          <w:szCs w:val="21"/>
        </w:rPr>
        <w:t>Chapter 12 "Appendix"</w:t>
      </w:r>
      <w:r>
        <w:rPr>
          <w:rFonts w:ascii="Georgia" w:hAnsi="Georgia"/>
          <w:color w:val="333333"/>
          <w:sz w:val="21"/>
          <w:szCs w:val="21"/>
        </w:rPr>
        <w:t>. The tables are tables of</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 xml:space="preserve">cumulative </w:t>
      </w:r>
      <w:r>
        <w:rPr>
          <w:rFonts w:ascii="Georgia" w:hAnsi="Georgia"/>
          <w:color w:val="333333"/>
          <w:sz w:val="21"/>
          <w:szCs w:val="21"/>
        </w:rPr>
        <w:t>probabilities; their entries are probabilities of the form</w:t>
      </w:r>
      <w:r>
        <w:rPr>
          <w:rStyle w:val="apple-converted-space"/>
          <w:rFonts w:ascii="Georgia" w:hAnsi="Georgia"/>
          <w:color w:val="333333"/>
          <w:sz w:val="21"/>
          <w:szCs w:val="21"/>
        </w:rPr>
        <w:t> </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Z</w:t>
      </w:r>
      <w:r>
        <w:rPr>
          <w:rStyle w:val="mo"/>
          <w:rFonts w:ascii="MathJax_Main" w:hAnsi="MathJax_Main"/>
          <w:b/>
          <w:color w:val="333333"/>
          <w:sz w:val="18"/>
          <w:szCs w:val="18"/>
        </w:rPr>
        <w:t>&lt;</w:t>
      </w:r>
      <w:r>
        <w:rPr>
          <w:rStyle w:val="mi"/>
          <w:rFonts w:ascii="MathJax_Math" w:hAnsi="MathJax_Math"/>
          <w:b/>
          <w:i/>
          <w:iCs/>
          <w:color w:val="333333"/>
          <w:sz w:val="18"/>
          <w:szCs w:val="18"/>
        </w:rPr>
        <w:t>z</w:t>
      </w:r>
      <w:r>
        <w:rPr>
          <w:rStyle w:val="mo"/>
          <w:rFonts w:ascii="MathJax_Main" w:hAnsi="MathJax_Main"/>
          <w:b/>
          <w:color w:val="333333"/>
          <w:sz w:val="18"/>
          <w:szCs w:val="18"/>
        </w:rPr>
        <w:t>).</w:t>
      </w:r>
      <w:r>
        <w:rPr>
          <w:rStyle w:val="apple-converted-space"/>
          <w:rFonts w:ascii="Georgia" w:hAnsi="Georgia"/>
          <w:b/>
          <w:color w:val="333333"/>
          <w:sz w:val="21"/>
          <w:szCs w:val="21"/>
        </w:rPr>
        <w:t> </w:t>
      </w:r>
      <w:r>
        <w:rPr>
          <w:rFonts w:ascii="Georgia" w:hAnsi="Georgia"/>
          <w:color w:val="333333"/>
          <w:sz w:val="21"/>
          <w:szCs w:val="21"/>
        </w:rPr>
        <w:t>The use of the tables will be explained by the following series of examples.</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lastRenderedPageBreak/>
        <w:t>EXAMPLE 4</w:t>
      </w:r>
    </w:p>
    <w:p w:rsidR="00AD77BB" w:rsidRDefault="00B45BA0">
      <w:pPr>
        <w:shd w:val="clear" w:color="auto" w:fill="DAEEF3" w:themeFill="accent5" w:themeFillTint="33"/>
        <w:spacing w:after="0" w:line="360" w:lineRule="auto"/>
        <w:ind w:left="300" w:right="374"/>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Find the probabilities indicated, where as always </w:t>
      </w:r>
      <w:r>
        <w:rPr>
          <w:rFonts w:ascii="Calibri" w:eastAsia="Times New Roman" w:hAnsi="Calibri" w:cs="Times New Roman"/>
          <w:i/>
          <w:iCs/>
          <w:color w:val="333333"/>
          <w:sz w:val="20"/>
          <w:szCs w:val="20"/>
        </w:rPr>
        <w:t>Z</w:t>
      </w:r>
      <w:r>
        <w:rPr>
          <w:rFonts w:ascii="Calibri" w:eastAsia="Times New Roman" w:hAnsi="Calibri" w:cs="Times New Roman"/>
          <w:color w:val="333333"/>
          <w:sz w:val="21"/>
          <w:szCs w:val="21"/>
        </w:rPr>
        <w:t> denotes a standard normal random variable.</w:t>
      </w:r>
    </w:p>
    <w:p w:rsidR="00AD77BB" w:rsidRDefault="00B45BA0">
      <w:pPr>
        <w:numPr>
          <w:ilvl w:val="0"/>
          <w:numId w:val="125"/>
        </w:numPr>
        <w:shd w:val="clear" w:color="auto" w:fill="DAEEF3" w:themeFill="accent5" w:themeFillTint="33"/>
        <w:spacing w:after="0" w:line="360" w:lineRule="auto"/>
        <w:ind w:right="374"/>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w:t>
      </w:r>
      <w:r>
        <w:rPr>
          <w:rFonts w:ascii="Calibri" w:eastAsia="Times New Roman" w:hAnsi="Calibri" w:cs="Times New Roman"/>
          <w:i/>
          <w:iCs/>
          <w:color w:val="333333"/>
          <w:sz w:val="20"/>
          <w:szCs w:val="20"/>
        </w:rPr>
        <w:t>Z</w:t>
      </w:r>
      <w:r>
        <w:rPr>
          <w:rFonts w:ascii="Calibri" w:eastAsia="Times New Roman" w:hAnsi="Calibri" w:cs="Times New Roman"/>
          <w:color w:val="333333"/>
          <w:sz w:val="20"/>
          <w:szCs w:val="20"/>
        </w:rPr>
        <w:t> &lt; 1.48).</w:t>
      </w:r>
    </w:p>
    <w:p w:rsidR="00AD77BB" w:rsidRDefault="00B45BA0">
      <w:pPr>
        <w:numPr>
          <w:ilvl w:val="0"/>
          <w:numId w:val="125"/>
        </w:numPr>
        <w:shd w:val="clear" w:color="auto" w:fill="DAEEF3" w:themeFill="accent5" w:themeFillTint="33"/>
        <w:spacing w:after="0" w:line="360" w:lineRule="auto"/>
        <w:ind w:right="374"/>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w:t>
      </w:r>
      <w:r>
        <w:rPr>
          <w:rFonts w:ascii="Calibri" w:eastAsia="Times New Roman" w:hAnsi="Calibri" w:cs="Times New Roman"/>
          <w:i/>
          <w:iCs/>
          <w:color w:val="333333"/>
          <w:sz w:val="20"/>
          <w:szCs w:val="20"/>
        </w:rPr>
        <w:t>Z</w:t>
      </w:r>
      <w:r>
        <w:rPr>
          <w:rFonts w:ascii="Calibri" w:eastAsia="Times New Roman" w:hAnsi="Calibri" w:cs="Times New Roman"/>
          <w:color w:val="333333"/>
          <w:sz w:val="20"/>
          <w:szCs w:val="20"/>
        </w:rPr>
        <w:t>&lt; −0.25).</w:t>
      </w:r>
    </w:p>
    <w:p w:rsidR="00AD77BB" w:rsidRDefault="00B45BA0">
      <w:pPr>
        <w:shd w:val="clear" w:color="auto" w:fill="DAEEF3" w:themeFill="accent5" w:themeFillTint="33"/>
        <w:spacing w:before="150" w:after="0" w:line="360" w:lineRule="auto"/>
        <w:ind w:left="300" w:right="374"/>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Solution:</w:t>
      </w:r>
    </w:p>
    <w:p w:rsidR="00AD77BB" w:rsidRDefault="00B45BA0">
      <w:pPr>
        <w:numPr>
          <w:ilvl w:val="0"/>
          <w:numId w:val="126"/>
        </w:numPr>
        <w:shd w:val="clear" w:color="auto" w:fill="DAEEF3" w:themeFill="accent5" w:themeFillTint="33"/>
        <w:spacing w:after="0" w:line="360" w:lineRule="auto"/>
        <w:ind w:right="374"/>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Figure 5.10 "Computing Probabilities Using the Cumulative Table"</w:t>
      </w:r>
      <w:r>
        <w:rPr>
          <w:rFonts w:ascii="Calibri" w:eastAsia="Times New Roman" w:hAnsi="Calibri" w:cs="Times New Roman"/>
          <w:color w:val="333333"/>
          <w:sz w:val="20"/>
          <w:szCs w:val="20"/>
        </w:rPr>
        <w:t> shows how this probability is read directly from the table without any computation required. The digits in the ones and tenths places of 1.48, namely 1.4, are used to select the appropriate row of the table; the hundredths part of 1.48, namely 0.08, is used to select the appropriate column of the table. The four decimal place number in the interior of the table that lies in the intersection of the row and column selected, 0.9306, is the probability sought: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Z</w:t>
      </w:r>
      <w:r>
        <w:rPr>
          <w:rFonts w:ascii="MathJax_Main" w:eastAsia="Times New Roman" w:hAnsi="MathJax_Main" w:cs="Times New Roman"/>
          <w:b/>
          <w:color w:val="333333"/>
          <w:sz w:val="15"/>
          <w:szCs w:val="15"/>
        </w:rPr>
        <w:t>&lt;1.48)=0.9306.</w:t>
      </w:r>
    </w:p>
    <w:p w:rsidR="00AD77BB" w:rsidRDefault="00B45BA0">
      <w:pPr>
        <w:shd w:val="clear" w:color="auto" w:fill="DAEEF3" w:themeFill="accent5" w:themeFillTint="33"/>
        <w:spacing w:after="0" w:line="439" w:lineRule="atLeast"/>
        <w:ind w:left="300" w:right="375"/>
        <w:textAlignment w:val="baseline"/>
        <w:rPr>
          <w:rFonts w:ascii="Calibri" w:eastAsia="Times New Roman" w:hAnsi="Calibri" w:cs="Times New Roman"/>
          <w:i/>
          <w:iCs/>
          <w:color w:val="BB9966"/>
        </w:rPr>
      </w:pPr>
      <w:r>
        <w:rPr>
          <w:rFonts w:ascii="Calibri" w:eastAsia="Times New Roman" w:hAnsi="Calibri" w:cs="Times New Roman"/>
          <w:i/>
          <w:iCs/>
          <w:color w:val="000000"/>
          <w:sz w:val="20"/>
          <w:szCs w:val="20"/>
        </w:rPr>
        <w:t>Figure 5.10</w:t>
      </w:r>
      <w:r>
        <w:rPr>
          <w:rFonts w:ascii="Calibri" w:eastAsia="Times New Roman" w:hAnsi="Calibri" w:cs="Times New Roman"/>
          <w:i/>
          <w:iCs/>
          <w:color w:val="BB9966"/>
        </w:rPr>
        <w:t>Computing Probabilities Using the Cumulative Table</w:t>
      </w:r>
    </w:p>
    <w:p w:rsidR="00AD77BB" w:rsidRDefault="00B45BA0">
      <w:pPr>
        <w:shd w:val="clear" w:color="auto" w:fill="DAEEF3" w:themeFill="accent5" w:themeFillTint="33"/>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14:anchorId="31C42326" wp14:editId="4C8536A8">
            <wp:extent cx="5438775" cy="1914525"/>
            <wp:effectExtent l="0" t="0" r="9525" b="9525"/>
            <wp:docPr id="157" name="Picture 170" descr="http://images.flatworldknowledge.com/shafer/shafer-fig05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images.flatworldknowledge.com/shafer/shafer-fig05_012.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38775" cy="1914525"/>
                    </a:xfrm>
                    <a:prstGeom prst="rect">
                      <a:avLst/>
                    </a:prstGeom>
                    <a:noFill/>
                    <a:ln>
                      <a:noFill/>
                    </a:ln>
                  </pic:spPr>
                </pic:pic>
              </a:graphicData>
            </a:graphic>
          </wp:inline>
        </w:drawing>
      </w:r>
    </w:p>
    <w:p w:rsidR="00AD77BB" w:rsidRDefault="00B45BA0">
      <w:pPr>
        <w:numPr>
          <w:ilvl w:val="0"/>
          <w:numId w:val="126"/>
        </w:numPr>
        <w:shd w:val="clear" w:color="auto" w:fill="DAEEF3" w:themeFill="accent5" w:themeFillTint="33"/>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minus sign in −0.25 makes no difference in the procedure; the table is used in exactly the same way as in part (a): the probability sought is the number that is in the intersection of the row with heading −0.2 and the column with heading 0.05, the number 0.4013. Thus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w:t>
      </w:r>
      <w:r>
        <w:rPr>
          <w:rFonts w:ascii="Calibri" w:eastAsia="Times New Roman" w:hAnsi="Calibri" w:cs="Times New Roman"/>
          <w:i/>
          <w:iCs/>
          <w:color w:val="333333"/>
          <w:sz w:val="20"/>
          <w:szCs w:val="20"/>
        </w:rPr>
        <w:t>Z</w:t>
      </w:r>
      <w:r>
        <w:rPr>
          <w:rFonts w:ascii="Calibri" w:eastAsia="Times New Roman" w:hAnsi="Calibri" w:cs="Times New Roman"/>
          <w:color w:val="333333"/>
          <w:sz w:val="20"/>
          <w:szCs w:val="20"/>
        </w:rPr>
        <w:t> &lt; −0.25) = 0.4013.</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5</w:t>
      </w:r>
    </w:p>
    <w:p w:rsidR="00AD77BB" w:rsidRDefault="00B45BA0">
      <w:pPr>
        <w:pStyle w:val="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Find the probabilities indicated.</w:t>
      </w:r>
    </w:p>
    <w:p w:rsidR="00AD77BB" w:rsidRDefault="00B45BA0">
      <w:pPr>
        <w:numPr>
          <w:ilvl w:val="0"/>
          <w:numId w:val="127"/>
        </w:numPr>
        <w:shd w:val="clear" w:color="auto" w:fill="DAEEF3" w:themeFill="accent5" w:themeFillTint="33"/>
        <w:spacing w:after="0" w:line="360" w:lineRule="auto"/>
        <w:ind w:right="375"/>
        <w:textAlignment w:val="baseline"/>
        <w:rPr>
          <w:rFonts w:ascii="Calibri" w:hAnsi="Calibri"/>
          <w:color w:val="333333"/>
          <w:sz w:val="20"/>
          <w:szCs w:val="20"/>
        </w:rPr>
      </w:pP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Z</w:t>
      </w:r>
      <w:r>
        <w:rPr>
          <w:rStyle w:val="apple-converted-space"/>
          <w:rFonts w:ascii="Calibri" w:hAnsi="Calibri"/>
          <w:color w:val="333333"/>
          <w:sz w:val="20"/>
          <w:szCs w:val="20"/>
        </w:rPr>
        <w:t> </w:t>
      </w:r>
      <w:r>
        <w:rPr>
          <w:rFonts w:ascii="Calibri" w:hAnsi="Calibri"/>
          <w:color w:val="333333"/>
          <w:sz w:val="20"/>
          <w:szCs w:val="20"/>
        </w:rPr>
        <w:t>&gt; 1.60).</w:t>
      </w:r>
    </w:p>
    <w:p w:rsidR="00AD77BB" w:rsidRDefault="00B45BA0">
      <w:pPr>
        <w:numPr>
          <w:ilvl w:val="0"/>
          <w:numId w:val="127"/>
        </w:numPr>
        <w:shd w:val="clear" w:color="auto" w:fill="DAEEF3" w:themeFill="accent5" w:themeFillTint="33"/>
        <w:spacing w:after="0" w:line="360" w:lineRule="auto"/>
        <w:ind w:left="504" w:right="375" w:hanging="504"/>
        <w:textAlignment w:val="baseline"/>
        <w:rPr>
          <w:rFonts w:ascii="Calibri" w:hAnsi="Calibri"/>
          <w:color w:val="333333"/>
          <w:sz w:val="20"/>
          <w:szCs w:val="20"/>
        </w:rPr>
      </w:pP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Z</w:t>
      </w:r>
      <w:r>
        <w:rPr>
          <w:rStyle w:val="apple-converted-space"/>
          <w:rFonts w:ascii="Calibri" w:hAnsi="Calibri"/>
          <w:color w:val="333333"/>
          <w:sz w:val="20"/>
          <w:szCs w:val="20"/>
        </w:rPr>
        <w:t> </w:t>
      </w:r>
      <w:r>
        <w:rPr>
          <w:rFonts w:ascii="Calibri" w:hAnsi="Calibri"/>
          <w:color w:val="333333"/>
          <w:sz w:val="20"/>
          <w:szCs w:val="20"/>
        </w:rPr>
        <w:t>&gt; −1.02).</w:t>
      </w:r>
    </w:p>
    <w:p w:rsidR="00AD77BB" w:rsidRDefault="00B45BA0">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Solution:</w:t>
      </w:r>
    </w:p>
    <w:p w:rsidR="00AD77BB" w:rsidRDefault="00B45BA0">
      <w:pPr>
        <w:pStyle w:val="para"/>
        <w:numPr>
          <w:ilvl w:val="0"/>
          <w:numId w:val="128"/>
        </w:numPr>
        <w:shd w:val="clear" w:color="auto" w:fill="DAEEF3" w:themeFill="accent5" w:themeFillTint="33"/>
        <w:spacing w:before="0" w:beforeAutospacing="0" w:after="0" w:afterAutospacing="0" w:line="360" w:lineRule="auto"/>
        <w:ind w:right="750"/>
        <w:textAlignment w:val="baseline"/>
        <w:rPr>
          <w:rFonts w:ascii="Calibri" w:hAnsi="Calibri"/>
          <w:color w:val="333333"/>
          <w:sz w:val="20"/>
          <w:szCs w:val="20"/>
        </w:rPr>
      </w:pPr>
      <w:r>
        <w:rPr>
          <w:rFonts w:ascii="Calibri" w:hAnsi="Calibri"/>
          <w:color w:val="333333"/>
          <w:sz w:val="20"/>
          <w:szCs w:val="20"/>
        </w:rPr>
        <w:t>Because the events</w:t>
      </w:r>
      <w:r>
        <w:rPr>
          <w:rStyle w:val="apple-converted-space"/>
          <w:rFonts w:ascii="Calibri" w:hAnsi="Calibri"/>
          <w:color w:val="333333"/>
          <w:sz w:val="20"/>
          <w:szCs w:val="20"/>
        </w:rPr>
        <w:t> </w:t>
      </w:r>
      <w:r>
        <w:rPr>
          <w:rStyle w:val="Emphasis"/>
          <w:rFonts w:ascii="Calibri" w:hAnsi="Calibri"/>
          <w:color w:val="333333"/>
          <w:sz w:val="20"/>
          <w:szCs w:val="20"/>
        </w:rPr>
        <w:t>Z</w:t>
      </w:r>
      <w:r>
        <w:rPr>
          <w:rStyle w:val="apple-converted-space"/>
          <w:rFonts w:ascii="Calibri" w:hAnsi="Calibri"/>
          <w:color w:val="333333"/>
          <w:sz w:val="20"/>
          <w:szCs w:val="20"/>
        </w:rPr>
        <w:t> </w:t>
      </w:r>
      <w:r>
        <w:rPr>
          <w:rFonts w:ascii="Calibri" w:hAnsi="Calibri"/>
          <w:color w:val="333333"/>
          <w:sz w:val="20"/>
          <w:szCs w:val="20"/>
        </w:rPr>
        <w:t>&gt; 1.60 and</w:t>
      </w:r>
      <w:r>
        <w:rPr>
          <w:rStyle w:val="apple-converted-space"/>
          <w:rFonts w:ascii="Calibri" w:hAnsi="Calibri"/>
          <w:color w:val="333333"/>
          <w:sz w:val="20"/>
          <w:szCs w:val="20"/>
        </w:rPr>
        <w:t> </w:t>
      </w:r>
      <w:r>
        <w:rPr>
          <w:rStyle w:val="Emphasis"/>
          <w:rFonts w:ascii="Calibri" w:hAnsi="Calibri"/>
          <w:color w:val="333333"/>
          <w:sz w:val="20"/>
          <w:szCs w:val="20"/>
        </w:rPr>
        <w:t>Z</w:t>
      </w:r>
      <w:r>
        <w:rPr>
          <w:rStyle w:val="apple-converted-space"/>
          <w:rFonts w:ascii="Calibri" w:hAnsi="Calibri"/>
          <w:color w:val="333333"/>
          <w:sz w:val="20"/>
          <w:szCs w:val="20"/>
        </w:rPr>
        <w:t> </w:t>
      </w:r>
      <w:r>
        <w:rPr>
          <w:rFonts w:ascii="Calibri" w:hAnsi="Calibri"/>
          <w:color w:val="333333"/>
          <w:sz w:val="20"/>
          <w:szCs w:val="20"/>
        </w:rPr>
        <w:t>≤ 1.60 are complements, the Probability Rule for Complements implies that</w:t>
      </w:r>
    </w:p>
    <w:p w:rsidR="00AD77BB" w:rsidRDefault="00B45BA0">
      <w:pPr>
        <w:shd w:val="clear" w:color="auto" w:fill="DAEEF3" w:themeFill="accent5" w:themeFillTint="33"/>
        <w:spacing w:line="360" w:lineRule="auto"/>
        <w:ind w:left="300" w:right="375"/>
        <w:jc w:val="center"/>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Z</w:t>
      </w:r>
      <w:r>
        <w:rPr>
          <w:rStyle w:val="mo"/>
          <w:rFonts w:ascii="MathJax_Main" w:hAnsi="MathJax_Main"/>
          <w:b/>
          <w:color w:val="333333"/>
          <w:sz w:val="15"/>
          <w:szCs w:val="15"/>
        </w:rPr>
        <w:t>&gt;</w:t>
      </w:r>
      <w:r>
        <w:rPr>
          <w:rStyle w:val="mn"/>
          <w:rFonts w:ascii="MathJax_Main" w:hAnsi="MathJax_Main"/>
          <w:b/>
          <w:color w:val="333333"/>
          <w:sz w:val="15"/>
          <w:szCs w:val="15"/>
        </w:rPr>
        <w:t>1.60</w:t>
      </w:r>
      <w:r>
        <w:rPr>
          <w:rStyle w:val="mo"/>
          <w:rFonts w:ascii="MathJax_Main" w:hAnsi="MathJax_Main"/>
          <w:b/>
          <w:color w:val="333333"/>
          <w:sz w:val="15"/>
          <w:szCs w:val="15"/>
        </w:rPr>
        <w:t>)=</w:t>
      </w:r>
      <w:r>
        <w:rPr>
          <w:rStyle w:val="mn"/>
          <w:rFonts w:ascii="MathJax_Main" w:hAnsi="MathJax_Main"/>
          <w:b/>
          <w:color w:val="333333"/>
          <w:sz w:val="15"/>
          <w:szCs w:val="15"/>
        </w:rPr>
        <w:t>1</w:t>
      </w:r>
      <w:r>
        <w:rPr>
          <w:rStyle w:val="mo"/>
          <w:rFonts w:ascii="MathJax_Main" w:hAnsi="MathJax_Main"/>
          <w:b/>
          <w:color w:val="333333"/>
          <w:sz w:val="15"/>
          <w:szCs w:val="15"/>
        </w:rPr>
        <w:t>−</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Z</w:t>
      </w:r>
      <w:r>
        <w:rPr>
          <w:rStyle w:val="mo"/>
          <w:rFonts w:ascii="MathJax_Main" w:hAnsi="MathJax_Main"/>
          <w:b/>
          <w:color w:val="333333"/>
          <w:sz w:val="15"/>
          <w:szCs w:val="15"/>
        </w:rPr>
        <w:t>≤</w:t>
      </w:r>
      <w:r>
        <w:rPr>
          <w:rStyle w:val="mn"/>
          <w:rFonts w:ascii="MathJax_Main" w:hAnsi="MathJax_Main"/>
          <w:b/>
          <w:color w:val="333333"/>
          <w:sz w:val="15"/>
          <w:szCs w:val="15"/>
        </w:rPr>
        <w:t>1.60</w:t>
      </w:r>
      <w:r>
        <w:rPr>
          <w:rStyle w:val="mo"/>
          <w:rFonts w:ascii="MathJax_Main" w:hAnsi="MathJax_Main"/>
          <w:b/>
          <w:color w:val="333333"/>
          <w:sz w:val="15"/>
          <w:szCs w:val="15"/>
        </w:rPr>
        <w:t>)</w:t>
      </w:r>
    </w:p>
    <w:p w:rsidR="00AD77BB" w:rsidRDefault="00B45BA0">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lastRenderedPageBreak/>
        <w:t>Since inclusion of the endpoint makes no difference for the continuous random variable</w:t>
      </w:r>
      <w:r>
        <w:rPr>
          <w:rStyle w:val="apple-converted-space"/>
          <w:rFonts w:ascii="Calibri" w:hAnsi="Calibri"/>
          <w:color w:val="333333"/>
          <w:sz w:val="20"/>
          <w:szCs w:val="20"/>
        </w:rPr>
        <w:t> </w:t>
      </w:r>
      <w:r>
        <w:rPr>
          <w:rStyle w:val="Emphasis"/>
          <w:rFonts w:ascii="Calibri" w:hAnsi="Calibri"/>
          <w:color w:val="333333"/>
          <w:sz w:val="20"/>
          <w:szCs w:val="20"/>
        </w:rPr>
        <w:t>Z</w:t>
      </w:r>
      <w:r>
        <w:rPr>
          <w:rFonts w:ascii="Calibri" w:hAnsi="Calibri"/>
          <w:color w:val="333333"/>
          <w:sz w:val="20"/>
          <w:szCs w:val="20"/>
        </w:rPr>
        <w:t>,</w:t>
      </w:r>
      <w:r>
        <w:rPr>
          <w:rStyle w:val="apple-converted-space"/>
          <w:rFonts w:ascii="Calibri" w:hAnsi="Calibri"/>
          <w:color w:val="333333"/>
          <w:sz w:val="20"/>
          <w:szCs w:val="20"/>
        </w:rPr>
        <w:t> </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Z</w:t>
      </w:r>
      <w:r>
        <w:rPr>
          <w:rStyle w:val="mo"/>
          <w:rFonts w:ascii="MathJax_Main" w:hAnsi="MathJax_Main"/>
          <w:b/>
          <w:color w:val="333333"/>
          <w:sz w:val="15"/>
          <w:szCs w:val="15"/>
        </w:rPr>
        <w:t>≤</w:t>
      </w:r>
      <w:r>
        <w:rPr>
          <w:rStyle w:val="mn"/>
          <w:rFonts w:ascii="MathJax_Main" w:hAnsi="MathJax_Main"/>
          <w:b/>
          <w:color w:val="333333"/>
          <w:sz w:val="15"/>
          <w:szCs w:val="15"/>
        </w:rPr>
        <w:t>1.60</w:t>
      </w:r>
      <w:r>
        <w:rPr>
          <w:rStyle w:val="mo"/>
          <w:rFonts w:ascii="MathJax_Main" w:hAnsi="MathJax_Main"/>
          <w:b/>
          <w:color w:val="333333"/>
          <w:sz w:val="15"/>
          <w:szCs w:val="15"/>
        </w:rPr>
        <w:t>)=</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Z</w:t>
      </w:r>
      <w:r>
        <w:rPr>
          <w:rStyle w:val="mo"/>
          <w:rFonts w:ascii="MathJax_Main" w:hAnsi="MathJax_Main"/>
          <w:b/>
          <w:color w:val="333333"/>
          <w:sz w:val="15"/>
          <w:szCs w:val="15"/>
        </w:rPr>
        <w:t>&lt;</w:t>
      </w:r>
      <w:r>
        <w:rPr>
          <w:rStyle w:val="mn"/>
          <w:rFonts w:ascii="MathJax_Main" w:hAnsi="MathJax_Main"/>
          <w:b/>
          <w:color w:val="333333"/>
          <w:sz w:val="15"/>
          <w:szCs w:val="15"/>
        </w:rPr>
        <w:t>1.60</w:t>
      </w:r>
      <w:r>
        <w:rPr>
          <w:rStyle w:val="mo"/>
          <w:rFonts w:ascii="MathJax_Main" w:hAnsi="MathJax_Main"/>
          <w:b/>
          <w:color w:val="333333"/>
          <w:sz w:val="15"/>
          <w:szCs w:val="15"/>
        </w:rPr>
        <w:t>)</w:t>
      </w:r>
      <w:r>
        <w:rPr>
          <w:rFonts w:ascii="Calibri" w:hAnsi="Calibri"/>
          <w:b/>
          <w:color w:val="333333"/>
          <w:sz w:val="20"/>
          <w:szCs w:val="20"/>
        </w:rPr>
        <w:t>,</w:t>
      </w:r>
      <w:r>
        <w:rPr>
          <w:rFonts w:ascii="Calibri" w:hAnsi="Calibri"/>
          <w:color w:val="333333"/>
          <w:sz w:val="20"/>
          <w:szCs w:val="20"/>
        </w:rPr>
        <w:t xml:space="preserve"> which we know how to find from the table. The number in the row with heading 1.6 and in the column with heading 0.00 is 0.9452. Thus</w:t>
      </w:r>
      <w:r>
        <w:rPr>
          <w:rStyle w:val="apple-converted-space"/>
          <w:rFonts w:ascii="Calibri" w:hAnsi="Calibri"/>
          <w:color w:val="333333"/>
          <w:sz w:val="20"/>
          <w:szCs w:val="20"/>
        </w:rPr>
        <w:t> </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Z</w:t>
      </w:r>
      <w:r>
        <w:rPr>
          <w:rStyle w:val="mo"/>
          <w:rFonts w:ascii="MathJax_Main" w:hAnsi="MathJax_Main"/>
          <w:b/>
          <w:color w:val="333333"/>
          <w:sz w:val="15"/>
          <w:szCs w:val="15"/>
        </w:rPr>
        <w:t>&lt;</w:t>
      </w:r>
      <w:r>
        <w:rPr>
          <w:rStyle w:val="mn"/>
          <w:rFonts w:ascii="MathJax_Main" w:hAnsi="MathJax_Main"/>
          <w:b/>
          <w:color w:val="333333"/>
          <w:sz w:val="15"/>
          <w:szCs w:val="15"/>
        </w:rPr>
        <w:t>1.60</w:t>
      </w:r>
      <w:r>
        <w:rPr>
          <w:rStyle w:val="mo"/>
          <w:rFonts w:ascii="MathJax_Main" w:hAnsi="MathJax_Main"/>
          <w:b/>
          <w:color w:val="333333"/>
          <w:sz w:val="15"/>
          <w:szCs w:val="15"/>
        </w:rPr>
        <w:t>)=</w:t>
      </w:r>
      <w:r>
        <w:rPr>
          <w:rStyle w:val="mn"/>
          <w:rFonts w:ascii="MathJax_Main" w:hAnsi="MathJax_Main"/>
          <w:b/>
          <w:color w:val="333333"/>
          <w:sz w:val="15"/>
          <w:szCs w:val="15"/>
        </w:rPr>
        <w:t>0.9452</w:t>
      </w:r>
      <w:r>
        <w:rPr>
          <w:rStyle w:val="apple-converted-space"/>
          <w:rFonts w:ascii="Calibri" w:hAnsi="Calibri"/>
          <w:b/>
          <w:color w:val="333333"/>
          <w:sz w:val="20"/>
          <w:szCs w:val="20"/>
        </w:rPr>
        <w:t> </w:t>
      </w:r>
      <w:r>
        <w:rPr>
          <w:rFonts w:ascii="Calibri" w:hAnsi="Calibri"/>
          <w:color w:val="333333"/>
          <w:sz w:val="20"/>
          <w:szCs w:val="20"/>
        </w:rPr>
        <w:t>so</w:t>
      </w:r>
    </w:p>
    <w:p w:rsidR="00AD77BB" w:rsidRDefault="00AD77BB">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p>
    <w:p w:rsidR="00AD77BB" w:rsidRDefault="00B45BA0">
      <w:pPr>
        <w:shd w:val="clear" w:color="auto" w:fill="DAEEF3" w:themeFill="accent5" w:themeFillTint="33"/>
        <w:spacing w:line="360" w:lineRule="auto"/>
        <w:ind w:left="300" w:right="375"/>
        <w:jc w:val="center"/>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Z</w:t>
      </w:r>
      <w:r>
        <w:rPr>
          <w:rStyle w:val="mo"/>
          <w:rFonts w:ascii="MathJax_Main" w:hAnsi="MathJax_Main"/>
          <w:b/>
          <w:color w:val="333333"/>
          <w:sz w:val="15"/>
          <w:szCs w:val="15"/>
        </w:rPr>
        <w:t>&gt;</w:t>
      </w:r>
      <w:r>
        <w:rPr>
          <w:rStyle w:val="mn"/>
          <w:rFonts w:ascii="MathJax_Main" w:hAnsi="MathJax_Main"/>
          <w:b/>
          <w:color w:val="333333"/>
          <w:sz w:val="15"/>
          <w:szCs w:val="15"/>
        </w:rPr>
        <w:t>1.60</w:t>
      </w:r>
      <w:r>
        <w:rPr>
          <w:rStyle w:val="mo"/>
          <w:rFonts w:ascii="MathJax_Main" w:hAnsi="MathJax_Main"/>
          <w:b/>
          <w:color w:val="333333"/>
          <w:sz w:val="15"/>
          <w:szCs w:val="15"/>
        </w:rPr>
        <w:t>)=</w:t>
      </w:r>
      <w:r>
        <w:rPr>
          <w:rStyle w:val="mn"/>
          <w:rFonts w:ascii="MathJax_Main" w:hAnsi="MathJax_Main"/>
          <w:b/>
          <w:color w:val="333333"/>
          <w:sz w:val="15"/>
          <w:szCs w:val="15"/>
        </w:rPr>
        <w:t>1</w:t>
      </w:r>
      <w:r>
        <w:rPr>
          <w:rStyle w:val="mo"/>
          <w:rFonts w:ascii="MathJax_Main" w:hAnsi="MathJax_Main"/>
          <w:b/>
          <w:color w:val="333333"/>
          <w:sz w:val="15"/>
          <w:szCs w:val="15"/>
        </w:rPr>
        <w:t>−</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Z</w:t>
      </w:r>
      <w:r>
        <w:rPr>
          <w:rStyle w:val="mo"/>
          <w:rFonts w:ascii="MathJax_Main" w:hAnsi="MathJax_Main"/>
          <w:b/>
          <w:color w:val="333333"/>
          <w:sz w:val="15"/>
          <w:szCs w:val="15"/>
        </w:rPr>
        <w:t>≤</w:t>
      </w:r>
      <w:r>
        <w:rPr>
          <w:rStyle w:val="mn"/>
          <w:rFonts w:ascii="MathJax_Main" w:hAnsi="MathJax_Main"/>
          <w:b/>
          <w:color w:val="333333"/>
          <w:sz w:val="15"/>
          <w:szCs w:val="15"/>
        </w:rPr>
        <w:t>1.60</w:t>
      </w:r>
      <w:r>
        <w:rPr>
          <w:rStyle w:val="mo"/>
          <w:rFonts w:ascii="MathJax_Main" w:hAnsi="MathJax_Main"/>
          <w:b/>
          <w:color w:val="333333"/>
          <w:sz w:val="15"/>
          <w:szCs w:val="15"/>
        </w:rPr>
        <w:t>)=</w:t>
      </w:r>
      <w:r>
        <w:rPr>
          <w:rStyle w:val="mn"/>
          <w:rFonts w:ascii="MathJax_Main" w:hAnsi="MathJax_Main"/>
          <w:b/>
          <w:color w:val="333333"/>
          <w:sz w:val="15"/>
          <w:szCs w:val="15"/>
        </w:rPr>
        <w:t>1</w:t>
      </w:r>
      <w:r>
        <w:rPr>
          <w:rStyle w:val="mo"/>
          <w:rFonts w:ascii="MathJax_Main" w:hAnsi="MathJax_Main"/>
          <w:b/>
          <w:color w:val="333333"/>
          <w:sz w:val="15"/>
          <w:szCs w:val="15"/>
        </w:rPr>
        <w:t>−</w:t>
      </w:r>
      <w:r>
        <w:rPr>
          <w:rStyle w:val="mn"/>
          <w:rFonts w:ascii="MathJax_Main" w:hAnsi="MathJax_Main"/>
          <w:b/>
          <w:color w:val="333333"/>
          <w:sz w:val="15"/>
          <w:szCs w:val="15"/>
        </w:rPr>
        <w:t>0.9452</w:t>
      </w:r>
      <w:r>
        <w:rPr>
          <w:rStyle w:val="mo"/>
          <w:rFonts w:ascii="MathJax_Main" w:hAnsi="MathJax_Main"/>
          <w:b/>
          <w:color w:val="333333"/>
          <w:sz w:val="15"/>
          <w:szCs w:val="15"/>
        </w:rPr>
        <w:t>=</w:t>
      </w:r>
      <w:r>
        <w:rPr>
          <w:rStyle w:val="mn"/>
          <w:rFonts w:ascii="MathJax_Main" w:hAnsi="MathJax_Main"/>
          <w:b/>
          <w:color w:val="333333"/>
          <w:sz w:val="15"/>
          <w:szCs w:val="15"/>
        </w:rPr>
        <w:t>0.0548</w:t>
      </w:r>
    </w:p>
    <w:p w:rsidR="00AD77BB" w:rsidRDefault="00B45BA0">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2689C6"/>
          <w:sz w:val="20"/>
          <w:szCs w:val="20"/>
        </w:rPr>
        <w:t>Figure 5.11 "Computing a Probability for a Right Half-Line"</w:t>
      </w:r>
      <w:r>
        <w:rPr>
          <w:rFonts w:ascii="Calibri" w:hAnsi="Calibri"/>
          <w:color w:val="333333"/>
          <w:sz w:val="20"/>
          <w:szCs w:val="20"/>
        </w:rPr>
        <w:t>illustrates the ideas geometrically. Since the total area under the curve is 1 and the area of the region to the left of 1.60 is (from the table) 0.9452, the area of the region to the right of 1.60 must be</w:t>
      </w:r>
      <w:r>
        <w:rPr>
          <w:rStyle w:val="apple-converted-space"/>
          <w:rFonts w:ascii="Calibri" w:hAnsi="Calibri"/>
          <w:color w:val="333333"/>
          <w:sz w:val="20"/>
          <w:szCs w:val="20"/>
        </w:rPr>
        <w:t> </w:t>
      </w:r>
      <w:r>
        <w:rPr>
          <w:rStyle w:val="mn"/>
          <w:rFonts w:ascii="MathJax_Main" w:hAnsi="MathJax_Main"/>
          <w:b/>
          <w:color w:val="333333"/>
          <w:sz w:val="15"/>
          <w:szCs w:val="15"/>
        </w:rPr>
        <w:t>1</w:t>
      </w:r>
      <w:r>
        <w:rPr>
          <w:rStyle w:val="mo"/>
          <w:rFonts w:ascii="MathJax_Main" w:hAnsi="MathJax_Main"/>
          <w:b/>
          <w:color w:val="333333"/>
          <w:sz w:val="15"/>
          <w:szCs w:val="15"/>
        </w:rPr>
        <w:t>−</w:t>
      </w:r>
      <w:r>
        <w:rPr>
          <w:rStyle w:val="mn"/>
          <w:rFonts w:ascii="MathJax_Main" w:hAnsi="MathJax_Main"/>
          <w:b/>
          <w:color w:val="333333"/>
          <w:sz w:val="15"/>
          <w:szCs w:val="15"/>
        </w:rPr>
        <w:t>0.9452</w:t>
      </w:r>
      <w:r>
        <w:rPr>
          <w:rStyle w:val="mo"/>
          <w:rFonts w:ascii="MathJax_Main" w:hAnsi="MathJax_Main"/>
          <w:b/>
          <w:color w:val="333333"/>
          <w:sz w:val="15"/>
          <w:szCs w:val="15"/>
        </w:rPr>
        <w:t>=</w:t>
      </w:r>
      <w:r>
        <w:rPr>
          <w:rStyle w:val="mn"/>
          <w:rFonts w:ascii="MathJax_Main" w:hAnsi="MathJax_Main"/>
          <w:b/>
          <w:color w:val="333333"/>
          <w:sz w:val="15"/>
          <w:szCs w:val="15"/>
        </w:rPr>
        <w:t>0.0548</w:t>
      </w:r>
      <w:r>
        <w:rPr>
          <w:rStyle w:val="mo"/>
          <w:rFonts w:ascii="MathJax_Main" w:hAnsi="MathJax_Main"/>
          <w:b/>
          <w:color w:val="333333"/>
          <w:sz w:val="15"/>
          <w:szCs w:val="15"/>
        </w:rPr>
        <w:t>.</w:t>
      </w:r>
    </w:p>
    <w:p w:rsidR="00AD77BB" w:rsidRDefault="00AD77BB">
      <w:pPr>
        <w:shd w:val="clear" w:color="auto" w:fill="DAEEF3" w:themeFill="accent5" w:themeFillTint="33"/>
        <w:spacing w:after="0" w:line="360" w:lineRule="auto"/>
        <w:ind w:right="374"/>
        <w:textAlignment w:val="baseline"/>
        <w:rPr>
          <w:rFonts w:ascii="Calibri" w:eastAsia="Times New Roman" w:hAnsi="Calibri" w:cs="Times New Roman"/>
          <w:color w:val="333333"/>
          <w:sz w:val="20"/>
          <w:szCs w:val="20"/>
        </w:rPr>
      </w:pPr>
    </w:p>
    <w:p w:rsidR="00AD77BB" w:rsidRDefault="00B45BA0">
      <w:pPr>
        <w:shd w:val="clear" w:color="auto" w:fill="DAEEF3" w:themeFill="accent5" w:themeFillTint="33"/>
        <w:spacing w:after="0" w:line="439" w:lineRule="atLeast"/>
        <w:ind w:left="300" w:right="375"/>
        <w:textAlignment w:val="baseline"/>
        <w:rPr>
          <w:rFonts w:ascii="Calibri" w:eastAsia="Times New Roman" w:hAnsi="Calibri" w:cs="Times New Roman"/>
          <w:i/>
          <w:iCs/>
          <w:color w:val="BB9966"/>
        </w:rPr>
      </w:pPr>
      <w:r>
        <w:rPr>
          <w:rFonts w:ascii="Calibri" w:eastAsia="Times New Roman" w:hAnsi="Calibri" w:cs="Times New Roman"/>
          <w:i/>
          <w:iCs/>
          <w:color w:val="000000"/>
          <w:sz w:val="20"/>
          <w:szCs w:val="20"/>
        </w:rPr>
        <w:t>Figure 5.11</w:t>
      </w:r>
      <w:r>
        <w:rPr>
          <w:rFonts w:ascii="Calibri" w:eastAsia="Times New Roman" w:hAnsi="Calibri" w:cs="Times New Roman"/>
          <w:i/>
          <w:iCs/>
          <w:color w:val="BB9966"/>
        </w:rPr>
        <w:t>Computing a Probability for a Right Half-Line</w:t>
      </w:r>
    </w:p>
    <w:p w:rsidR="00AD77BB" w:rsidRDefault="00B45BA0">
      <w:pPr>
        <w:shd w:val="clear" w:color="auto" w:fill="DAEEF3" w:themeFill="accent5" w:themeFillTint="33"/>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14:anchorId="2D8EB14F" wp14:editId="5634FB37">
            <wp:extent cx="5276850" cy="2686050"/>
            <wp:effectExtent l="0" t="0" r="0" b="0"/>
            <wp:docPr id="158" name="Picture 171" descr="http://images.flatworldknowledge.com/shafer/shafer-fig05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images.flatworldknowledge.com/shafer/shafer-fig05_013.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76850" cy="2686050"/>
                    </a:xfrm>
                    <a:prstGeom prst="rect">
                      <a:avLst/>
                    </a:prstGeom>
                    <a:noFill/>
                    <a:ln>
                      <a:noFill/>
                    </a:ln>
                  </pic:spPr>
                </pic:pic>
              </a:graphicData>
            </a:graphic>
          </wp:inline>
        </w:drawing>
      </w:r>
    </w:p>
    <w:p w:rsidR="00AD77BB" w:rsidRDefault="00B45BA0">
      <w:pPr>
        <w:numPr>
          <w:ilvl w:val="0"/>
          <w:numId w:val="129"/>
        </w:numPr>
        <w:shd w:val="clear" w:color="auto" w:fill="DAEEF3" w:themeFill="accent5" w:themeFillTint="33"/>
        <w:spacing w:after="0" w:line="439" w:lineRule="atLeast"/>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minus sign in −1.02 makes no difference in the procedure; the table is used in exactly the same way as in part (a). The number in the intersection of the row with heading −1.0 and the column with heading 0.02 is 0.1539. This means that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Z</w:t>
      </w:r>
      <w:r>
        <w:rPr>
          <w:rFonts w:ascii="MathJax_Main" w:eastAsia="Times New Roman" w:hAnsi="MathJax_Main" w:cs="Times New Roman"/>
          <w:b/>
          <w:color w:val="333333"/>
          <w:sz w:val="15"/>
          <w:szCs w:val="15"/>
        </w:rPr>
        <w:t>&lt;−1.02)=</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Z</w:t>
      </w:r>
      <w:r>
        <w:rPr>
          <w:rFonts w:ascii="MathJax_Main" w:eastAsia="Times New Roman" w:hAnsi="MathJax_Main" w:cs="Times New Roman"/>
          <w:b/>
          <w:color w:val="333333"/>
          <w:sz w:val="15"/>
          <w:szCs w:val="15"/>
        </w:rPr>
        <w:t>≤−1.02)=0.1539</w:t>
      </w:r>
      <w:r>
        <w:rPr>
          <w:rFonts w:ascii="Calibri" w:eastAsia="Times New Roman" w:hAnsi="Calibri" w:cs="Times New Roman"/>
          <w:color w:val="333333"/>
          <w:sz w:val="20"/>
          <w:szCs w:val="20"/>
        </w:rPr>
        <w:t>, hence</w:t>
      </w:r>
    </w:p>
    <w:p w:rsidR="00AD77BB" w:rsidRDefault="00AD77BB">
      <w:pPr>
        <w:shd w:val="clear" w:color="auto" w:fill="DAEEF3" w:themeFill="accent5" w:themeFillTint="33"/>
        <w:spacing w:after="0" w:line="439" w:lineRule="atLeast"/>
        <w:ind w:left="600" w:right="750"/>
        <w:textAlignment w:val="baseline"/>
        <w:rPr>
          <w:rFonts w:ascii="Calibri" w:eastAsia="Times New Roman" w:hAnsi="Calibri" w:cs="Times New Roman"/>
          <w:color w:val="333333"/>
          <w:sz w:val="20"/>
          <w:szCs w:val="20"/>
        </w:rPr>
      </w:pPr>
    </w:p>
    <w:p w:rsidR="00AD77BB" w:rsidRDefault="00B45BA0">
      <w:pPr>
        <w:shd w:val="clear" w:color="auto" w:fill="DAEEF3" w:themeFill="accent5" w:themeFillTint="33"/>
        <w:spacing w:line="439" w:lineRule="atLeast"/>
        <w:ind w:left="300" w:right="375"/>
        <w:jc w:val="center"/>
        <w:textAlignment w:val="baseline"/>
        <w:rPr>
          <w:rFonts w:ascii="MathJax_Main" w:eastAsia="Times New Roman" w:hAnsi="MathJax_Main" w:cs="Times New Roman"/>
          <w:b/>
          <w:color w:val="333333"/>
          <w:sz w:val="15"/>
          <w:szCs w:val="15"/>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Z</w:t>
      </w:r>
      <w:r>
        <w:rPr>
          <w:rFonts w:ascii="MathJax_Main" w:eastAsia="Times New Roman" w:hAnsi="MathJax_Main" w:cs="Times New Roman"/>
          <w:b/>
          <w:color w:val="333333"/>
          <w:sz w:val="15"/>
          <w:szCs w:val="15"/>
        </w:rPr>
        <w:t>&gt;−1.02)=1−</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Z</w:t>
      </w:r>
      <w:r>
        <w:rPr>
          <w:rFonts w:ascii="MathJax_Main" w:eastAsia="Times New Roman" w:hAnsi="MathJax_Main" w:cs="Times New Roman"/>
          <w:b/>
          <w:color w:val="333333"/>
          <w:sz w:val="15"/>
          <w:szCs w:val="15"/>
        </w:rPr>
        <w:t>≤−1.02)=1−0.1539=0.8461</w:t>
      </w:r>
    </w:p>
    <w:p w:rsidR="00AD77BB" w:rsidRDefault="00AD77BB">
      <w:pPr>
        <w:pStyle w:val="Title5"/>
        <w:shd w:val="clear" w:color="auto" w:fill="DAEEF3" w:themeFill="accent5" w:themeFillTint="33"/>
        <w:spacing w:before="0" w:beforeAutospacing="0" w:after="0" w:afterAutospacing="0" w:line="439" w:lineRule="atLeast"/>
        <w:ind w:left="300" w:right="375"/>
        <w:textAlignment w:val="baseline"/>
        <w:rPr>
          <w:rStyle w:val="title-prefix"/>
          <w:rFonts w:ascii="Calibri" w:hAnsi="Calibri"/>
          <w:i/>
          <w:iCs/>
          <w:color w:val="000000"/>
          <w:sz w:val="20"/>
          <w:szCs w:val="20"/>
        </w:rPr>
      </w:pPr>
    </w:p>
    <w:p w:rsidR="00AD77BB" w:rsidRDefault="00AD77BB">
      <w:pPr>
        <w:pStyle w:val="Title5"/>
        <w:shd w:val="clear" w:color="auto" w:fill="DAEEF3" w:themeFill="accent5" w:themeFillTint="33"/>
        <w:spacing w:before="0" w:beforeAutospacing="0" w:after="0" w:afterAutospacing="0" w:line="439" w:lineRule="atLeast"/>
        <w:ind w:left="300" w:right="375"/>
        <w:textAlignment w:val="baseline"/>
        <w:rPr>
          <w:rStyle w:val="title-prefix"/>
          <w:rFonts w:ascii="Calibri" w:hAnsi="Calibri"/>
          <w:i/>
          <w:iCs/>
          <w:color w:val="000000"/>
          <w:sz w:val="20"/>
          <w:szCs w:val="20"/>
        </w:rPr>
      </w:pPr>
    </w:p>
    <w:p w:rsidR="00AD77BB" w:rsidRDefault="00AD77BB">
      <w:pPr>
        <w:pStyle w:val="Title5"/>
        <w:shd w:val="clear" w:color="auto" w:fill="DAEEF3" w:themeFill="accent5" w:themeFillTint="33"/>
        <w:spacing w:before="0" w:beforeAutospacing="0" w:after="0" w:afterAutospacing="0" w:line="439" w:lineRule="atLeast"/>
        <w:ind w:left="300" w:right="375"/>
        <w:textAlignment w:val="baseline"/>
        <w:rPr>
          <w:rStyle w:val="title-prefix"/>
          <w:rFonts w:ascii="Calibri" w:hAnsi="Calibri"/>
          <w:i/>
          <w:iCs/>
          <w:color w:val="000000"/>
          <w:sz w:val="20"/>
          <w:szCs w:val="20"/>
        </w:rPr>
      </w:pPr>
    </w:p>
    <w:p w:rsidR="00AD77BB" w:rsidRDefault="00AD77BB">
      <w:pPr>
        <w:pStyle w:val="Title5"/>
        <w:shd w:val="clear" w:color="auto" w:fill="DAEEF3" w:themeFill="accent5" w:themeFillTint="33"/>
        <w:spacing w:before="0" w:beforeAutospacing="0" w:after="0" w:afterAutospacing="0" w:line="439" w:lineRule="atLeast"/>
        <w:ind w:left="300" w:right="375"/>
        <w:textAlignment w:val="baseline"/>
        <w:rPr>
          <w:rStyle w:val="title-prefix"/>
          <w:rFonts w:ascii="Calibri" w:hAnsi="Calibri"/>
          <w:i/>
          <w:iCs/>
          <w:color w:val="000000"/>
          <w:sz w:val="20"/>
          <w:szCs w:val="20"/>
        </w:rPr>
      </w:pPr>
    </w:p>
    <w:p w:rsidR="00AD77BB" w:rsidRDefault="00AD77BB">
      <w:pPr>
        <w:pStyle w:val="Title5"/>
        <w:shd w:val="clear" w:color="auto" w:fill="DAEEF3" w:themeFill="accent5" w:themeFillTint="33"/>
        <w:spacing w:before="0" w:beforeAutospacing="0" w:after="0" w:afterAutospacing="0" w:line="439" w:lineRule="atLeast"/>
        <w:ind w:left="300" w:right="375"/>
        <w:textAlignment w:val="baseline"/>
        <w:rPr>
          <w:rStyle w:val="title-prefix"/>
          <w:rFonts w:ascii="Calibri" w:hAnsi="Calibri"/>
          <w:i/>
          <w:iCs/>
          <w:color w:val="000000"/>
          <w:sz w:val="20"/>
          <w:szCs w:val="20"/>
        </w:rPr>
      </w:pPr>
    </w:p>
    <w:p w:rsidR="00AD77BB" w:rsidRDefault="00B45BA0">
      <w:pPr>
        <w:pStyle w:val="Title5"/>
        <w:shd w:val="clear" w:color="auto" w:fill="DAEEF3" w:themeFill="accent5" w:themeFillTint="33"/>
        <w:spacing w:before="0" w:beforeAutospacing="0" w:after="0" w:afterAutospacing="0" w:line="439" w:lineRule="atLeast"/>
        <w:ind w:left="300" w:right="375"/>
        <w:textAlignment w:val="baseline"/>
        <w:rPr>
          <w:color w:val="BB9966"/>
          <w:sz w:val="22"/>
          <w:szCs w:val="22"/>
        </w:rPr>
      </w:pPr>
      <w:r>
        <w:rPr>
          <w:rStyle w:val="title-prefix"/>
          <w:rFonts w:ascii="Calibri" w:hAnsi="Calibri"/>
          <w:i/>
          <w:iCs/>
          <w:color w:val="000000"/>
          <w:sz w:val="20"/>
          <w:szCs w:val="20"/>
        </w:rPr>
        <w:lastRenderedPageBreak/>
        <w:t xml:space="preserve">Figure 5.12 </w:t>
      </w:r>
      <w:r>
        <w:rPr>
          <w:rFonts w:ascii="Calibri" w:hAnsi="Calibri"/>
          <w:i/>
          <w:iCs/>
          <w:color w:val="BB9966"/>
          <w:sz w:val="22"/>
          <w:szCs w:val="22"/>
        </w:rPr>
        <w:t>Computing a Probability for an Interval of Finite Length</w:t>
      </w:r>
    </w:p>
    <w:p w:rsidR="00AD77BB" w:rsidRDefault="00B45BA0">
      <w:pPr>
        <w:shd w:val="clear" w:color="auto" w:fill="DAEEF3" w:themeFill="accent5" w:themeFillTint="33"/>
        <w:spacing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14:anchorId="49964CD0" wp14:editId="260DAD9E">
            <wp:extent cx="4800600" cy="2933700"/>
            <wp:effectExtent l="0" t="0" r="0" b="0"/>
            <wp:docPr id="159" name="Picture 172" descr="http://images.flatworldknowledge.com/shafer/shafer-fig05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images.flatworldknowledge.com/shafer/shafer-fig05_014.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800600" cy="2933700"/>
                    </a:xfrm>
                    <a:prstGeom prst="rect">
                      <a:avLst/>
                    </a:prstGeom>
                    <a:noFill/>
                    <a:ln>
                      <a:noFill/>
                    </a:ln>
                  </pic:spPr>
                </pic:pic>
              </a:graphicData>
            </a:graphic>
          </wp:inline>
        </w:drawing>
      </w:r>
    </w:p>
    <w:p w:rsidR="00AD77BB" w:rsidRDefault="00B45BA0">
      <w:pPr>
        <w:pStyle w:val="para"/>
        <w:numPr>
          <w:ilvl w:val="0"/>
          <w:numId w:val="130"/>
        </w:numPr>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The procedure for finding the probability that</w:t>
      </w:r>
      <w:r>
        <w:rPr>
          <w:rStyle w:val="apple-converted-space"/>
          <w:rFonts w:ascii="Calibri" w:hAnsi="Calibri"/>
          <w:color w:val="333333"/>
          <w:sz w:val="20"/>
          <w:szCs w:val="20"/>
        </w:rPr>
        <w:t> </w:t>
      </w:r>
      <w:r>
        <w:rPr>
          <w:rStyle w:val="Emphasis"/>
          <w:rFonts w:ascii="Calibri" w:eastAsiaTheme="majorEastAsia" w:hAnsi="Calibri"/>
          <w:color w:val="333333"/>
          <w:sz w:val="20"/>
          <w:szCs w:val="20"/>
        </w:rPr>
        <w:t>Z</w:t>
      </w:r>
      <w:r>
        <w:rPr>
          <w:rStyle w:val="apple-converted-space"/>
          <w:rFonts w:ascii="Calibri" w:hAnsi="Calibri"/>
          <w:color w:val="333333"/>
          <w:sz w:val="20"/>
          <w:szCs w:val="20"/>
        </w:rPr>
        <w:t> </w:t>
      </w:r>
      <w:r>
        <w:rPr>
          <w:rFonts w:ascii="Calibri" w:hAnsi="Calibri"/>
          <w:color w:val="333333"/>
          <w:sz w:val="20"/>
          <w:szCs w:val="20"/>
        </w:rPr>
        <w:t>takes a value in a finite interval whose endpoints have opposite signs is exactly the same procedure used in part (a), and is illustrated in</w:t>
      </w:r>
      <w:r>
        <w:rPr>
          <w:rStyle w:val="apple-converted-space"/>
          <w:rFonts w:ascii="Calibri" w:hAnsi="Calibri"/>
          <w:color w:val="333333"/>
          <w:sz w:val="20"/>
          <w:szCs w:val="20"/>
        </w:rPr>
        <w:t> </w:t>
      </w:r>
      <w:r>
        <w:rPr>
          <w:rFonts w:ascii="Calibri" w:hAnsi="Calibri"/>
          <w:color w:val="2689C6"/>
          <w:sz w:val="20"/>
          <w:szCs w:val="20"/>
        </w:rPr>
        <w:t>Figure 5.13 "Computing a Probability for an Interval of Finite Length"</w:t>
      </w:r>
      <w:r>
        <w:rPr>
          <w:rFonts w:ascii="Calibri" w:hAnsi="Calibri"/>
          <w:color w:val="333333"/>
          <w:sz w:val="20"/>
          <w:szCs w:val="20"/>
        </w:rPr>
        <w:t>. In symbols the computation is</w:t>
      </w:r>
    </w:p>
    <w:p w:rsidR="00AD77BB" w:rsidRDefault="00AD77BB">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p>
    <w:p w:rsidR="00AD77BB" w:rsidRDefault="00B45BA0">
      <w:pPr>
        <w:shd w:val="clear" w:color="auto" w:fill="DAEEF3" w:themeFill="accent5" w:themeFillTint="33"/>
        <w:spacing w:line="360" w:lineRule="auto"/>
        <w:ind w:left="300" w:right="375"/>
        <w:jc w:val="center"/>
        <w:textAlignment w:val="baseline"/>
        <w:rPr>
          <w:rStyle w:val="mo"/>
          <w:rFonts w:ascii="MathJax_Main" w:hAnsi="MathJax_Main"/>
          <w:b/>
          <w:sz w:val="15"/>
          <w:szCs w:val="15"/>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text"/>
          <w:rFonts w:ascii="MathJax_Main" w:hAnsi="MathJax_Main"/>
          <w:b/>
          <w:color w:val="333333"/>
          <w:sz w:val="15"/>
          <w:szCs w:val="15"/>
        </w:rPr>
        <w:t>−</w:t>
      </w:r>
      <w:r>
        <w:rPr>
          <w:rStyle w:val="mn"/>
          <w:rFonts w:ascii="MathJax_Main" w:hAnsi="MathJax_Main"/>
          <w:b/>
          <w:color w:val="333333"/>
          <w:sz w:val="15"/>
          <w:szCs w:val="15"/>
        </w:rPr>
        <w:t>2.55</w:t>
      </w:r>
      <w:r>
        <w:rPr>
          <w:rStyle w:val="mo"/>
          <w:rFonts w:ascii="MathJax_Main" w:hAnsi="MathJax_Main"/>
          <w:b/>
          <w:color w:val="333333"/>
          <w:sz w:val="15"/>
          <w:szCs w:val="15"/>
        </w:rPr>
        <w:t>&lt;</w:t>
      </w:r>
      <w:r>
        <w:rPr>
          <w:rStyle w:val="mi"/>
          <w:rFonts w:ascii="MathJax_Math" w:hAnsi="MathJax_Math"/>
          <w:b/>
          <w:i/>
          <w:iCs/>
          <w:color w:val="333333"/>
          <w:sz w:val="15"/>
          <w:szCs w:val="15"/>
        </w:rPr>
        <w:t>Z</w:t>
      </w:r>
      <w:r>
        <w:rPr>
          <w:rStyle w:val="mo"/>
          <w:rFonts w:ascii="MathJax_Main" w:hAnsi="MathJax_Main"/>
          <w:b/>
          <w:color w:val="333333"/>
          <w:sz w:val="15"/>
          <w:szCs w:val="15"/>
        </w:rPr>
        <w:t>&lt;</w:t>
      </w:r>
      <w:r>
        <w:rPr>
          <w:rStyle w:val="mn"/>
          <w:rFonts w:ascii="MathJax_Main" w:hAnsi="MathJax_Main"/>
          <w:b/>
          <w:color w:val="333333"/>
          <w:sz w:val="15"/>
          <w:szCs w:val="15"/>
        </w:rPr>
        <w:t>0.09</w:t>
      </w:r>
      <w:r>
        <w:rPr>
          <w:rStyle w:val="mo"/>
          <w:rFonts w:ascii="MathJax_Main" w:hAnsi="MathJax_Main"/>
          <w:b/>
          <w:color w:val="333333"/>
          <w:sz w:val="15"/>
          <w:szCs w:val="15"/>
        </w:rPr>
        <w:t>)==</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Z</w:t>
      </w:r>
      <w:r>
        <w:rPr>
          <w:rStyle w:val="mo"/>
          <w:rFonts w:ascii="MathJax_Main" w:hAnsi="MathJax_Main"/>
          <w:b/>
          <w:color w:val="333333"/>
          <w:sz w:val="15"/>
          <w:szCs w:val="15"/>
        </w:rPr>
        <w:t>&lt;</w:t>
      </w:r>
      <w:r>
        <w:rPr>
          <w:rStyle w:val="mn"/>
          <w:rFonts w:ascii="MathJax_Main" w:hAnsi="MathJax_Main"/>
          <w:b/>
          <w:color w:val="333333"/>
          <w:sz w:val="15"/>
          <w:szCs w:val="15"/>
        </w:rPr>
        <w:t>0.09</w:t>
      </w:r>
      <w:r>
        <w:rPr>
          <w:rStyle w:val="mo"/>
          <w:rFonts w:ascii="MathJax_Main" w:hAnsi="MathJax_Main"/>
          <w:b/>
          <w:color w:val="333333"/>
          <w:sz w:val="15"/>
          <w:szCs w:val="15"/>
        </w:rPr>
        <w:t>)−</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Z</w:t>
      </w:r>
      <w:r>
        <w:rPr>
          <w:rStyle w:val="mo"/>
          <w:rFonts w:ascii="MathJax_Main" w:hAnsi="MathJax_Main"/>
          <w:b/>
          <w:color w:val="333333"/>
          <w:sz w:val="15"/>
          <w:szCs w:val="15"/>
        </w:rPr>
        <w:t>&lt;</w:t>
      </w:r>
      <w:r>
        <w:rPr>
          <w:rStyle w:val="mtext"/>
          <w:rFonts w:ascii="MathJax_Main" w:hAnsi="MathJax_Main"/>
          <w:b/>
          <w:color w:val="333333"/>
          <w:sz w:val="15"/>
          <w:szCs w:val="15"/>
        </w:rPr>
        <w:t>−</w:t>
      </w:r>
      <w:r>
        <w:rPr>
          <w:rStyle w:val="mn"/>
          <w:rFonts w:ascii="MathJax_Main" w:hAnsi="MathJax_Main"/>
          <w:b/>
          <w:color w:val="333333"/>
          <w:sz w:val="15"/>
          <w:szCs w:val="15"/>
        </w:rPr>
        <w:t>2.55</w:t>
      </w:r>
      <w:r>
        <w:rPr>
          <w:rStyle w:val="mo"/>
          <w:rFonts w:ascii="MathJax_Main" w:hAnsi="MathJax_Main"/>
          <w:b/>
          <w:color w:val="333333"/>
          <w:sz w:val="15"/>
          <w:szCs w:val="15"/>
        </w:rPr>
        <w:t>)</w:t>
      </w:r>
    </w:p>
    <w:p w:rsidR="00AD77BB" w:rsidRDefault="00B45BA0">
      <w:pPr>
        <w:shd w:val="clear" w:color="auto" w:fill="DAEEF3" w:themeFill="accent5" w:themeFillTint="33"/>
        <w:spacing w:line="360" w:lineRule="auto"/>
        <w:ind w:left="300" w:right="375"/>
        <w:jc w:val="center"/>
        <w:textAlignment w:val="baseline"/>
        <w:rPr>
          <w:rFonts w:ascii="Calibri" w:hAnsi="Calibri"/>
          <w:sz w:val="20"/>
          <w:szCs w:val="20"/>
        </w:rPr>
      </w:pPr>
      <w:r>
        <w:rPr>
          <w:rStyle w:val="mi"/>
          <w:rFonts w:ascii="MathJax_Math" w:hAnsi="MathJax_Math"/>
          <w:b/>
          <w:i/>
          <w:iCs/>
          <w:color w:val="333333"/>
          <w:sz w:val="15"/>
          <w:szCs w:val="15"/>
        </w:rPr>
        <w:t>=</w:t>
      </w:r>
      <w:r>
        <w:rPr>
          <w:rStyle w:val="mn"/>
          <w:rFonts w:ascii="MathJax_Main" w:hAnsi="MathJax_Main"/>
          <w:b/>
          <w:color w:val="333333"/>
          <w:sz w:val="15"/>
          <w:szCs w:val="15"/>
        </w:rPr>
        <w:t>0.5359</w:t>
      </w:r>
      <w:r>
        <w:rPr>
          <w:rStyle w:val="mo"/>
          <w:rFonts w:ascii="MathJax_Main" w:hAnsi="MathJax_Main"/>
          <w:b/>
          <w:color w:val="333333"/>
          <w:sz w:val="15"/>
          <w:szCs w:val="15"/>
        </w:rPr>
        <w:t>−</w:t>
      </w:r>
      <w:r>
        <w:rPr>
          <w:rStyle w:val="mn"/>
          <w:rFonts w:ascii="MathJax_Main" w:hAnsi="MathJax_Main"/>
          <w:b/>
          <w:color w:val="333333"/>
          <w:sz w:val="15"/>
          <w:szCs w:val="15"/>
        </w:rPr>
        <w:t>0.0054</w:t>
      </w:r>
      <w:r>
        <w:rPr>
          <w:rStyle w:val="mo"/>
          <w:rFonts w:ascii="MathJax_Main" w:hAnsi="MathJax_Main"/>
          <w:b/>
          <w:color w:val="333333"/>
          <w:sz w:val="15"/>
          <w:szCs w:val="15"/>
        </w:rPr>
        <w:t>=</w:t>
      </w:r>
      <w:r>
        <w:rPr>
          <w:rStyle w:val="mn"/>
          <w:rFonts w:ascii="MathJax_Main" w:hAnsi="MathJax_Main"/>
          <w:b/>
          <w:color w:val="333333"/>
          <w:sz w:val="15"/>
          <w:szCs w:val="15"/>
        </w:rPr>
        <w:t>0.5305</w:t>
      </w:r>
    </w:p>
    <w:p w:rsidR="00AD77BB" w:rsidRDefault="00AD77BB">
      <w:pPr>
        <w:shd w:val="clear" w:color="auto" w:fill="DAEEF3" w:themeFill="accent5" w:themeFillTint="33"/>
        <w:spacing w:line="439" w:lineRule="atLeast"/>
        <w:ind w:left="300" w:right="375"/>
        <w:jc w:val="center"/>
        <w:textAlignment w:val="baseline"/>
        <w:rPr>
          <w:rFonts w:ascii="Calibri" w:eastAsia="Times New Roman" w:hAnsi="Calibri" w:cs="Times New Roman"/>
          <w:b/>
          <w:color w:val="333333"/>
          <w:sz w:val="20"/>
          <w:szCs w:val="20"/>
        </w:rPr>
      </w:pPr>
    </w:p>
    <w:p w:rsidR="00AD77BB" w:rsidRDefault="00B45BA0">
      <w:pPr>
        <w:shd w:val="clear" w:color="auto" w:fill="E3EFF7"/>
        <w:spacing w:after="0" w:line="439" w:lineRule="atLeast"/>
        <w:ind w:left="300" w:right="375"/>
        <w:textAlignment w:val="baseline"/>
        <w:rPr>
          <w:rFonts w:ascii="Calibri" w:eastAsia="Times New Roman" w:hAnsi="Calibri" w:cs="Times New Roman"/>
          <w:i/>
          <w:iCs/>
          <w:color w:val="BB9966"/>
          <w:sz w:val="21"/>
          <w:szCs w:val="21"/>
        </w:rPr>
      </w:pPr>
      <w:r>
        <w:rPr>
          <w:rFonts w:ascii="Calibri" w:eastAsia="Times New Roman" w:hAnsi="Calibri" w:cs="Times New Roman"/>
          <w:i/>
          <w:iCs/>
          <w:color w:val="000000"/>
          <w:sz w:val="20"/>
          <w:szCs w:val="20"/>
        </w:rPr>
        <w:t xml:space="preserve">Figure 5.13 </w:t>
      </w:r>
      <w:r>
        <w:rPr>
          <w:rFonts w:ascii="Calibri" w:eastAsia="Times New Roman" w:hAnsi="Calibri" w:cs="Times New Roman"/>
          <w:i/>
          <w:iCs/>
          <w:color w:val="BB9966"/>
          <w:sz w:val="21"/>
          <w:szCs w:val="21"/>
        </w:rPr>
        <w:t>Computing a Probability for an Interval of Finite Length</w:t>
      </w:r>
    </w:p>
    <w:p w:rsidR="00AD77BB" w:rsidRDefault="00B45BA0">
      <w:pPr>
        <w:shd w:val="clear" w:color="auto" w:fill="E3EFF7"/>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14:anchorId="75CA4902" wp14:editId="6C5FBDEC">
            <wp:extent cx="4314825" cy="2638425"/>
            <wp:effectExtent l="0" t="0" r="9525" b="9525"/>
            <wp:docPr id="160" name="Picture 173" descr="http://images.flatworldknowledge.com/shafer/shafer-fig05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images.flatworldknowledge.com/shafer/shafer-fig05_015.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314825" cy="2638425"/>
                    </a:xfrm>
                    <a:prstGeom prst="rect">
                      <a:avLst/>
                    </a:prstGeom>
                    <a:noFill/>
                    <a:ln>
                      <a:noFill/>
                    </a:ln>
                  </pic:spPr>
                </pic:pic>
              </a:graphicData>
            </a:graphic>
          </wp:inline>
        </w:drawing>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The next example shows what to do if the value of </w:t>
      </w:r>
      <w:r>
        <w:rPr>
          <w:rFonts w:ascii="Georgia" w:eastAsia="Times New Roman" w:hAnsi="Georgia" w:cs="Times New Roman"/>
          <w:i/>
          <w:iCs/>
          <w:color w:val="333333"/>
          <w:sz w:val="20"/>
          <w:szCs w:val="20"/>
        </w:rPr>
        <w:t>Z</w:t>
      </w:r>
      <w:r>
        <w:rPr>
          <w:rFonts w:ascii="Georgia" w:eastAsia="Times New Roman" w:hAnsi="Georgia" w:cs="Times New Roman"/>
          <w:color w:val="333333"/>
          <w:sz w:val="21"/>
          <w:szCs w:val="21"/>
        </w:rPr>
        <w:t> that we want to look up in the table is not present there.</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7</w:t>
      </w:r>
    </w:p>
    <w:p w:rsidR="00AD77BB" w:rsidRDefault="00B45BA0">
      <w:pPr>
        <w:pStyle w:val="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Find the probabilities indicated.</w:t>
      </w:r>
    </w:p>
    <w:p w:rsidR="00AD77BB" w:rsidRDefault="00B45BA0">
      <w:pPr>
        <w:numPr>
          <w:ilvl w:val="0"/>
          <w:numId w:val="131"/>
        </w:numPr>
        <w:shd w:val="clear" w:color="auto" w:fill="DAEEF3" w:themeFill="accent5" w:themeFillTint="33"/>
        <w:spacing w:after="0" w:line="360" w:lineRule="auto"/>
        <w:ind w:right="375"/>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1.13</w:t>
      </w:r>
      <w:r>
        <w:rPr>
          <w:rStyle w:val="mo"/>
          <w:rFonts w:ascii="MathJax_Main" w:hAnsi="MathJax_Main"/>
          <w:b/>
          <w:color w:val="333333"/>
          <w:sz w:val="15"/>
          <w:szCs w:val="15"/>
        </w:rPr>
        <w:t>&lt;</w:t>
      </w:r>
      <w:r>
        <w:rPr>
          <w:rStyle w:val="mi"/>
          <w:rFonts w:ascii="MathJax_Math" w:hAnsi="MathJax_Math"/>
          <w:b/>
          <w:i/>
          <w:iCs/>
          <w:color w:val="333333"/>
          <w:sz w:val="15"/>
          <w:szCs w:val="15"/>
        </w:rPr>
        <w:t>Z</w:t>
      </w:r>
      <w:r>
        <w:rPr>
          <w:rStyle w:val="mo"/>
          <w:rFonts w:ascii="MathJax_Main" w:hAnsi="MathJax_Main"/>
          <w:b/>
          <w:color w:val="333333"/>
          <w:sz w:val="15"/>
          <w:szCs w:val="15"/>
        </w:rPr>
        <w:t>&lt;</w:t>
      </w:r>
      <w:r>
        <w:rPr>
          <w:rStyle w:val="mn"/>
          <w:rFonts w:ascii="MathJax_Main" w:hAnsi="MathJax_Main"/>
          <w:b/>
          <w:color w:val="333333"/>
          <w:sz w:val="15"/>
          <w:szCs w:val="15"/>
        </w:rPr>
        <w:t>4.16</w:t>
      </w:r>
      <w:r>
        <w:rPr>
          <w:rStyle w:val="mo"/>
          <w:rFonts w:ascii="MathJax_Main" w:hAnsi="MathJax_Main"/>
          <w:b/>
          <w:color w:val="333333"/>
          <w:sz w:val="15"/>
          <w:szCs w:val="15"/>
        </w:rPr>
        <w:t>).</w:t>
      </w:r>
    </w:p>
    <w:p w:rsidR="00AD77BB" w:rsidRDefault="00B45BA0">
      <w:pPr>
        <w:numPr>
          <w:ilvl w:val="0"/>
          <w:numId w:val="131"/>
        </w:numPr>
        <w:shd w:val="clear" w:color="auto" w:fill="DAEEF3" w:themeFill="accent5" w:themeFillTint="33"/>
        <w:spacing w:after="0" w:line="360" w:lineRule="auto"/>
        <w:ind w:left="504" w:right="375" w:hanging="504"/>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text"/>
          <w:rFonts w:ascii="MathJax_Main" w:hAnsi="MathJax_Main"/>
          <w:b/>
          <w:color w:val="333333"/>
          <w:sz w:val="15"/>
          <w:szCs w:val="15"/>
        </w:rPr>
        <w:t>−</w:t>
      </w:r>
      <w:r>
        <w:rPr>
          <w:rStyle w:val="mn"/>
          <w:rFonts w:ascii="MathJax_Main" w:hAnsi="MathJax_Main"/>
          <w:b/>
          <w:color w:val="333333"/>
          <w:sz w:val="15"/>
          <w:szCs w:val="15"/>
        </w:rPr>
        <w:t>5.22</w:t>
      </w:r>
      <w:r>
        <w:rPr>
          <w:rStyle w:val="mo"/>
          <w:rFonts w:ascii="MathJax_Main" w:hAnsi="MathJax_Main"/>
          <w:b/>
          <w:color w:val="333333"/>
          <w:sz w:val="15"/>
          <w:szCs w:val="15"/>
        </w:rPr>
        <w:t>&lt;</w:t>
      </w:r>
      <w:r>
        <w:rPr>
          <w:rStyle w:val="mi"/>
          <w:rFonts w:ascii="MathJax_Math" w:hAnsi="MathJax_Math"/>
          <w:b/>
          <w:i/>
          <w:iCs/>
          <w:color w:val="333333"/>
          <w:sz w:val="15"/>
          <w:szCs w:val="15"/>
        </w:rPr>
        <w:t>Z</w:t>
      </w:r>
      <w:r>
        <w:rPr>
          <w:rStyle w:val="mo"/>
          <w:rFonts w:ascii="MathJax_Main" w:hAnsi="MathJax_Main"/>
          <w:b/>
          <w:color w:val="333333"/>
          <w:sz w:val="15"/>
          <w:szCs w:val="15"/>
        </w:rPr>
        <w:t>&lt;</w:t>
      </w:r>
      <w:r>
        <w:rPr>
          <w:rStyle w:val="mn"/>
          <w:rFonts w:ascii="MathJax_Main" w:hAnsi="MathJax_Main"/>
          <w:b/>
          <w:color w:val="333333"/>
          <w:sz w:val="15"/>
          <w:szCs w:val="15"/>
        </w:rPr>
        <w:t>2.15</w:t>
      </w:r>
      <w:r>
        <w:rPr>
          <w:rStyle w:val="mo"/>
          <w:rFonts w:ascii="MathJax_Main" w:hAnsi="MathJax_Main"/>
          <w:b/>
          <w:color w:val="333333"/>
          <w:sz w:val="15"/>
          <w:szCs w:val="15"/>
        </w:rPr>
        <w:t>).</w:t>
      </w:r>
    </w:p>
    <w:p w:rsidR="00AD77BB" w:rsidRDefault="00B45BA0">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Solution:</w:t>
      </w:r>
    </w:p>
    <w:p w:rsidR="00AD77BB" w:rsidRDefault="00B45BA0">
      <w:pPr>
        <w:pStyle w:val="para"/>
        <w:numPr>
          <w:ilvl w:val="0"/>
          <w:numId w:val="132"/>
        </w:numPr>
        <w:shd w:val="clear" w:color="auto" w:fill="DAEEF3" w:themeFill="accent5" w:themeFillTint="33"/>
        <w:spacing w:before="0" w:beforeAutospacing="0" w:after="0" w:afterAutospacing="0" w:line="360" w:lineRule="auto"/>
        <w:ind w:right="750"/>
        <w:textAlignment w:val="baseline"/>
        <w:rPr>
          <w:rFonts w:ascii="Calibri" w:hAnsi="Calibri"/>
          <w:color w:val="333333"/>
          <w:sz w:val="20"/>
          <w:szCs w:val="20"/>
        </w:rPr>
      </w:pPr>
      <w:r>
        <w:rPr>
          <w:rFonts w:ascii="Calibri" w:hAnsi="Calibri"/>
          <w:color w:val="333333"/>
          <w:sz w:val="20"/>
          <w:szCs w:val="20"/>
        </w:rPr>
        <w:t>We attempt to compute the probability exactly as in</w:t>
      </w:r>
      <w:r>
        <w:rPr>
          <w:rStyle w:val="apple-converted-space"/>
          <w:rFonts w:ascii="Calibri" w:hAnsi="Calibri"/>
          <w:color w:val="333333"/>
          <w:sz w:val="20"/>
          <w:szCs w:val="20"/>
        </w:rPr>
        <w:t> </w:t>
      </w:r>
      <w:r>
        <w:rPr>
          <w:rFonts w:ascii="Calibri" w:hAnsi="Calibri"/>
          <w:color w:val="2689C6"/>
          <w:sz w:val="20"/>
          <w:szCs w:val="20"/>
        </w:rPr>
        <w:t>Note 5.20 "Example 6"</w:t>
      </w:r>
      <w:r>
        <w:rPr>
          <w:rStyle w:val="apple-converted-space"/>
          <w:rFonts w:ascii="Calibri" w:hAnsi="Calibri"/>
          <w:color w:val="333333"/>
          <w:sz w:val="20"/>
          <w:szCs w:val="20"/>
        </w:rPr>
        <w:t> </w:t>
      </w:r>
      <w:r>
        <w:rPr>
          <w:rFonts w:ascii="Calibri" w:hAnsi="Calibri"/>
          <w:color w:val="333333"/>
          <w:sz w:val="20"/>
          <w:szCs w:val="20"/>
        </w:rPr>
        <w:t>by looking up the numbers 1.13 and 4.16 in the table. We obtain the value 0.8708 for the area of the region under the density curve to left of 1.13 without any problem, but when we go to look up the number 4.16 in the table, it is not there. We can see from the last row of numbers in the table that the area to the left of 4.16 must be so close to 1 that to four decimal places it rounds to 1.0000. Therefore</w:t>
      </w:r>
    </w:p>
    <w:p w:rsidR="00AD77BB" w:rsidRDefault="00B45BA0">
      <w:pPr>
        <w:shd w:val="clear" w:color="auto" w:fill="DAEEF3" w:themeFill="accent5" w:themeFillTint="33"/>
        <w:spacing w:line="360" w:lineRule="auto"/>
        <w:ind w:left="300" w:right="375"/>
        <w:jc w:val="center"/>
        <w:textAlignment w:val="baseline"/>
        <w:rPr>
          <w:rStyle w:val="mn"/>
          <w:rFonts w:ascii="MathJax_Main" w:hAnsi="MathJax_Main"/>
          <w:b/>
          <w:sz w:val="15"/>
          <w:szCs w:val="15"/>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1.13</w:t>
      </w:r>
      <w:r>
        <w:rPr>
          <w:rStyle w:val="mo"/>
          <w:rFonts w:ascii="MathJax_Main" w:hAnsi="MathJax_Main"/>
          <w:b/>
          <w:color w:val="333333"/>
          <w:sz w:val="15"/>
          <w:szCs w:val="15"/>
        </w:rPr>
        <w:t>&lt;</w:t>
      </w:r>
      <w:r>
        <w:rPr>
          <w:rStyle w:val="mi"/>
          <w:rFonts w:ascii="MathJax_Math" w:hAnsi="MathJax_Math"/>
          <w:b/>
          <w:i/>
          <w:iCs/>
          <w:color w:val="333333"/>
          <w:sz w:val="15"/>
          <w:szCs w:val="15"/>
        </w:rPr>
        <w:t>Z</w:t>
      </w:r>
      <w:r>
        <w:rPr>
          <w:rStyle w:val="mo"/>
          <w:rFonts w:ascii="MathJax_Main" w:hAnsi="MathJax_Main"/>
          <w:b/>
          <w:color w:val="333333"/>
          <w:sz w:val="15"/>
          <w:szCs w:val="15"/>
        </w:rPr>
        <w:t>&lt;</w:t>
      </w:r>
      <w:r>
        <w:rPr>
          <w:rStyle w:val="mn"/>
          <w:rFonts w:ascii="MathJax_Main" w:hAnsi="MathJax_Main"/>
          <w:b/>
          <w:color w:val="333333"/>
          <w:sz w:val="15"/>
          <w:szCs w:val="15"/>
        </w:rPr>
        <w:t>4.16</w:t>
      </w:r>
      <w:r>
        <w:rPr>
          <w:rStyle w:val="mo"/>
          <w:rFonts w:ascii="MathJax_Main" w:hAnsi="MathJax_Main"/>
          <w:b/>
          <w:color w:val="333333"/>
          <w:sz w:val="15"/>
          <w:szCs w:val="15"/>
        </w:rPr>
        <w:t>)=</w:t>
      </w:r>
      <w:r>
        <w:rPr>
          <w:rStyle w:val="mn"/>
          <w:rFonts w:ascii="MathJax_Main" w:hAnsi="MathJax_Main"/>
          <w:b/>
          <w:color w:val="333333"/>
          <w:sz w:val="15"/>
          <w:szCs w:val="15"/>
        </w:rPr>
        <w:t>1.0000</w:t>
      </w:r>
      <w:r>
        <w:rPr>
          <w:rStyle w:val="mo"/>
          <w:rFonts w:ascii="MathJax_Main" w:hAnsi="MathJax_Main"/>
          <w:b/>
          <w:color w:val="333333"/>
          <w:sz w:val="15"/>
          <w:szCs w:val="15"/>
        </w:rPr>
        <w:t>−</w:t>
      </w:r>
      <w:r>
        <w:rPr>
          <w:rStyle w:val="mn"/>
          <w:rFonts w:ascii="MathJax_Main" w:hAnsi="MathJax_Main"/>
          <w:b/>
          <w:color w:val="333333"/>
          <w:sz w:val="15"/>
          <w:szCs w:val="15"/>
        </w:rPr>
        <w:t>0.8708</w:t>
      </w:r>
      <w:r>
        <w:rPr>
          <w:rStyle w:val="mo"/>
          <w:rFonts w:ascii="MathJax_Main" w:hAnsi="MathJax_Main"/>
          <w:b/>
          <w:color w:val="333333"/>
          <w:sz w:val="15"/>
          <w:szCs w:val="15"/>
        </w:rPr>
        <w:t>=</w:t>
      </w:r>
      <w:r>
        <w:rPr>
          <w:rStyle w:val="mn"/>
          <w:rFonts w:ascii="MathJax_Main" w:hAnsi="MathJax_Main"/>
          <w:b/>
          <w:color w:val="333333"/>
          <w:sz w:val="15"/>
          <w:szCs w:val="15"/>
        </w:rPr>
        <w:t>0.1292</w:t>
      </w:r>
    </w:p>
    <w:p w:rsidR="00AD77BB" w:rsidRDefault="00B45BA0">
      <w:pPr>
        <w:pStyle w:val="ListParagraph"/>
        <w:numPr>
          <w:ilvl w:val="0"/>
          <w:numId w:val="132"/>
        </w:numPr>
        <w:shd w:val="clear" w:color="auto" w:fill="E3EFF7"/>
        <w:spacing w:before="150" w:after="0" w:line="366" w:lineRule="atLeast"/>
        <w:ind w:left="720" w:right="375"/>
        <w:textAlignment w:val="baseline"/>
        <w:rPr>
          <w:rFonts w:ascii="Calibri" w:eastAsia="Times New Roman" w:hAnsi="Calibri" w:cs="Times New Roman"/>
          <w:sz w:val="20"/>
          <w:szCs w:val="20"/>
        </w:rPr>
      </w:pPr>
      <w:r>
        <w:rPr>
          <w:rFonts w:ascii="Calibri" w:eastAsia="Times New Roman" w:hAnsi="Calibri" w:cs="Times New Roman"/>
          <w:color w:val="333333"/>
          <w:sz w:val="20"/>
          <w:szCs w:val="20"/>
        </w:rPr>
        <w:t xml:space="preserve"> Similarly, here we can read directly from the table that the area under the density curve and to the left of 2.15 is 0.9842, but −5.22 is too far to the left on the number line to be in the table. We can see from the first line of the table that the area to the left of −5.22 must be so close to 0 that to four decimal places it rounds to 0.0000. Therefore</w:t>
      </w:r>
    </w:p>
    <w:p w:rsidR="00AD77BB" w:rsidRDefault="00B45BA0">
      <w:pPr>
        <w:spacing w:line="366" w:lineRule="atLeast"/>
        <w:jc w:val="center"/>
        <w:textAlignment w:val="baseline"/>
        <w:rPr>
          <w:rFonts w:ascii="Calibri" w:eastAsia="Times New Roman" w:hAnsi="Calibri" w:cs="Times New Roman"/>
          <w:b/>
          <w:color w:val="333333"/>
          <w:sz w:val="20"/>
          <w:szCs w:val="20"/>
          <w:shd w:val="clear" w:color="auto" w:fill="E3EFF7"/>
        </w:rPr>
      </w:pPr>
      <w:r>
        <w:rPr>
          <w:rFonts w:ascii="MathJax_Math" w:eastAsia="Times New Roman" w:hAnsi="MathJax_Math" w:cs="Times New Roman"/>
          <w:b/>
          <w:i/>
          <w:iCs/>
          <w:color w:val="333333"/>
          <w:sz w:val="15"/>
          <w:szCs w:val="15"/>
          <w:shd w:val="clear" w:color="auto" w:fill="E3EFF7"/>
        </w:rPr>
        <w:t>P</w:t>
      </w:r>
      <w:r>
        <w:rPr>
          <w:rFonts w:ascii="MathJax_Main" w:eastAsia="Times New Roman" w:hAnsi="MathJax_Main" w:cs="Times New Roman"/>
          <w:b/>
          <w:color w:val="333333"/>
          <w:sz w:val="15"/>
          <w:szCs w:val="15"/>
          <w:shd w:val="clear" w:color="auto" w:fill="E3EFF7"/>
        </w:rPr>
        <w:t>(−5.22&lt;</w:t>
      </w:r>
      <w:r>
        <w:rPr>
          <w:rFonts w:ascii="MathJax_Math" w:eastAsia="Times New Roman" w:hAnsi="MathJax_Math" w:cs="Times New Roman"/>
          <w:b/>
          <w:i/>
          <w:iCs/>
          <w:color w:val="333333"/>
          <w:sz w:val="15"/>
          <w:szCs w:val="15"/>
          <w:shd w:val="clear" w:color="auto" w:fill="E3EFF7"/>
        </w:rPr>
        <w:t>Z</w:t>
      </w:r>
      <w:r>
        <w:rPr>
          <w:rFonts w:ascii="MathJax_Main" w:eastAsia="Times New Roman" w:hAnsi="MathJax_Main" w:cs="Times New Roman"/>
          <w:b/>
          <w:color w:val="333333"/>
          <w:sz w:val="15"/>
          <w:szCs w:val="15"/>
          <w:shd w:val="clear" w:color="auto" w:fill="E3EFF7"/>
        </w:rPr>
        <w:t>&lt;2.15)=0.9842−0.0000=0.9842</w:t>
      </w:r>
    </w:p>
    <w:p w:rsidR="00AD77BB" w:rsidRDefault="00B45BA0">
      <w:pPr>
        <w:shd w:val="clear" w:color="auto" w:fill="FFFFFF"/>
        <w:spacing w:after="0"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final example of this section explains the origin of the proportions given in the Empirical Rule.</w:t>
      </w:r>
    </w:p>
    <w:p w:rsidR="00AD77BB" w:rsidRDefault="00AD77BB">
      <w:pPr>
        <w:shd w:val="clear" w:color="auto" w:fill="FFFFFF"/>
        <w:spacing w:after="0" w:line="439" w:lineRule="atLeast"/>
        <w:textAlignment w:val="baseline"/>
        <w:rPr>
          <w:rFonts w:ascii="Georgia" w:eastAsia="Times New Roman" w:hAnsi="Georgia" w:cs="Times New Roman"/>
          <w:color w:val="333333"/>
          <w:sz w:val="21"/>
          <w:szCs w:val="21"/>
        </w:rPr>
      </w:pP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EXAMPLE 8</w:t>
      </w:r>
    </w:p>
    <w:p w:rsidR="00AD77BB" w:rsidRDefault="00B45BA0">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probabilities indicated.</w:t>
      </w:r>
    </w:p>
    <w:p w:rsidR="00AD77BB" w:rsidRDefault="00B45BA0">
      <w:pPr>
        <w:numPr>
          <w:ilvl w:val="0"/>
          <w:numId w:val="133"/>
        </w:numPr>
        <w:shd w:val="clear" w:color="auto" w:fill="E3EFF7"/>
        <w:spacing w:after="0" w:line="439" w:lineRule="atLeast"/>
        <w:ind w:right="375"/>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(−1&lt;</w:t>
      </w:r>
      <w:r>
        <w:rPr>
          <w:rFonts w:ascii="MathJax_Math" w:eastAsia="Times New Roman" w:hAnsi="MathJax_Math" w:cs="Times New Roman"/>
          <w:b/>
          <w:i/>
          <w:iCs/>
          <w:color w:val="333333"/>
          <w:sz w:val="15"/>
          <w:szCs w:val="15"/>
        </w:rPr>
        <w:t>Z</w:t>
      </w:r>
      <w:r>
        <w:rPr>
          <w:rFonts w:ascii="MathJax_Main" w:eastAsia="Times New Roman" w:hAnsi="MathJax_Main" w:cs="Times New Roman"/>
          <w:b/>
          <w:color w:val="333333"/>
          <w:sz w:val="15"/>
          <w:szCs w:val="15"/>
        </w:rPr>
        <w:t>&lt;1).</w:t>
      </w:r>
    </w:p>
    <w:p w:rsidR="00AD77BB" w:rsidRDefault="00B45BA0">
      <w:pPr>
        <w:numPr>
          <w:ilvl w:val="0"/>
          <w:numId w:val="133"/>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(−2&lt;</w:t>
      </w:r>
      <w:r>
        <w:rPr>
          <w:rFonts w:ascii="MathJax_Math" w:eastAsia="Times New Roman" w:hAnsi="MathJax_Math" w:cs="Times New Roman"/>
          <w:b/>
          <w:i/>
          <w:iCs/>
          <w:color w:val="333333"/>
          <w:sz w:val="15"/>
          <w:szCs w:val="15"/>
        </w:rPr>
        <w:t>Z</w:t>
      </w:r>
      <w:r>
        <w:rPr>
          <w:rFonts w:ascii="MathJax_Main" w:eastAsia="Times New Roman" w:hAnsi="MathJax_Main" w:cs="Times New Roman"/>
          <w:b/>
          <w:color w:val="333333"/>
          <w:sz w:val="15"/>
          <w:szCs w:val="15"/>
        </w:rPr>
        <w:t>&lt;2).</w:t>
      </w:r>
    </w:p>
    <w:p w:rsidR="00AD77BB" w:rsidRDefault="00B45BA0">
      <w:pPr>
        <w:numPr>
          <w:ilvl w:val="0"/>
          <w:numId w:val="133"/>
        </w:numPr>
        <w:shd w:val="clear" w:color="auto" w:fill="E3EFF7"/>
        <w:spacing w:after="0" w:line="439" w:lineRule="atLeast"/>
        <w:ind w:right="375"/>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(−3&lt;</w:t>
      </w:r>
      <w:r>
        <w:rPr>
          <w:rFonts w:ascii="MathJax_Math" w:eastAsia="Times New Roman" w:hAnsi="MathJax_Math" w:cs="Times New Roman"/>
          <w:b/>
          <w:i/>
          <w:iCs/>
          <w:color w:val="333333"/>
          <w:sz w:val="15"/>
          <w:szCs w:val="15"/>
        </w:rPr>
        <w:t>Z</w:t>
      </w:r>
      <w:r>
        <w:rPr>
          <w:rFonts w:ascii="MathJax_Main" w:eastAsia="Times New Roman" w:hAnsi="MathJax_Main" w:cs="Times New Roman"/>
          <w:b/>
          <w:color w:val="333333"/>
          <w:sz w:val="15"/>
          <w:szCs w:val="15"/>
        </w:rPr>
        <w:t>&lt;3).</w:t>
      </w:r>
    </w:p>
    <w:p w:rsidR="00AD77BB" w:rsidRDefault="00B45BA0">
      <w:pPr>
        <w:shd w:val="clear" w:color="auto" w:fill="E3EFF7"/>
        <w:spacing w:before="15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Solution:</w:t>
      </w:r>
    </w:p>
    <w:p w:rsidR="00AD77BB" w:rsidRDefault="00B45BA0">
      <w:pPr>
        <w:pStyle w:val="para"/>
        <w:numPr>
          <w:ilvl w:val="0"/>
          <w:numId w:val="134"/>
        </w:numPr>
        <w:shd w:val="clear" w:color="auto" w:fill="DAEEF3" w:themeFill="accent5" w:themeFillTint="33"/>
        <w:spacing w:before="0" w:beforeAutospacing="0" w:after="0" w:afterAutospacing="0" w:line="360" w:lineRule="auto"/>
        <w:ind w:right="750"/>
        <w:textAlignment w:val="baseline"/>
        <w:rPr>
          <w:rFonts w:ascii="Calibri" w:hAnsi="Calibri"/>
          <w:color w:val="333333"/>
          <w:sz w:val="20"/>
          <w:szCs w:val="20"/>
        </w:rPr>
      </w:pPr>
      <w:r>
        <w:rPr>
          <w:rFonts w:ascii="Calibri" w:hAnsi="Calibri"/>
          <w:color w:val="333333"/>
          <w:sz w:val="20"/>
          <w:szCs w:val="20"/>
        </w:rPr>
        <w:t>Using the table as was done in</w:t>
      </w:r>
      <w:r>
        <w:rPr>
          <w:rStyle w:val="apple-converted-space"/>
          <w:rFonts w:ascii="Calibri" w:hAnsi="Calibri"/>
          <w:color w:val="333333"/>
          <w:sz w:val="20"/>
          <w:szCs w:val="20"/>
        </w:rPr>
        <w:t> </w:t>
      </w:r>
      <w:r>
        <w:rPr>
          <w:rFonts w:ascii="Calibri" w:hAnsi="Calibri"/>
          <w:color w:val="2689C6"/>
          <w:sz w:val="20"/>
          <w:szCs w:val="20"/>
        </w:rPr>
        <w:t>Note 5.20 "Example 6"</w:t>
      </w:r>
      <w:r>
        <w:rPr>
          <w:rFonts w:ascii="Calibri" w:hAnsi="Calibri"/>
          <w:color w:val="333333"/>
          <w:sz w:val="20"/>
          <w:szCs w:val="20"/>
        </w:rPr>
        <w:t>(b) we obtain</w:t>
      </w:r>
    </w:p>
    <w:p w:rsidR="00AD77BB" w:rsidRDefault="00AD77BB">
      <w:pPr>
        <w:pStyle w:val="para"/>
        <w:shd w:val="clear" w:color="auto" w:fill="DAEEF3" w:themeFill="accent5" w:themeFillTint="33"/>
        <w:spacing w:before="0" w:beforeAutospacing="0" w:after="0" w:afterAutospacing="0" w:line="360" w:lineRule="auto"/>
        <w:ind w:right="750"/>
        <w:textAlignment w:val="baseline"/>
        <w:rPr>
          <w:rFonts w:ascii="Calibri" w:hAnsi="Calibri"/>
          <w:color w:val="333333"/>
          <w:sz w:val="20"/>
          <w:szCs w:val="20"/>
        </w:rPr>
      </w:pPr>
    </w:p>
    <w:p w:rsidR="00AD77BB" w:rsidRDefault="00B45BA0">
      <w:pPr>
        <w:shd w:val="clear" w:color="auto" w:fill="DAEEF3" w:themeFill="accent5" w:themeFillTint="33"/>
        <w:spacing w:line="360" w:lineRule="auto"/>
        <w:ind w:left="300" w:right="375"/>
        <w:jc w:val="center"/>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text"/>
          <w:rFonts w:ascii="MathJax_Main" w:hAnsi="MathJax_Main"/>
          <w:b/>
          <w:color w:val="333333"/>
          <w:sz w:val="15"/>
          <w:szCs w:val="15"/>
        </w:rPr>
        <w:t>−</w:t>
      </w:r>
      <w:r>
        <w:rPr>
          <w:rStyle w:val="mn"/>
          <w:rFonts w:ascii="MathJax_Main" w:hAnsi="MathJax_Main"/>
          <w:b/>
          <w:color w:val="333333"/>
          <w:sz w:val="15"/>
          <w:szCs w:val="15"/>
        </w:rPr>
        <w:t>1</w:t>
      </w:r>
      <w:r>
        <w:rPr>
          <w:rStyle w:val="mo"/>
          <w:rFonts w:ascii="MathJax_Main" w:hAnsi="MathJax_Main"/>
          <w:b/>
          <w:color w:val="333333"/>
          <w:sz w:val="15"/>
          <w:szCs w:val="15"/>
        </w:rPr>
        <w:t>&lt;</w:t>
      </w:r>
      <w:r>
        <w:rPr>
          <w:rStyle w:val="mi"/>
          <w:rFonts w:ascii="MathJax_Math" w:hAnsi="MathJax_Math"/>
          <w:b/>
          <w:i/>
          <w:iCs/>
          <w:color w:val="333333"/>
          <w:sz w:val="15"/>
          <w:szCs w:val="15"/>
        </w:rPr>
        <w:t>Z</w:t>
      </w:r>
      <w:r>
        <w:rPr>
          <w:rStyle w:val="mo"/>
          <w:rFonts w:ascii="MathJax_Main" w:hAnsi="MathJax_Main"/>
          <w:b/>
          <w:color w:val="333333"/>
          <w:sz w:val="15"/>
          <w:szCs w:val="15"/>
        </w:rPr>
        <w:t>&lt;</w:t>
      </w:r>
      <w:r>
        <w:rPr>
          <w:rStyle w:val="mn"/>
          <w:rFonts w:ascii="MathJax_Main" w:hAnsi="MathJax_Main"/>
          <w:b/>
          <w:color w:val="333333"/>
          <w:sz w:val="15"/>
          <w:szCs w:val="15"/>
        </w:rPr>
        <w:t>1</w:t>
      </w:r>
      <w:r>
        <w:rPr>
          <w:rStyle w:val="mo"/>
          <w:rFonts w:ascii="MathJax_Main" w:hAnsi="MathJax_Main"/>
          <w:b/>
          <w:color w:val="333333"/>
          <w:sz w:val="15"/>
          <w:szCs w:val="15"/>
        </w:rPr>
        <w:t>)=</w:t>
      </w:r>
      <w:r>
        <w:rPr>
          <w:rStyle w:val="mn"/>
          <w:rFonts w:ascii="MathJax_Main" w:hAnsi="MathJax_Main"/>
          <w:b/>
          <w:color w:val="333333"/>
          <w:sz w:val="15"/>
          <w:szCs w:val="15"/>
        </w:rPr>
        <w:t>0.8413</w:t>
      </w:r>
      <w:r>
        <w:rPr>
          <w:rStyle w:val="mo"/>
          <w:rFonts w:ascii="MathJax_Main" w:hAnsi="MathJax_Main"/>
          <w:b/>
          <w:color w:val="333333"/>
          <w:sz w:val="15"/>
          <w:szCs w:val="15"/>
        </w:rPr>
        <w:t>−</w:t>
      </w:r>
      <w:r>
        <w:rPr>
          <w:rStyle w:val="mn"/>
          <w:rFonts w:ascii="MathJax_Main" w:hAnsi="MathJax_Main"/>
          <w:b/>
          <w:color w:val="333333"/>
          <w:sz w:val="15"/>
          <w:szCs w:val="15"/>
        </w:rPr>
        <w:t>0.1587</w:t>
      </w:r>
      <w:r>
        <w:rPr>
          <w:rStyle w:val="mo"/>
          <w:rFonts w:ascii="MathJax_Main" w:hAnsi="MathJax_Main"/>
          <w:b/>
          <w:color w:val="333333"/>
          <w:sz w:val="15"/>
          <w:szCs w:val="15"/>
        </w:rPr>
        <w:t>=</w:t>
      </w:r>
      <w:r>
        <w:rPr>
          <w:rStyle w:val="mn"/>
          <w:rFonts w:ascii="MathJax_Main" w:hAnsi="MathJax_Main"/>
          <w:b/>
          <w:color w:val="333333"/>
          <w:sz w:val="15"/>
          <w:szCs w:val="15"/>
        </w:rPr>
        <w:t>0.6826</w:t>
      </w:r>
    </w:p>
    <w:p w:rsidR="00AD77BB" w:rsidRDefault="00B45BA0">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Since</w:t>
      </w:r>
      <w:r>
        <w:rPr>
          <w:rStyle w:val="apple-converted-space"/>
          <w:rFonts w:ascii="Calibri" w:hAnsi="Calibri"/>
          <w:color w:val="333333"/>
          <w:sz w:val="20"/>
          <w:szCs w:val="20"/>
        </w:rPr>
        <w:t> </w:t>
      </w:r>
      <w:r>
        <w:rPr>
          <w:rStyle w:val="Emphasis"/>
          <w:rFonts w:ascii="Calibri" w:hAnsi="Calibri"/>
          <w:color w:val="333333"/>
          <w:sz w:val="20"/>
          <w:szCs w:val="20"/>
        </w:rPr>
        <w:t>Z</w:t>
      </w:r>
      <w:r>
        <w:rPr>
          <w:rStyle w:val="apple-converted-space"/>
          <w:rFonts w:ascii="Calibri" w:hAnsi="Calibri"/>
          <w:color w:val="333333"/>
          <w:sz w:val="20"/>
          <w:szCs w:val="20"/>
        </w:rPr>
        <w:t> </w:t>
      </w:r>
      <w:r>
        <w:rPr>
          <w:rFonts w:ascii="Calibri" w:hAnsi="Calibri"/>
          <w:color w:val="333333"/>
          <w:sz w:val="20"/>
          <w:szCs w:val="20"/>
        </w:rPr>
        <w:t>has mean 0 and standard deviation 1, for</w:t>
      </w:r>
      <w:r>
        <w:rPr>
          <w:rStyle w:val="apple-converted-space"/>
          <w:rFonts w:ascii="Calibri" w:hAnsi="Calibri"/>
          <w:color w:val="333333"/>
          <w:sz w:val="20"/>
          <w:szCs w:val="20"/>
        </w:rPr>
        <w:t> </w:t>
      </w:r>
      <w:r>
        <w:rPr>
          <w:rStyle w:val="Emphasis"/>
          <w:rFonts w:ascii="Calibri" w:hAnsi="Calibri"/>
          <w:color w:val="333333"/>
          <w:sz w:val="20"/>
          <w:szCs w:val="20"/>
        </w:rPr>
        <w:t>Z</w:t>
      </w:r>
      <w:r>
        <w:rPr>
          <w:rStyle w:val="apple-converted-space"/>
          <w:rFonts w:ascii="Calibri" w:hAnsi="Calibri"/>
          <w:color w:val="333333"/>
          <w:sz w:val="20"/>
          <w:szCs w:val="20"/>
        </w:rPr>
        <w:t> </w:t>
      </w:r>
      <w:r>
        <w:rPr>
          <w:rFonts w:ascii="Calibri" w:hAnsi="Calibri"/>
          <w:color w:val="333333"/>
          <w:sz w:val="20"/>
          <w:szCs w:val="20"/>
        </w:rPr>
        <w:t>to take a value between −1 and 1 means that</w:t>
      </w:r>
      <w:r>
        <w:rPr>
          <w:rStyle w:val="apple-converted-space"/>
          <w:rFonts w:ascii="Calibri" w:hAnsi="Calibri"/>
          <w:color w:val="333333"/>
          <w:sz w:val="20"/>
          <w:szCs w:val="20"/>
        </w:rPr>
        <w:t> </w:t>
      </w:r>
      <w:r>
        <w:rPr>
          <w:rStyle w:val="Emphasis"/>
          <w:rFonts w:ascii="Calibri" w:hAnsi="Calibri"/>
          <w:color w:val="333333"/>
          <w:sz w:val="20"/>
          <w:szCs w:val="20"/>
        </w:rPr>
        <w:t>Z</w:t>
      </w:r>
      <w:r>
        <w:rPr>
          <w:rStyle w:val="apple-converted-space"/>
          <w:rFonts w:ascii="Calibri" w:hAnsi="Calibri"/>
          <w:color w:val="333333"/>
          <w:sz w:val="20"/>
          <w:szCs w:val="20"/>
        </w:rPr>
        <w:t> </w:t>
      </w:r>
      <w:r>
        <w:rPr>
          <w:rFonts w:ascii="Calibri" w:hAnsi="Calibri"/>
          <w:color w:val="333333"/>
          <w:sz w:val="20"/>
          <w:szCs w:val="20"/>
        </w:rPr>
        <w:t xml:space="preserve">takes a value that is within one standard deviation of the mean. Our computation shows </w:t>
      </w:r>
      <w:r>
        <w:rPr>
          <w:rFonts w:ascii="Calibri" w:hAnsi="Calibri"/>
          <w:color w:val="333333"/>
          <w:sz w:val="20"/>
          <w:szCs w:val="20"/>
        </w:rPr>
        <w:lastRenderedPageBreak/>
        <w:t>that the probability that this happens is about 0.68, the proportion given by the Empirical Rule for histograms that are mound shaped and symmetrical, like the bell curve.</w:t>
      </w:r>
    </w:p>
    <w:p w:rsidR="00AD77BB" w:rsidRDefault="00B45BA0">
      <w:pPr>
        <w:pStyle w:val="para"/>
        <w:numPr>
          <w:ilvl w:val="0"/>
          <w:numId w:val="134"/>
        </w:numPr>
        <w:shd w:val="clear" w:color="auto" w:fill="DAEEF3" w:themeFill="accent5" w:themeFillTint="33"/>
        <w:spacing w:before="150" w:beforeAutospacing="0" w:after="0" w:afterAutospacing="0" w:line="360" w:lineRule="auto"/>
        <w:ind w:right="750"/>
        <w:textAlignment w:val="baseline"/>
        <w:rPr>
          <w:rFonts w:ascii="Calibri" w:hAnsi="Calibri"/>
          <w:color w:val="333333"/>
          <w:sz w:val="20"/>
          <w:szCs w:val="20"/>
        </w:rPr>
      </w:pPr>
      <w:r>
        <w:rPr>
          <w:rFonts w:ascii="Calibri" w:hAnsi="Calibri"/>
          <w:color w:val="333333"/>
          <w:sz w:val="20"/>
          <w:szCs w:val="20"/>
        </w:rPr>
        <w:t>Using the table in the same way,</w:t>
      </w:r>
    </w:p>
    <w:p w:rsidR="00AD77BB" w:rsidRDefault="00AD77BB">
      <w:pPr>
        <w:pStyle w:val="para"/>
        <w:shd w:val="clear" w:color="auto" w:fill="DAEEF3" w:themeFill="accent5" w:themeFillTint="33"/>
        <w:spacing w:before="150" w:beforeAutospacing="0" w:after="0" w:afterAutospacing="0" w:line="360" w:lineRule="auto"/>
        <w:ind w:right="750"/>
        <w:textAlignment w:val="baseline"/>
        <w:rPr>
          <w:rFonts w:ascii="Calibri" w:hAnsi="Calibri"/>
          <w:color w:val="333333"/>
          <w:sz w:val="20"/>
          <w:szCs w:val="20"/>
        </w:rPr>
      </w:pPr>
    </w:p>
    <w:p w:rsidR="00AD77BB" w:rsidRDefault="00B45BA0">
      <w:pPr>
        <w:shd w:val="clear" w:color="auto" w:fill="DAEEF3" w:themeFill="accent5" w:themeFillTint="33"/>
        <w:spacing w:line="360" w:lineRule="auto"/>
        <w:ind w:left="300" w:right="375"/>
        <w:jc w:val="center"/>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text"/>
          <w:rFonts w:ascii="MathJax_Main" w:hAnsi="MathJax_Main"/>
          <w:b/>
          <w:color w:val="333333"/>
          <w:sz w:val="15"/>
          <w:szCs w:val="15"/>
        </w:rPr>
        <w:t>−</w:t>
      </w:r>
      <w:r>
        <w:rPr>
          <w:rStyle w:val="mn"/>
          <w:rFonts w:ascii="MathJax_Main" w:hAnsi="MathJax_Main"/>
          <w:b/>
          <w:color w:val="333333"/>
          <w:sz w:val="15"/>
          <w:szCs w:val="15"/>
        </w:rPr>
        <w:t>2</w:t>
      </w:r>
      <w:r>
        <w:rPr>
          <w:rStyle w:val="mo"/>
          <w:rFonts w:ascii="MathJax_Main" w:hAnsi="MathJax_Main"/>
          <w:b/>
          <w:color w:val="333333"/>
          <w:sz w:val="15"/>
          <w:szCs w:val="15"/>
        </w:rPr>
        <w:t>&lt;</w:t>
      </w:r>
      <w:r>
        <w:rPr>
          <w:rStyle w:val="mi"/>
          <w:rFonts w:ascii="MathJax_Math" w:hAnsi="MathJax_Math"/>
          <w:b/>
          <w:i/>
          <w:iCs/>
          <w:color w:val="333333"/>
          <w:sz w:val="15"/>
          <w:szCs w:val="15"/>
        </w:rPr>
        <w:t>Z</w:t>
      </w:r>
      <w:r>
        <w:rPr>
          <w:rStyle w:val="mo"/>
          <w:rFonts w:ascii="MathJax_Main" w:hAnsi="MathJax_Main"/>
          <w:b/>
          <w:color w:val="333333"/>
          <w:sz w:val="15"/>
          <w:szCs w:val="15"/>
        </w:rPr>
        <w:t>&lt;</w:t>
      </w:r>
      <w:r>
        <w:rPr>
          <w:rStyle w:val="mn"/>
          <w:rFonts w:ascii="MathJax_Main" w:hAnsi="MathJax_Main"/>
          <w:b/>
          <w:color w:val="333333"/>
          <w:sz w:val="15"/>
          <w:szCs w:val="15"/>
        </w:rPr>
        <w:t>2</w:t>
      </w:r>
      <w:r>
        <w:rPr>
          <w:rStyle w:val="mo"/>
          <w:rFonts w:ascii="MathJax_Main" w:hAnsi="MathJax_Main"/>
          <w:b/>
          <w:color w:val="333333"/>
          <w:sz w:val="15"/>
          <w:szCs w:val="15"/>
        </w:rPr>
        <w:t>)=</w:t>
      </w:r>
      <w:r>
        <w:rPr>
          <w:rStyle w:val="mn"/>
          <w:rFonts w:ascii="MathJax_Main" w:hAnsi="MathJax_Main"/>
          <w:b/>
          <w:color w:val="333333"/>
          <w:sz w:val="15"/>
          <w:szCs w:val="15"/>
        </w:rPr>
        <w:t>0.9772</w:t>
      </w:r>
      <w:r>
        <w:rPr>
          <w:rStyle w:val="mo"/>
          <w:rFonts w:ascii="MathJax_Main" w:hAnsi="MathJax_Main"/>
          <w:b/>
          <w:color w:val="333333"/>
          <w:sz w:val="15"/>
          <w:szCs w:val="15"/>
        </w:rPr>
        <w:t>−</w:t>
      </w:r>
      <w:r>
        <w:rPr>
          <w:rStyle w:val="mn"/>
          <w:rFonts w:ascii="MathJax_Main" w:hAnsi="MathJax_Main"/>
          <w:b/>
          <w:color w:val="333333"/>
          <w:sz w:val="15"/>
          <w:szCs w:val="15"/>
        </w:rPr>
        <w:t>0.0228</w:t>
      </w:r>
      <w:r>
        <w:rPr>
          <w:rStyle w:val="mo"/>
          <w:rFonts w:ascii="MathJax_Main" w:hAnsi="MathJax_Main"/>
          <w:b/>
          <w:color w:val="333333"/>
          <w:sz w:val="15"/>
          <w:szCs w:val="15"/>
        </w:rPr>
        <w:t>=</w:t>
      </w:r>
      <w:r>
        <w:rPr>
          <w:rStyle w:val="mn"/>
          <w:rFonts w:ascii="MathJax_Main" w:hAnsi="MathJax_Main"/>
          <w:b/>
          <w:color w:val="333333"/>
          <w:sz w:val="15"/>
          <w:szCs w:val="15"/>
        </w:rPr>
        <w:t>0.9544</w:t>
      </w:r>
    </w:p>
    <w:p w:rsidR="00AD77BB" w:rsidRDefault="00B45BA0">
      <w:pPr>
        <w:pStyle w:val="para"/>
        <w:shd w:val="clear" w:color="auto" w:fill="DAEEF3" w:themeFill="accent5" w:themeFillTint="33"/>
        <w:spacing w:before="15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This corresponds to the proportion 0.95 for data within two standard deviations of the mean.</w:t>
      </w:r>
    </w:p>
    <w:p w:rsidR="00AD77BB" w:rsidRDefault="00B45BA0">
      <w:pPr>
        <w:pStyle w:val="para"/>
        <w:numPr>
          <w:ilvl w:val="0"/>
          <w:numId w:val="134"/>
        </w:numPr>
        <w:shd w:val="clear" w:color="auto" w:fill="DAEEF3" w:themeFill="accent5" w:themeFillTint="33"/>
        <w:spacing w:before="150" w:beforeAutospacing="0" w:after="0" w:afterAutospacing="0" w:line="360" w:lineRule="auto"/>
        <w:ind w:right="750"/>
        <w:textAlignment w:val="baseline"/>
        <w:rPr>
          <w:rFonts w:ascii="Calibri" w:hAnsi="Calibri"/>
          <w:color w:val="333333"/>
          <w:sz w:val="20"/>
          <w:szCs w:val="20"/>
        </w:rPr>
      </w:pPr>
      <w:r>
        <w:rPr>
          <w:rFonts w:ascii="Calibri" w:hAnsi="Calibri"/>
          <w:color w:val="333333"/>
          <w:sz w:val="20"/>
          <w:szCs w:val="20"/>
        </w:rPr>
        <w:t>Similarly,</w:t>
      </w:r>
    </w:p>
    <w:p w:rsidR="00AD77BB" w:rsidRDefault="00AD77BB">
      <w:pPr>
        <w:pStyle w:val="para"/>
        <w:shd w:val="clear" w:color="auto" w:fill="DAEEF3" w:themeFill="accent5" w:themeFillTint="33"/>
        <w:spacing w:before="150" w:beforeAutospacing="0" w:after="0" w:afterAutospacing="0" w:line="360" w:lineRule="auto"/>
        <w:ind w:right="750"/>
        <w:textAlignment w:val="baseline"/>
        <w:rPr>
          <w:rFonts w:ascii="Calibri" w:hAnsi="Calibri"/>
          <w:b/>
          <w:color w:val="333333"/>
          <w:sz w:val="20"/>
          <w:szCs w:val="20"/>
        </w:rPr>
      </w:pPr>
    </w:p>
    <w:p w:rsidR="00AD77BB" w:rsidRDefault="00B45BA0">
      <w:pPr>
        <w:shd w:val="clear" w:color="auto" w:fill="DAEEF3" w:themeFill="accent5" w:themeFillTint="33"/>
        <w:spacing w:line="360" w:lineRule="auto"/>
        <w:ind w:left="300" w:right="375"/>
        <w:jc w:val="center"/>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text"/>
          <w:rFonts w:ascii="MathJax_Main" w:hAnsi="MathJax_Main"/>
          <w:b/>
          <w:color w:val="333333"/>
          <w:sz w:val="15"/>
          <w:szCs w:val="15"/>
        </w:rPr>
        <w:t>−</w:t>
      </w:r>
      <w:r>
        <w:rPr>
          <w:rStyle w:val="mn"/>
          <w:rFonts w:ascii="MathJax_Main" w:hAnsi="MathJax_Main"/>
          <w:b/>
          <w:color w:val="333333"/>
          <w:sz w:val="15"/>
          <w:szCs w:val="15"/>
        </w:rPr>
        <w:t>3</w:t>
      </w:r>
      <w:r>
        <w:rPr>
          <w:rStyle w:val="mo"/>
          <w:rFonts w:ascii="MathJax_Main" w:hAnsi="MathJax_Main"/>
          <w:b/>
          <w:color w:val="333333"/>
          <w:sz w:val="15"/>
          <w:szCs w:val="15"/>
        </w:rPr>
        <w:t>&lt;</w:t>
      </w:r>
      <w:r>
        <w:rPr>
          <w:rStyle w:val="mi"/>
          <w:rFonts w:ascii="MathJax_Math" w:hAnsi="MathJax_Math"/>
          <w:b/>
          <w:i/>
          <w:iCs/>
          <w:color w:val="333333"/>
          <w:sz w:val="15"/>
          <w:szCs w:val="15"/>
        </w:rPr>
        <w:t>Z</w:t>
      </w:r>
      <w:r>
        <w:rPr>
          <w:rStyle w:val="mo"/>
          <w:rFonts w:ascii="MathJax_Main" w:hAnsi="MathJax_Main"/>
          <w:b/>
          <w:color w:val="333333"/>
          <w:sz w:val="15"/>
          <w:szCs w:val="15"/>
        </w:rPr>
        <w:t>&lt;</w:t>
      </w:r>
      <w:r>
        <w:rPr>
          <w:rStyle w:val="mn"/>
          <w:rFonts w:ascii="MathJax_Main" w:hAnsi="MathJax_Main"/>
          <w:b/>
          <w:color w:val="333333"/>
          <w:sz w:val="15"/>
          <w:szCs w:val="15"/>
        </w:rPr>
        <w:t>3</w:t>
      </w:r>
      <w:r>
        <w:rPr>
          <w:rStyle w:val="mo"/>
          <w:rFonts w:ascii="MathJax_Main" w:hAnsi="MathJax_Main"/>
          <w:b/>
          <w:color w:val="333333"/>
          <w:sz w:val="15"/>
          <w:szCs w:val="15"/>
        </w:rPr>
        <w:t>)=</w:t>
      </w:r>
      <w:r>
        <w:rPr>
          <w:rStyle w:val="mn"/>
          <w:rFonts w:ascii="MathJax_Main" w:hAnsi="MathJax_Main"/>
          <w:b/>
          <w:color w:val="333333"/>
          <w:sz w:val="15"/>
          <w:szCs w:val="15"/>
        </w:rPr>
        <w:t>0.9987</w:t>
      </w:r>
      <w:r>
        <w:rPr>
          <w:rStyle w:val="mo"/>
          <w:rFonts w:ascii="MathJax_Main" w:hAnsi="MathJax_Main"/>
          <w:b/>
          <w:color w:val="333333"/>
          <w:sz w:val="15"/>
          <w:szCs w:val="15"/>
        </w:rPr>
        <w:t>−</w:t>
      </w:r>
      <w:r>
        <w:rPr>
          <w:rStyle w:val="mn"/>
          <w:rFonts w:ascii="MathJax_Main" w:hAnsi="MathJax_Main"/>
          <w:b/>
          <w:color w:val="333333"/>
          <w:sz w:val="15"/>
          <w:szCs w:val="15"/>
        </w:rPr>
        <w:t>0.0013</w:t>
      </w:r>
      <w:r>
        <w:rPr>
          <w:rStyle w:val="mo"/>
          <w:rFonts w:ascii="MathJax_Main" w:hAnsi="MathJax_Main"/>
          <w:b/>
          <w:color w:val="333333"/>
          <w:sz w:val="15"/>
          <w:szCs w:val="15"/>
        </w:rPr>
        <w:t>=</w:t>
      </w:r>
      <w:r>
        <w:rPr>
          <w:rStyle w:val="mn"/>
          <w:rFonts w:ascii="MathJax_Main" w:hAnsi="MathJax_Main"/>
          <w:b/>
          <w:color w:val="333333"/>
          <w:sz w:val="15"/>
          <w:szCs w:val="15"/>
        </w:rPr>
        <w:t>0.9974</w:t>
      </w:r>
    </w:p>
    <w:p w:rsidR="00AD77BB" w:rsidRDefault="00B45BA0">
      <w:pPr>
        <w:pStyle w:val="para"/>
        <w:shd w:val="clear" w:color="auto" w:fill="DAEEF3" w:themeFill="accent5" w:themeFillTint="33"/>
        <w:spacing w:before="15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which corresponds to the proportion 0.997 for data within three standard deviations of the mean.</w:t>
      </w:r>
    </w:p>
    <w:p w:rsidR="00AD77BB" w:rsidRDefault="00AD77BB">
      <w:pPr>
        <w:pStyle w:val="para"/>
        <w:shd w:val="clear" w:color="auto" w:fill="DAEEF3" w:themeFill="accent5" w:themeFillTint="33"/>
        <w:spacing w:before="150" w:beforeAutospacing="0" w:after="0" w:afterAutospacing="0" w:line="360" w:lineRule="auto"/>
        <w:ind w:left="600" w:right="750"/>
        <w:textAlignment w:val="baseline"/>
        <w:rPr>
          <w:rFonts w:ascii="Calibri" w:hAnsi="Calibri"/>
          <w:color w:val="333333"/>
          <w:sz w:val="20"/>
          <w:szCs w:val="20"/>
        </w:rPr>
      </w:pPr>
    </w:p>
    <w:p w:rsidR="00AD77BB" w:rsidRDefault="00B45BA0">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KEY TAKEAWAYS</w:t>
      </w:r>
    </w:p>
    <w:p w:rsidR="00AD77BB" w:rsidRDefault="00B45BA0">
      <w:pPr>
        <w:numPr>
          <w:ilvl w:val="0"/>
          <w:numId w:val="135"/>
        </w:numPr>
        <w:spacing w:after="0" w:line="360" w:lineRule="auto"/>
        <w:ind w:left="360" w:right="374"/>
        <w:textAlignment w:val="baseline"/>
        <w:rPr>
          <w:rFonts w:ascii="Calibri" w:hAnsi="Calibri"/>
          <w:color w:val="333333"/>
          <w:sz w:val="20"/>
          <w:szCs w:val="20"/>
        </w:rPr>
      </w:pPr>
      <w:r>
        <w:rPr>
          <w:rFonts w:ascii="Calibri" w:hAnsi="Calibri"/>
          <w:color w:val="333333"/>
          <w:sz w:val="20"/>
          <w:szCs w:val="20"/>
        </w:rPr>
        <w:t>A standard normal random variable</w:t>
      </w:r>
      <w:r>
        <w:rPr>
          <w:rStyle w:val="apple-converted-space"/>
          <w:rFonts w:ascii="Calibri" w:hAnsi="Calibri"/>
          <w:color w:val="333333"/>
          <w:sz w:val="20"/>
          <w:szCs w:val="20"/>
        </w:rPr>
        <w:t> </w:t>
      </w:r>
      <w:r>
        <w:rPr>
          <w:rStyle w:val="Emphasis"/>
          <w:rFonts w:ascii="Calibri" w:hAnsi="Calibri"/>
          <w:color w:val="333333"/>
          <w:sz w:val="20"/>
          <w:szCs w:val="20"/>
        </w:rPr>
        <w:t>Z</w:t>
      </w:r>
      <w:r>
        <w:rPr>
          <w:rStyle w:val="apple-converted-space"/>
          <w:rFonts w:ascii="Calibri" w:hAnsi="Calibri"/>
          <w:color w:val="333333"/>
          <w:sz w:val="20"/>
          <w:szCs w:val="20"/>
        </w:rPr>
        <w:t> </w:t>
      </w:r>
      <w:r>
        <w:rPr>
          <w:rFonts w:ascii="Calibri" w:hAnsi="Calibri"/>
          <w:color w:val="333333"/>
          <w:sz w:val="20"/>
          <w:szCs w:val="20"/>
        </w:rPr>
        <w:t>is a normally distributed random variable with mean</w:t>
      </w:r>
      <w:r>
        <w:rPr>
          <w:rStyle w:val="apple-converted-space"/>
          <w:rFonts w:ascii="Calibri" w:hAnsi="Calibri"/>
          <w:color w:val="333333"/>
          <w:sz w:val="20"/>
          <w:szCs w:val="20"/>
        </w:rPr>
        <w:t> </w:t>
      </w:r>
      <w:r>
        <w:rPr>
          <w:rStyle w:val="Emphasis"/>
          <w:rFonts w:ascii="Calibri" w:hAnsi="Calibri"/>
          <w:color w:val="333333"/>
          <w:sz w:val="20"/>
          <w:szCs w:val="20"/>
        </w:rPr>
        <w:t>μ</w:t>
      </w:r>
      <w:r>
        <w:rPr>
          <w:rStyle w:val="apple-converted-space"/>
          <w:rFonts w:ascii="Calibri" w:hAnsi="Calibri"/>
          <w:color w:val="333333"/>
          <w:sz w:val="20"/>
          <w:szCs w:val="20"/>
        </w:rPr>
        <w:t> </w:t>
      </w:r>
      <w:r>
        <w:rPr>
          <w:rFonts w:ascii="Calibri" w:hAnsi="Calibri"/>
          <w:color w:val="333333"/>
          <w:sz w:val="20"/>
          <w:szCs w:val="20"/>
        </w:rPr>
        <w:t>= 0 and standard deviation</w:t>
      </w:r>
      <w:r>
        <w:rPr>
          <w:rStyle w:val="apple-converted-space"/>
          <w:rFonts w:ascii="Calibri" w:hAnsi="Calibri"/>
          <w:color w:val="333333"/>
          <w:sz w:val="20"/>
          <w:szCs w:val="20"/>
        </w:rPr>
        <w:t> </w:t>
      </w:r>
      <w:r>
        <w:rPr>
          <w:rStyle w:val="Emphasis"/>
          <w:rFonts w:ascii="Calibri" w:hAnsi="Calibri"/>
          <w:color w:val="333333"/>
          <w:sz w:val="20"/>
          <w:szCs w:val="20"/>
        </w:rPr>
        <w:t>σ</w:t>
      </w:r>
      <w:r>
        <w:rPr>
          <w:rStyle w:val="apple-converted-space"/>
          <w:rFonts w:ascii="Calibri" w:hAnsi="Calibri"/>
          <w:color w:val="333333"/>
          <w:sz w:val="20"/>
          <w:szCs w:val="20"/>
        </w:rPr>
        <w:t> </w:t>
      </w:r>
      <w:r>
        <w:rPr>
          <w:rFonts w:ascii="Calibri" w:hAnsi="Calibri"/>
          <w:color w:val="333333"/>
          <w:sz w:val="20"/>
          <w:szCs w:val="20"/>
        </w:rPr>
        <w:t>= 1.</w:t>
      </w:r>
    </w:p>
    <w:p w:rsidR="00AD77BB" w:rsidRDefault="00B45BA0">
      <w:pPr>
        <w:numPr>
          <w:ilvl w:val="0"/>
          <w:numId w:val="135"/>
        </w:numPr>
        <w:spacing w:after="0" w:line="360" w:lineRule="auto"/>
        <w:ind w:left="360" w:right="374"/>
        <w:textAlignment w:val="baseline"/>
        <w:rPr>
          <w:rFonts w:ascii="Calibri" w:hAnsi="Calibri"/>
          <w:color w:val="333333"/>
          <w:sz w:val="20"/>
          <w:szCs w:val="20"/>
        </w:rPr>
      </w:pPr>
      <w:r>
        <w:rPr>
          <w:rFonts w:ascii="Calibri" w:hAnsi="Calibri"/>
          <w:color w:val="333333"/>
          <w:sz w:val="20"/>
          <w:szCs w:val="20"/>
        </w:rPr>
        <w:t>Probabilities for a standard normal random variable are computed using</w:t>
      </w:r>
      <w:r>
        <w:rPr>
          <w:rFonts w:ascii="Calibri" w:hAnsi="Calibri"/>
          <w:color w:val="2689C6"/>
          <w:sz w:val="20"/>
          <w:szCs w:val="20"/>
        </w:rPr>
        <w:t>Figure 12.2 "Cumulative Normal Probability"</w:t>
      </w:r>
      <w:r>
        <w:rPr>
          <w:rFonts w:ascii="Calibri" w:hAnsi="Calibri"/>
          <w:color w:val="333333"/>
          <w:sz w:val="20"/>
          <w:szCs w:val="20"/>
        </w:rPr>
        <w:t>.</w:t>
      </w:r>
    </w:p>
    <w:p w:rsidR="00AD77BB" w:rsidRDefault="00B45BA0">
      <w:pPr>
        <w:shd w:val="clear" w:color="auto" w:fill="FFFFFF" w:themeFill="background1"/>
        <w:spacing w:before="15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005EBAA" wp14:editId="6E2EA602">
            <wp:extent cx="5010150" cy="5600700"/>
            <wp:effectExtent l="0" t="0" r="0" b="0"/>
            <wp:docPr id="161"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010150" cy="5600700"/>
                    </a:xfrm>
                    <a:prstGeom prst="rect">
                      <a:avLst/>
                    </a:prstGeom>
                    <a:noFill/>
                    <a:ln>
                      <a:noFill/>
                    </a:ln>
                  </pic:spPr>
                </pic:pic>
              </a:graphicData>
            </a:graphic>
          </wp:inline>
        </w:drawing>
      </w:r>
    </w:p>
    <w:p w:rsidR="00AD77BB" w:rsidRDefault="00AD77BB">
      <w:pPr>
        <w:shd w:val="clear" w:color="auto" w:fill="FFFFFF" w:themeFill="background1"/>
        <w:spacing w:before="150" w:line="439" w:lineRule="atLeast"/>
        <w:ind w:left="300" w:right="375"/>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line="360" w:lineRule="auto"/>
        <w:ind w:left="300" w:right="375"/>
        <w:jc w:val="center"/>
        <w:textAlignment w:val="baseline"/>
        <w:rPr>
          <w:rFonts w:ascii="Calibri" w:hAnsi="Calibri"/>
          <w:b/>
          <w:color w:val="333333"/>
          <w:sz w:val="20"/>
          <w:szCs w:val="20"/>
        </w:rPr>
      </w:pPr>
    </w:p>
    <w:p w:rsidR="00AD77BB" w:rsidRDefault="00B45BA0">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EA37EFC" wp14:editId="314B3E5F">
            <wp:extent cx="4819650" cy="5514975"/>
            <wp:effectExtent l="0" t="0" r="0" b="9525"/>
            <wp:docPr id="162"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819650" cy="551497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2EA49E86" wp14:editId="7C62569D">
            <wp:extent cx="4838700" cy="4991100"/>
            <wp:effectExtent l="0" t="0" r="0" b="0"/>
            <wp:docPr id="163"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838700" cy="499110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3A1C05E" wp14:editId="4F5DAF3D">
            <wp:extent cx="4857750" cy="5800725"/>
            <wp:effectExtent l="0" t="0" r="0" b="9525"/>
            <wp:docPr id="164"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57750" cy="580072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8188FE0" wp14:editId="4154609D">
            <wp:extent cx="4943475" cy="4371975"/>
            <wp:effectExtent l="0" t="0" r="9525" b="9525"/>
            <wp:docPr id="165"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943475" cy="4371975"/>
                    </a:xfrm>
                    <a:prstGeom prst="rect">
                      <a:avLst/>
                    </a:prstGeom>
                    <a:noFill/>
                    <a:ln>
                      <a:noFill/>
                    </a:ln>
                  </pic:spPr>
                </pic:pic>
              </a:graphicData>
            </a:graphic>
          </wp:inline>
        </w:drawing>
      </w:r>
    </w:p>
    <w:p w:rsidR="00AD77BB" w:rsidRDefault="00B45B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5.3</w:t>
      </w:r>
      <w:r>
        <w:rPr>
          <w:rStyle w:val="apple-converted-space"/>
          <w:rFonts w:ascii="Calibri" w:hAnsi="Calibri"/>
          <w:color w:val="333333"/>
        </w:rPr>
        <w:t> </w:t>
      </w:r>
      <w:r>
        <w:rPr>
          <w:rFonts w:ascii="Calibri" w:hAnsi="Calibri"/>
          <w:color w:val="333333"/>
        </w:rPr>
        <w:t>Probability Computations for General Normal Random Variables</w:t>
      </w:r>
    </w:p>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AD77BB" w:rsidRDefault="00B45BA0">
      <w:pPr>
        <w:numPr>
          <w:ilvl w:val="0"/>
          <w:numId w:val="13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To learn how to compute probabilities related to any normal random variable.</w:t>
      </w:r>
    </w:p>
    <w:p w:rsidR="00AD77BB" w:rsidRDefault="00AD77BB">
      <w:pPr>
        <w:shd w:val="clear" w:color="auto" w:fill="EAE9DC"/>
        <w:spacing w:after="0" w:line="439" w:lineRule="atLeast"/>
        <w:ind w:left="300" w:right="375"/>
        <w:textAlignment w:val="baseline"/>
        <w:rPr>
          <w:rFonts w:ascii="Calibri" w:hAnsi="Calibri"/>
          <w:color w:val="333333"/>
          <w:sz w:val="20"/>
          <w:szCs w:val="20"/>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If</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is any normally distributed normal random variable then</w:t>
      </w:r>
      <w:r>
        <w:rPr>
          <w:rStyle w:val="apple-converted-space"/>
          <w:rFonts w:ascii="Georgia" w:hAnsi="Georgia"/>
          <w:color w:val="333333"/>
          <w:sz w:val="21"/>
          <w:szCs w:val="21"/>
        </w:rPr>
        <w:t> </w:t>
      </w:r>
      <w:r>
        <w:rPr>
          <w:rFonts w:ascii="Georgia" w:eastAsiaTheme="majorEastAsia" w:hAnsi="Georgia"/>
          <w:color w:val="2689C6"/>
          <w:sz w:val="21"/>
          <w:szCs w:val="21"/>
        </w:rPr>
        <w:t>Figure 12.2 "Cumulative Normal Probability"</w:t>
      </w:r>
      <w:r>
        <w:rPr>
          <w:rStyle w:val="apple-converted-space"/>
          <w:rFonts w:ascii="Georgia" w:hAnsi="Georgia"/>
          <w:color w:val="333333"/>
          <w:sz w:val="21"/>
          <w:szCs w:val="21"/>
        </w:rPr>
        <w:t> </w:t>
      </w:r>
      <w:r>
        <w:rPr>
          <w:rFonts w:ascii="Georgia" w:hAnsi="Georgia"/>
          <w:color w:val="333333"/>
          <w:sz w:val="21"/>
          <w:szCs w:val="21"/>
        </w:rPr>
        <w:t>can also be used to compute a probability of the form</w:t>
      </w:r>
      <w:r>
        <w:rPr>
          <w:rStyle w:val="apple-converted-space"/>
          <w:rFonts w:ascii="Georgia" w:hAnsi="Georgia"/>
          <w:color w:val="333333"/>
          <w:sz w:val="21"/>
          <w:szCs w:val="21"/>
        </w:rPr>
        <w:t> </w:t>
      </w:r>
      <w:r>
        <w:rPr>
          <w:rStyle w:val="mi"/>
          <w:rFonts w:ascii="MathJax_Math" w:hAnsi="MathJax_Math"/>
          <w:i/>
          <w:iCs/>
          <w:color w:val="333333"/>
          <w:sz w:val="18"/>
          <w:szCs w:val="18"/>
        </w:rPr>
        <w:t>P</w:t>
      </w:r>
      <w:r>
        <w:rPr>
          <w:rStyle w:val="mo"/>
          <w:rFonts w:ascii="MathJax_Main" w:hAnsi="MathJax_Main"/>
          <w:color w:val="333333"/>
          <w:sz w:val="18"/>
          <w:szCs w:val="18"/>
        </w:rPr>
        <w:t>(</w:t>
      </w:r>
      <w:r>
        <w:rPr>
          <w:rStyle w:val="mi"/>
          <w:rFonts w:ascii="MathJax_Math" w:hAnsi="MathJax_Math"/>
          <w:i/>
          <w:iCs/>
          <w:color w:val="333333"/>
          <w:sz w:val="18"/>
          <w:szCs w:val="18"/>
        </w:rPr>
        <w:t>a</w:t>
      </w:r>
      <w:r>
        <w:rPr>
          <w:rStyle w:val="mo"/>
          <w:rFonts w:ascii="MathJax_Main" w:hAnsi="MathJax_Main"/>
          <w:color w:val="333333"/>
          <w:sz w:val="18"/>
          <w:szCs w:val="18"/>
        </w:rPr>
        <w:t>&lt;</w:t>
      </w:r>
      <w:r>
        <w:rPr>
          <w:rStyle w:val="mi"/>
          <w:rFonts w:ascii="MathJax_Math" w:hAnsi="MathJax_Math"/>
          <w:i/>
          <w:iCs/>
          <w:color w:val="333333"/>
          <w:sz w:val="18"/>
          <w:szCs w:val="18"/>
        </w:rPr>
        <w:t>X</w:t>
      </w:r>
      <w:r>
        <w:rPr>
          <w:rStyle w:val="mo"/>
          <w:rFonts w:ascii="MathJax_Main" w:hAnsi="MathJax_Main"/>
          <w:color w:val="333333"/>
          <w:sz w:val="18"/>
          <w:szCs w:val="18"/>
        </w:rPr>
        <w:t>&lt;</w:t>
      </w:r>
      <w:r>
        <w:rPr>
          <w:rStyle w:val="mi"/>
          <w:rFonts w:ascii="MathJax_Math" w:hAnsi="MathJax_Math"/>
          <w:i/>
          <w:iCs/>
          <w:color w:val="333333"/>
          <w:sz w:val="18"/>
          <w:szCs w:val="18"/>
        </w:rPr>
        <w:t>b</w:t>
      </w:r>
      <w:r>
        <w:rPr>
          <w:rStyle w:val="mo"/>
          <w:rFonts w:ascii="MathJax_Main" w:hAnsi="MathJax_Main"/>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by means of the following equality.</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noProof/>
          <w:color w:val="333333"/>
          <w:sz w:val="21"/>
          <w:szCs w:val="21"/>
        </w:rPr>
        <w:drawing>
          <wp:inline distT="0" distB="0" distL="0" distR="0" wp14:anchorId="5D0B3183" wp14:editId="11775D90">
            <wp:extent cx="4572000" cy="1943100"/>
            <wp:effectExtent l="0" t="0" r="0" b="0"/>
            <wp:docPr id="166"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572000" cy="1943100"/>
                    </a:xfrm>
                    <a:prstGeom prst="rect">
                      <a:avLst/>
                    </a:prstGeom>
                    <a:noFill/>
                    <a:ln>
                      <a:noFill/>
                    </a:ln>
                  </pic:spPr>
                </pic:pic>
              </a:graphicData>
            </a:graphic>
          </wp:inline>
        </w:drawing>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The new endpoints </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a</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μ</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σ</w:t>
      </w:r>
      <w:r>
        <w:rPr>
          <w:rFonts w:ascii="Georgia" w:eastAsia="Times New Roman" w:hAnsi="Georgia" w:cs="Times New Roman"/>
          <w:color w:val="333333"/>
          <w:sz w:val="21"/>
          <w:szCs w:val="21"/>
        </w:rPr>
        <w:t> and </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b</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μ</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σ</w:t>
      </w:r>
      <w:r>
        <w:rPr>
          <w:rFonts w:ascii="Georgia" w:eastAsia="Times New Roman" w:hAnsi="Georgia" w:cs="Times New Roman"/>
          <w:color w:val="333333"/>
          <w:sz w:val="21"/>
          <w:szCs w:val="21"/>
        </w:rPr>
        <w:t> are the </w:t>
      </w:r>
      <w:r>
        <w:rPr>
          <w:rFonts w:ascii="Georgia" w:eastAsia="Times New Roman" w:hAnsi="Georgia" w:cs="Times New Roman"/>
          <w:i/>
          <w:iCs/>
          <w:color w:val="333333"/>
          <w:sz w:val="20"/>
          <w:szCs w:val="20"/>
        </w:rPr>
        <w:t>z</w:t>
      </w:r>
      <w:r>
        <w:rPr>
          <w:rFonts w:ascii="Georgia" w:eastAsia="Times New Roman" w:hAnsi="Georgia" w:cs="Times New Roman"/>
          <w:color w:val="333333"/>
          <w:sz w:val="21"/>
          <w:szCs w:val="21"/>
        </w:rPr>
        <w:t>-scores of </w:t>
      </w:r>
      <w:r>
        <w:rPr>
          <w:rFonts w:ascii="Georgia" w:eastAsia="Times New Roman" w:hAnsi="Georgia" w:cs="Times New Roman"/>
          <w:i/>
          <w:iCs/>
          <w:color w:val="333333"/>
          <w:sz w:val="20"/>
          <w:szCs w:val="20"/>
        </w:rPr>
        <w:t>a</w:t>
      </w:r>
      <w:r>
        <w:rPr>
          <w:rFonts w:ascii="Georgia" w:eastAsia="Times New Roman" w:hAnsi="Georgia" w:cs="Times New Roman"/>
          <w:color w:val="333333"/>
          <w:sz w:val="21"/>
          <w:szCs w:val="21"/>
        </w:rPr>
        <w:t> and </w:t>
      </w:r>
      <w:r>
        <w:rPr>
          <w:rFonts w:ascii="Georgia" w:eastAsia="Times New Roman" w:hAnsi="Georgia" w:cs="Times New Roman"/>
          <w:i/>
          <w:iCs/>
          <w:color w:val="333333"/>
          <w:sz w:val="20"/>
          <w:szCs w:val="20"/>
        </w:rPr>
        <w:t>b</w:t>
      </w:r>
      <w:r>
        <w:rPr>
          <w:rFonts w:ascii="Georgia" w:eastAsia="Times New Roman" w:hAnsi="Georgia" w:cs="Times New Roman"/>
          <w:color w:val="333333"/>
          <w:sz w:val="21"/>
          <w:szCs w:val="21"/>
        </w:rPr>
        <w:t> as defined in </w:t>
      </w:r>
      <w:r>
        <w:rPr>
          <w:rFonts w:ascii="Georgia" w:eastAsia="Times New Roman" w:hAnsi="Georgia" w:cs="Times New Roman"/>
          <w:color w:val="2689C6"/>
          <w:sz w:val="21"/>
          <w:szCs w:val="21"/>
        </w:rPr>
        <w:t>Section 2.4.2</w:t>
      </w:r>
      <w:r>
        <w:rPr>
          <w:rFonts w:ascii="Georgia" w:eastAsia="Times New Roman" w:hAnsi="Georgia" w:cs="Times New Roman"/>
          <w:color w:val="333333"/>
          <w:sz w:val="21"/>
          <w:szCs w:val="21"/>
        </w:rPr>
        <w:t> in </w:t>
      </w:r>
      <w:r>
        <w:rPr>
          <w:rFonts w:ascii="Georgia" w:eastAsia="Times New Roman" w:hAnsi="Georgia" w:cs="Times New Roman"/>
          <w:color w:val="2689C6"/>
          <w:sz w:val="21"/>
          <w:szCs w:val="21"/>
        </w:rPr>
        <w:t>Chapter 2 "Descriptive Statistics"</w:t>
      </w:r>
      <w:r>
        <w:rPr>
          <w:rFonts w:ascii="Georgia" w:eastAsia="Times New Roman" w:hAnsi="Georgia" w:cs="Times New Roman"/>
          <w:color w:val="333333"/>
          <w:sz w:val="21"/>
          <w:szCs w:val="21"/>
        </w:rPr>
        <w:t>.</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2689C6"/>
          <w:sz w:val="21"/>
          <w:szCs w:val="21"/>
        </w:rPr>
        <w:t>Figure 5.14 "Probability for an Interval of Finite Length"</w:t>
      </w:r>
      <w:r>
        <w:rPr>
          <w:rFonts w:ascii="Georgia" w:eastAsia="Times New Roman" w:hAnsi="Georgia" w:cs="Times New Roman"/>
          <w:color w:val="333333"/>
          <w:sz w:val="21"/>
          <w:szCs w:val="21"/>
        </w:rPr>
        <w:t> illustrates the meaning of the equality geometrically: the two shaded regions, one under the density curve for </w:t>
      </w:r>
      <w:r>
        <w:rPr>
          <w:rFonts w:ascii="Georgia" w:eastAsia="Times New Roman" w:hAnsi="Georgia" w:cs="Times New Roman"/>
          <w:i/>
          <w:iCs/>
          <w:color w:val="333333"/>
          <w:sz w:val="20"/>
          <w:szCs w:val="20"/>
        </w:rPr>
        <w:t>X</w:t>
      </w:r>
      <w:r>
        <w:rPr>
          <w:rFonts w:ascii="Georgia" w:eastAsia="Times New Roman" w:hAnsi="Georgia" w:cs="Times New Roman"/>
          <w:color w:val="333333"/>
          <w:sz w:val="21"/>
          <w:szCs w:val="21"/>
        </w:rPr>
        <w:t> and the other under the density curve for </w:t>
      </w:r>
      <w:r>
        <w:rPr>
          <w:rFonts w:ascii="Georgia" w:eastAsia="Times New Roman" w:hAnsi="Georgia" w:cs="Times New Roman"/>
          <w:i/>
          <w:iCs/>
          <w:color w:val="333333"/>
          <w:sz w:val="20"/>
          <w:szCs w:val="20"/>
        </w:rPr>
        <w:t>Z</w:t>
      </w:r>
      <w:r>
        <w:rPr>
          <w:rFonts w:ascii="Georgia" w:eastAsia="Times New Roman" w:hAnsi="Georgia" w:cs="Times New Roman"/>
          <w:color w:val="333333"/>
          <w:sz w:val="21"/>
          <w:szCs w:val="21"/>
        </w:rPr>
        <w:t>, have the same area. Instead of drawing both bell curves, though, we will always draw a single generic bell-shaped curve with both an </w:t>
      </w:r>
      <w:r>
        <w:rPr>
          <w:rFonts w:ascii="Georgia" w:eastAsia="Times New Roman" w:hAnsi="Georgia" w:cs="Times New Roman"/>
          <w:i/>
          <w:iCs/>
          <w:color w:val="333333"/>
          <w:sz w:val="20"/>
          <w:szCs w:val="20"/>
        </w:rPr>
        <w:t>x</w:t>
      </w:r>
      <w:r>
        <w:rPr>
          <w:rFonts w:ascii="Georgia" w:eastAsia="Times New Roman" w:hAnsi="Georgia" w:cs="Times New Roman"/>
          <w:color w:val="333333"/>
          <w:sz w:val="21"/>
          <w:szCs w:val="21"/>
        </w:rPr>
        <w:t>-axis and a </w:t>
      </w:r>
      <w:r>
        <w:rPr>
          <w:rFonts w:ascii="Georgia" w:eastAsia="Times New Roman" w:hAnsi="Georgia" w:cs="Times New Roman"/>
          <w:i/>
          <w:iCs/>
          <w:color w:val="333333"/>
          <w:sz w:val="20"/>
          <w:szCs w:val="20"/>
        </w:rPr>
        <w:t>z</w:t>
      </w:r>
      <w:r>
        <w:rPr>
          <w:rFonts w:ascii="Georgia" w:eastAsia="Times New Roman" w:hAnsi="Georgia" w:cs="Times New Roman"/>
          <w:color w:val="333333"/>
          <w:sz w:val="21"/>
          <w:szCs w:val="21"/>
        </w:rPr>
        <w:t>-axis below it.</w:t>
      </w:r>
    </w:p>
    <w:p w:rsidR="00AD77BB" w:rsidRDefault="00AD77BB">
      <w:pPr>
        <w:shd w:val="clear" w:color="auto" w:fill="FFFFFF"/>
        <w:spacing w:after="0" w:line="439" w:lineRule="atLeast"/>
        <w:textAlignment w:val="baseline"/>
        <w:rPr>
          <w:rFonts w:ascii="Georgia" w:eastAsia="Times New Roman" w:hAnsi="Georgia" w:cs="Times New Roman"/>
          <w:color w:val="333333"/>
          <w:sz w:val="21"/>
          <w:szCs w:val="21"/>
        </w:rPr>
      </w:pPr>
    </w:p>
    <w:p w:rsidR="00AD77BB" w:rsidRDefault="00B45BA0">
      <w:pPr>
        <w:shd w:val="clear" w:color="auto" w:fill="FFFFFF"/>
        <w:spacing w:after="0" w:line="439" w:lineRule="atLeast"/>
        <w:textAlignment w:val="baseline"/>
        <w:rPr>
          <w:rFonts w:ascii="Georgia" w:eastAsia="Times New Roman" w:hAnsi="Georgia" w:cs="Times New Roman"/>
          <w:i/>
          <w:iCs/>
          <w:color w:val="BB9966"/>
        </w:rPr>
      </w:pPr>
      <w:r>
        <w:rPr>
          <w:rFonts w:ascii="Georgia" w:eastAsia="Times New Roman" w:hAnsi="Georgia" w:cs="Times New Roman"/>
          <w:i/>
          <w:iCs/>
          <w:color w:val="000000"/>
          <w:sz w:val="20"/>
          <w:szCs w:val="20"/>
        </w:rPr>
        <w:t>Figure 5.14</w:t>
      </w:r>
      <w:r>
        <w:rPr>
          <w:rFonts w:ascii="Georgia" w:eastAsia="Times New Roman" w:hAnsi="Georgia" w:cs="Times New Roman"/>
          <w:i/>
          <w:iCs/>
          <w:color w:val="BB9966"/>
        </w:rPr>
        <w:t> Probability for an Interval of Finite Length</w:t>
      </w:r>
    </w:p>
    <w:p w:rsidR="00AD77BB" w:rsidRDefault="00B45BA0">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14:anchorId="2B4D112A" wp14:editId="46984668">
            <wp:extent cx="5143500" cy="4105275"/>
            <wp:effectExtent l="0" t="0" r="0" b="9525"/>
            <wp:docPr id="167" name="Picture 180" descr="http://images.flatworldknowledge.com/shafer/shafer-fig05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images.flatworldknowledge.com/shafer/shafer-fig05_016.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3500" cy="4105275"/>
                    </a:xfrm>
                    <a:prstGeom prst="rect">
                      <a:avLst/>
                    </a:prstGeom>
                    <a:noFill/>
                    <a:ln>
                      <a:noFill/>
                    </a:ln>
                  </pic:spPr>
                </pic:pic>
              </a:graphicData>
            </a:graphic>
          </wp:inline>
        </w:drawing>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EXAMPLE 9</w:t>
      </w:r>
    </w:p>
    <w:p w:rsidR="00AD77BB" w:rsidRDefault="00B45BA0">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Let </w:t>
      </w:r>
      <w:r>
        <w:rPr>
          <w:rFonts w:ascii="Calibri" w:eastAsia="Times New Roman" w:hAnsi="Calibri" w:cs="Times New Roman"/>
          <w:i/>
          <w:iCs/>
          <w:color w:val="333333"/>
          <w:sz w:val="20"/>
          <w:szCs w:val="20"/>
        </w:rPr>
        <w:t>X</w:t>
      </w:r>
      <w:r>
        <w:rPr>
          <w:rFonts w:ascii="Calibri" w:eastAsia="Times New Roman" w:hAnsi="Calibri" w:cs="Times New Roman"/>
          <w:color w:val="333333"/>
          <w:sz w:val="21"/>
          <w:szCs w:val="21"/>
        </w:rPr>
        <w:t> be a normal random variable with mean </w:t>
      </w:r>
      <w:r>
        <w:rPr>
          <w:rFonts w:ascii="Calibri" w:eastAsia="Times New Roman" w:hAnsi="Calibri" w:cs="Times New Roman"/>
          <w:i/>
          <w:iCs/>
          <w:color w:val="333333"/>
          <w:sz w:val="20"/>
          <w:szCs w:val="20"/>
        </w:rPr>
        <w:t>μ</w:t>
      </w:r>
      <w:r>
        <w:rPr>
          <w:rFonts w:ascii="Calibri" w:eastAsia="Times New Roman" w:hAnsi="Calibri" w:cs="Times New Roman"/>
          <w:color w:val="333333"/>
          <w:sz w:val="21"/>
          <w:szCs w:val="21"/>
        </w:rPr>
        <w:t> = 10 and standard deviation </w:t>
      </w:r>
      <w:r>
        <w:rPr>
          <w:rFonts w:ascii="Calibri" w:eastAsia="Times New Roman" w:hAnsi="Calibri" w:cs="Times New Roman"/>
          <w:i/>
          <w:iCs/>
          <w:color w:val="333333"/>
          <w:sz w:val="20"/>
          <w:szCs w:val="20"/>
        </w:rPr>
        <w:t>σ</w:t>
      </w:r>
      <w:r>
        <w:rPr>
          <w:rFonts w:ascii="Calibri" w:eastAsia="Times New Roman" w:hAnsi="Calibri" w:cs="Times New Roman"/>
          <w:color w:val="333333"/>
          <w:sz w:val="21"/>
          <w:szCs w:val="21"/>
        </w:rPr>
        <w:t> = 2.5. Compute the following probabilities.</w:t>
      </w:r>
    </w:p>
    <w:p w:rsidR="00AD77BB" w:rsidRDefault="00B45BA0">
      <w:pPr>
        <w:numPr>
          <w:ilvl w:val="0"/>
          <w:numId w:val="137"/>
        </w:numPr>
        <w:shd w:val="clear" w:color="auto" w:fill="DAEEF3" w:themeFill="accent5" w:themeFillTint="33"/>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&lt; 14).</w:t>
      </w:r>
    </w:p>
    <w:p w:rsidR="00AD77BB" w:rsidRDefault="00B45BA0">
      <w:pPr>
        <w:numPr>
          <w:ilvl w:val="0"/>
          <w:numId w:val="137"/>
        </w:numPr>
        <w:shd w:val="clear" w:color="auto" w:fill="DAEEF3" w:themeFill="accent5" w:themeFillTint="33"/>
        <w:spacing w:after="0" w:line="439" w:lineRule="atLeast"/>
        <w:ind w:left="360" w:right="375" w:hanging="360"/>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(8&lt;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&lt;14).</w:t>
      </w:r>
    </w:p>
    <w:p w:rsidR="00AD77BB" w:rsidRDefault="00B45BA0">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Solution:</w:t>
      </w:r>
    </w:p>
    <w:p w:rsidR="00AD77BB" w:rsidRDefault="00B45BA0">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555555"/>
          <w:sz w:val="27"/>
          <w:szCs w:val="27"/>
        </w:rPr>
        <w:lastRenderedPageBreak/>
        <w:drawing>
          <wp:inline distT="0" distB="0" distL="0" distR="0" wp14:anchorId="5AD1EEED" wp14:editId="42C7F08F">
            <wp:extent cx="5829300" cy="6667500"/>
            <wp:effectExtent l="0" t="0" r="0" b="0"/>
            <wp:docPr id="168"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829300" cy="6667500"/>
                    </a:xfrm>
                    <a:prstGeom prst="rect">
                      <a:avLst/>
                    </a:prstGeom>
                    <a:noFill/>
                    <a:ln>
                      <a:noFill/>
                    </a:ln>
                  </pic:spPr>
                </pic:pic>
              </a:graphicData>
            </a:graphic>
          </wp:inline>
        </w:drawing>
      </w:r>
    </w:p>
    <w:p w:rsidR="00AD77BB" w:rsidRDefault="00B45BA0">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555555"/>
          <w:sz w:val="27"/>
          <w:szCs w:val="27"/>
        </w:rPr>
        <w:lastRenderedPageBreak/>
        <w:drawing>
          <wp:inline distT="0" distB="0" distL="0" distR="0" wp14:anchorId="0B647E76" wp14:editId="2954268C">
            <wp:extent cx="5810250" cy="6438900"/>
            <wp:effectExtent l="0" t="0" r="0" b="0"/>
            <wp:docPr id="169"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810250" cy="6438900"/>
                    </a:xfrm>
                    <a:prstGeom prst="rect">
                      <a:avLst/>
                    </a:prstGeom>
                    <a:noFill/>
                    <a:ln>
                      <a:noFill/>
                    </a:ln>
                  </pic:spPr>
                </pic:pic>
              </a:graphicData>
            </a:graphic>
          </wp:inline>
        </w:drawing>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10</w:t>
      </w:r>
    </w:p>
    <w:p w:rsidR="00AD77BB" w:rsidRDefault="00B45BA0">
      <w:pPr>
        <w:pStyle w:val="para"/>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The lifetimes of the tread of a certain automobile tire are normally distributed with mean 37,500 miles and standard deviation 4,500 miles. Find the probability that the tread life of a randomly selected tire will be between 30,000 and 40,000 miles.</w:t>
      </w:r>
    </w:p>
    <w:p w:rsidR="00AD77BB" w:rsidRDefault="00B45BA0">
      <w:pPr>
        <w:pStyle w:val="simpara"/>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Solution:</w:t>
      </w:r>
    </w:p>
    <w:p w:rsidR="00AD77BB" w:rsidRDefault="00B45BA0">
      <w:pPr>
        <w:pStyle w:val="para"/>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lastRenderedPageBreak/>
        <w:t>Let</w:t>
      </w:r>
      <w:r>
        <w:rPr>
          <w:rStyle w:val="apple-converted-space"/>
          <w:rFonts w:ascii="Calibri" w:hAnsi="Calibri"/>
          <w:color w:val="333333"/>
          <w:sz w:val="21"/>
          <w:szCs w:val="21"/>
        </w:rPr>
        <w:t> </w:t>
      </w:r>
      <w:r>
        <w:rPr>
          <w:rStyle w:val="Emphasis"/>
          <w:rFonts w:ascii="Calibri" w:eastAsiaTheme="majorEastAsia" w:hAnsi="Calibri"/>
          <w:color w:val="333333"/>
          <w:sz w:val="20"/>
          <w:szCs w:val="20"/>
        </w:rPr>
        <w:t>X</w:t>
      </w:r>
      <w:r>
        <w:rPr>
          <w:rStyle w:val="apple-converted-space"/>
          <w:rFonts w:ascii="Calibri" w:hAnsi="Calibri"/>
          <w:color w:val="333333"/>
          <w:sz w:val="21"/>
          <w:szCs w:val="21"/>
        </w:rPr>
        <w:t> </w:t>
      </w:r>
      <w:r>
        <w:rPr>
          <w:rFonts w:ascii="Calibri" w:hAnsi="Calibri"/>
          <w:color w:val="333333"/>
          <w:sz w:val="21"/>
          <w:szCs w:val="21"/>
        </w:rPr>
        <w:t>denote the tread life of a randomly selected tire. To make the numbers easier to work with we will choose thousands of miles as the units. Thus</w:t>
      </w:r>
      <w:r>
        <w:rPr>
          <w:rStyle w:val="apple-converted-space"/>
          <w:rFonts w:ascii="Calibri" w:hAnsi="Calibri"/>
          <w:color w:val="333333"/>
          <w:sz w:val="21"/>
          <w:szCs w:val="21"/>
        </w:rPr>
        <w:t> </w:t>
      </w:r>
      <w:r>
        <w:rPr>
          <w:rStyle w:val="Emphasis"/>
          <w:rFonts w:ascii="Calibri" w:eastAsiaTheme="majorEastAsia" w:hAnsi="Calibri"/>
          <w:color w:val="333333"/>
          <w:sz w:val="20"/>
          <w:szCs w:val="20"/>
        </w:rPr>
        <w:t>μ</w:t>
      </w:r>
      <w:r>
        <w:rPr>
          <w:rStyle w:val="apple-converted-space"/>
          <w:rFonts w:ascii="Calibri" w:hAnsi="Calibri"/>
          <w:color w:val="333333"/>
          <w:sz w:val="21"/>
          <w:szCs w:val="21"/>
        </w:rPr>
        <w:t> </w:t>
      </w:r>
      <w:r>
        <w:rPr>
          <w:rFonts w:ascii="Calibri" w:hAnsi="Calibri"/>
          <w:color w:val="333333"/>
          <w:sz w:val="21"/>
          <w:szCs w:val="21"/>
        </w:rPr>
        <w:t>= 37.5,</w:t>
      </w:r>
      <w:r>
        <w:rPr>
          <w:rStyle w:val="apple-converted-space"/>
          <w:rFonts w:ascii="Calibri" w:hAnsi="Calibri"/>
          <w:color w:val="333333"/>
          <w:sz w:val="21"/>
          <w:szCs w:val="21"/>
        </w:rPr>
        <w:t> </w:t>
      </w:r>
      <w:r>
        <w:rPr>
          <w:rStyle w:val="Emphasis"/>
          <w:rFonts w:ascii="Calibri" w:eastAsiaTheme="majorEastAsia" w:hAnsi="Calibri"/>
          <w:color w:val="333333"/>
          <w:sz w:val="20"/>
          <w:szCs w:val="20"/>
        </w:rPr>
        <w:t>σ</w:t>
      </w:r>
      <w:r>
        <w:rPr>
          <w:rStyle w:val="apple-converted-space"/>
          <w:rFonts w:ascii="Calibri" w:hAnsi="Calibri"/>
          <w:color w:val="333333"/>
          <w:sz w:val="21"/>
          <w:szCs w:val="21"/>
        </w:rPr>
        <w:t> </w:t>
      </w:r>
      <w:r>
        <w:rPr>
          <w:rFonts w:ascii="Calibri" w:hAnsi="Calibri"/>
          <w:color w:val="333333"/>
          <w:sz w:val="21"/>
          <w:szCs w:val="21"/>
        </w:rPr>
        <w:t>= 4.5, and the problem is to compute</w:t>
      </w:r>
      <w:r>
        <w:rPr>
          <w:rStyle w:val="apple-converted-space"/>
          <w:rFonts w:ascii="Calibri" w:hAnsi="Calibri"/>
          <w:color w:val="333333"/>
          <w:sz w:val="21"/>
          <w:szCs w:val="21"/>
        </w:rPr>
        <w:t> </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n"/>
          <w:rFonts w:ascii="MathJax_Main" w:hAnsi="MathJax_Main"/>
          <w:b/>
          <w:color w:val="333333"/>
          <w:sz w:val="15"/>
          <w:szCs w:val="15"/>
        </w:rPr>
        <w:t>30</w:t>
      </w:r>
      <w:r>
        <w:rPr>
          <w:rStyle w:val="mo"/>
          <w:rFonts w:ascii="MathJax_Main" w:hAnsi="MathJax_Main"/>
          <w:b/>
          <w:color w:val="333333"/>
          <w:sz w:val="15"/>
          <w:szCs w:val="15"/>
        </w:rPr>
        <w:t>&lt;</w:t>
      </w:r>
      <w:r>
        <w:rPr>
          <w:rStyle w:val="mi"/>
          <w:rFonts w:ascii="MathJax_Math" w:hAnsi="MathJax_Math"/>
          <w:b/>
          <w:i/>
          <w:iCs/>
          <w:color w:val="333333"/>
          <w:sz w:val="15"/>
          <w:szCs w:val="15"/>
        </w:rPr>
        <w:t>X</w:t>
      </w:r>
      <w:r>
        <w:rPr>
          <w:rStyle w:val="mo"/>
          <w:rFonts w:ascii="MathJax_Main" w:hAnsi="MathJax_Main"/>
          <w:b/>
          <w:color w:val="333333"/>
          <w:sz w:val="15"/>
          <w:szCs w:val="15"/>
        </w:rPr>
        <w:t>&lt;</w:t>
      </w:r>
      <w:r>
        <w:rPr>
          <w:rStyle w:val="mn"/>
          <w:rFonts w:ascii="MathJax_Main" w:hAnsi="MathJax_Main"/>
          <w:b/>
          <w:color w:val="333333"/>
          <w:sz w:val="15"/>
          <w:szCs w:val="15"/>
        </w:rPr>
        <w:t>40</w:t>
      </w:r>
      <w:r>
        <w:rPr>
          <w:rStyle w:val="mo"/>
          <w:rFonts w:ascii="MathJax_Main" w:hAnsi="MathJax_Main"/>
          <w:b/>
          <w:color w:val="333333"/>
          <w:sz w:val="15"/>
          <w:szCs w:val="15"/>
        </w:rPr>
        <w:t>).</w:t>
      </w:r>
      <w:r>
        <w:rPr>
          <w:rStyle w:val="apple-converted-space"/>
          <w:rFonts w:ascii="Calibri" w:hAnsi="Calibri"/>
          <w:color w:val="333333"/>
          <w:sz w:val="21"/>
          <w:szCs w:val="21"/>
        </w:rPr>
        <w:t> </w:t>
      </w:r>
      <w:r>
        <w:rPr>
          <w:rFonts w:ascii="Calibri" w:hAnsi="Calibri"/>
          <w:color w:val="2689C6"/>
          <w:sz w:val="21"/>
          <w:szCs w:val="21"/>
        </w:rPr>
        <w:t>Figure 5.17 "Probability Computation for Tire Tread Wear"</w:t>
      </w:r>
      <w:r>
        <w:rPr>
          <w:rStyle w:val="apple-converted-space"/>
          <w:rFonts w:ascii="Calibri" w:hAnsi="Calibri"/>
          <w:color w:val="333333"/>
          <w:sz w:val="21"/>
          <w:szCs w:val="21"/>
        </w:rPr>
        <w:t> </w:t>
      </w:r>
      <w:r>
        <w:rPr>
          <w:rFonts w:ascii="Calibri" w:hAnsi="Calibri"/>
          <w:color w:val="333333"/>
          <w:sz w:val="21"/>
          <w:szCs w:val="21"/>
        </w:rPr>
        <w:t>illustrates the following computation:</w:t>
      </w:r>
    </w:p>
    <w:p w:rsidR="00AD77BB" w:rsidRDefault="00B45BA0">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555555"/>
          <w:sz w:val="27"/>
          <w:szCs w:val="27"/>
        </w:rPr>
        <w:drawing>
          <wp:inline distT="0" distB="0" distL="0" distR="0" wp14:anchorId="1C578CBF" wp14:editId="65BF4497">
            <wp:extent cx="5848350" cy="6448425"/>
            <wp:effectExtent l="0" t="0" r="0" b="9525"/>
            <wp:docPr id="170"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848350" cy="6448425"/>
                    </a:xfrm>
                    <a:prstGeom prst="rect">
                      <a:avLst/>
                    </a:prstGeom>
                    <a:noFill/>
                    <a:ln>
                      <a:noFill/>
                    </a:ln>
                  </pic:spPr>
                </pic:pic>
              </a:graphicData>
            </a:graphic>
          </wp:inline>
        </w:drawing>
      </w:r>
    </w:p>
    <w:p w:rsidR="00AD77BB" w:rsidRDefault="00AD77BB">
      <w:pPr>
        <w:shd w:val="clear" w:color="auto" w:fill="FFFFFF"/>
        <w:spacing w:line="270" w:lineRule="atLeast"/>
        <w:textAlignment w:val="baseline"/>
        <w:rPr>
          <w:rFonts w:ascii="Calibri" w:eastAsia="Times New Roman" w:hAnsi="Calibri" w:cs="Times New Roman"/>
          <w:color w:val="555555"/>
          <w:sz w:val="27"/>
          <w:szCs w:val="27"/>
        </w:rPr>
      </w:pPr>
    </w:p>
    <w:p w:rsidR="00AD77BB" w:rsidRDefault="00AD77BB">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lastRenderedPageBreak/>
        <w:t>EXAMPLE 11</w:t>
      </w:r>
    </w:p>
    <w:p w:rsidR="00AD77BB" w:rsidRDefault="00B45BA0">
      <w:pPr>
        <w:pStyle w:val="para"/>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Scores on a standardized college entrance examination (</w:t>
      </w:r>
      <w:r>
        <w:rPr>
          <w:rStyle w:val="Emphasis"/>
          <w:rFonts w:ascii="Calibri" w:hAnsi="Calibri"/>
          <w:color w:val="333333"/>
          <w:sz w:val="20"/>
          <w:szCs w:val="20"/>
        </w:rPr>
        <w:t>CEE</w:t>
      </w:r>
      <w:r>
        <w:rPr>
          <w:rFonts w:ascii="Calibri" w:hAnsi="Calibri"/>
          <w:color w:val="333333"/>
          <w:sz w:val="21"/>
          <w:szCs w:val="21"/>
        </w:rPr>
        <w:t>) are normally distributed with mean 510 and standard deviation 60. A selective university considers for admission only applicants with</w:t>
      </w:r>
      <w:r>
        <w:rPr>
          <w:rStyle w:val="apple-converted-space"/>
          <w:rFonts w:ascii="Calibri" w:hAnsi="Calibri"/>
          <w:color w:val="333333"/>
          <w:sz w:val="21"/>
          <w:szCs w:val="21"/>
        </w:rPr>
        <w:t> </w:t>
      </w:r>
      <w:r>
        <w:rPr>
          <w:rStyle w:val="Emphasis"/>
          <w:rFonts w:ascii="Calibri" w:hAnsi="Calibri"/>
          <w:color w:val="333333"/>
          <w:sz w:val="20"/>
          <w:szCs w:val="20"/>
        </w:rPr>
        <w:t>CEE</w:t>
      </w:r>
      <w:r>
        <w:rPr>
          <w:rStyle w:val="apple-converted-space"/>
          <w:rFonts w:ascii="Calibri" w:hAnsi="Calibri"/>
          <w:color w:val="333333"/>
          <w:sz w:val="21"/>
          <w:szCs w:val="21"/>
        </w:rPr>
        <w:t> </w:t>
      </w:r>
      <w:r>
        <w:rPr>
          <w:rFonts w:ascii="Calibri" w:hAnsi="Calibri"/>
          <w:color w:val="333333"/>
          <w:sz w:val="21"/>
          <w:szCs w:val="21"/>
        </w:rPr>
        <w:t>scores over 650. Find percentage of all individuals who took the</w:t>
      </w:r>
      <w:r>
        <w:rPr>
          <w:rStyle w:val="apple-converted-space"/>
          <w:rFonts w:ascii="Calibri" w:hAnsi="Calibri"/>
          <w:color w:val="333333"/>
          <w:sz w:val="21"/>
          <w:szCs w:val="21"/>
        </w:rPr>
        <w:t> </w:t>
      </w:r>
      <w:r>
        <w:rPr>
          <w:rStyle w:val="Emphasis"/>
          <w:rFonts w:ascii="Calibri" w:hAnsi="Calibri"/>
          <w:color w:val="333333"/>
          <w:sz w:val="20"/>
          <w:szCs w:val="20"/>
        </w:rPr>
        <w:t>CEE</w:t>
      </w:r>
      <w:r>
        <w:rPr>
          <w:rStyle w:val="apple-converted-space"/>
          <w:rFonts w:ascii="Calibri" w:hAnsi="Calibri"/>
          <w:color w:val="333333"/>
          <w:sz w:val="21"/>
          <w:szCs w:val="21"/>
        </w:rPr>
        <w:t> </w:t>
      </w:r>
      <w:r>
        <w:rPr>
          <w:rFonts w:ascii="Calibri" w:hAnsi="Calibri"/>
          <w:color w:val="333333"/>
          <w:sz w:val="21"/>
          <w:szCs w:val="21"/>
        </w:rPr>
        <w:t>who meet the university's</w:t>
      </w:r>
      <w:r>
        <w:rPr>
          <w:rStyle w:val="apple-converted-space"/>
          <w:rFonts w:ascii="Calibri" w:hAnsi="Calibri"/>
          <w:color w:val="333333"/>
          <w:sz w:val="21"/>
          <w:szCs w:val="21"/>
        </w:rPr>
        <w:t> </w:t>
      </w:r>
      <w:r>
        <w:rPr>
          <w:rStyle w:val="Emphasis"/>
          <w:rFonts w:ascii="Calibri" w:hAnsi="Calibri"/>
          <w:color w:val="333333"/>
          <w:sz w:val="20"/>
          <w:szCs w:val="20"/>
        </w:rPr>
        <w:t xml:space="preserve">CEE </w:t>
      </w:r>
      <w:r>
        <w:rPr>
          <w:rFonts w:ascii="Calibri" w:hAnsi="Calibri"/>
          <w:color w:val="333333"/>
          <w:sz w:val="21"/>
          <w:szCs w:val="21"/>
        </w:rPr>
        <w:t>requirement for consideration for admission.</w:t>
      </w:r>
    </w:p>
    <w:p w:rsidR="00AD77BB" w:rsidRDefault="00AD77BB">
      <w:pPr>
        <w:pStyle w:val="para"/>
        <w:spacing w:before="0" w:beforeAutospacing="0" w:after="0" w:afterAutospacing="0" w:line="360" w:lineRule="auto"/>
        <w:ind w:left="302" w:right="374"/>
        <w:textAlignment w:val="baseline"/>
        <w:rPr>
          <w:rFonts w:ascii="Calibri" w:hAnsi="Calibri"/>
          <w:color w:val="333333"/>
          <w:sz w:val="21"/>
          <w:szCs w:val="21"/>
        </w:rPr>
      </w:pPr>
    </w:p>
    <w:p w:rsidR="00AD77BB" w:rsidRDefault="00B45BA0">
      <w:pPr>
        <w:pStyle w:val="simpara"/>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Solution:</w:t>
      </w:r>
    </w:p>
    <w:p w:rsidR="00AD77BB" w:rsidRDefault="00AD77BB">
      <w:pPr>
        <w:pStyle w:val="simpara"/>
        <w:spacing w:before="150" w:beforeAutospacing="0" w:after="0" w:afterAutospacing="0" w:line="360" w:lineRule="auto"/>
        <w:ind w:left="302" w:right="374"/>
        <w:textAlignment w:val="baseline"/>
        <w:rPr>
          <w:rFonts w:ascii="Calibri" w:hAnsi="Calibri"/>
          <w:color w:val="333333"/>
          <w:sz w:val="21"/>
          <w:szCs w:val="21"/>
        </w:rPr>
      </w:pPr>
    </w:p>
    <w:p w:rsidR="00AD77BB" w:rsidRDefault="00B45BA0">
      <w:pPr>
        <w:pStyle w:val="para"/>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Let</w:t>
      </w:r>
      <w:r>
        <w:rPr>
          <w:rStyle w:val="apple-converted-space"/>
          <w:rFonts w:ascii="Calibri" w:hAnsi="Calibri"/>
          <w:color w:val="333333"/>
          <w:sz w:val="21"/>
          <w:szCs w:val="21"/>
        </w:rPr>
        <w:t> </w:t>
      </w:r>
      <w:r>
        <w:rPr>
          <w:rStyle w:val="Emphasis"/>
          <w:rFonts w:ascii="Calibri" w:hAnsi="Calibri"/>
          <w:color w:val="333333"/>
          <w:sz w:val="20"/>
          <w:szCs w:val="20"/>
        </w:rPr>
        <w:t>X</w:t>
      </w:r>
      <w:r>
        <w:rPr>
          <w:rStyle w:val="apple-converted-space"/>
          <w:rFonts w:ascii="Calibri" w:hAnsi="Calibri"/>
          <w:color w:val="333333"/>
          <w:sz w:val="21"/>
          <w:szCs w:val="21"/>
        </w:rPr>
        <w:t> </w:t>
      </w:r>
      <w:r>
        <w:rPr>
          <w:rFonts w:ascii="Calibri" w:hAnsi="Calibri"/>
          <w:color w:val="333333"/>
          <w:sz w:val="21"/>
          <w:szCs w:val="21"/>
        </w:rPr>
        <w:t>denote the score made on the</w:t>
      </w:r>
      <w:r>
        <w:rPr>
          <w:rStyle w:val="apple-converted-space"/>
          <w:rFonts w:ascii="Calibri" w:hAnsi="Calibri"/>
          <w:color w:val="333333"/>
          <w:sz w:val="21"/>
          <w:szCs w:val="21"/>
        </w:rPr>
        <w:t> </w:t>
      </w:r>
      <w:r>
        <w:rPr>
          <w:rStyle w:val="Emphasis"/>
          <w:rFonts w:ascii="Calibri" w:hAnsi="Calibri"/>
          <w:color w:val="333333"/>
          <w:sz w:val="20"/>
          <w:szCs w:val="20"/>
        </w:rPr>
        <w:t>CEE</w:t>
      </w:r>
      <w:r>
        <w:rPr>
          <w:rStyle w:val="apple-converted-space"/>
          <w:rFonts w:ascii="Calibri" w:hAnsi="Calibri"/>
          <w:color w:val="333333"/>
          <w:sz w:val="21"/>
          <w:szCs w:val="21"/>
        </w:rPr>
        <w:t> </w:t>
      </w:r>
      <w:r>
        <w:rPr>
          <w:rFonts w:ascii="Calibri" w:hAnsi="Calibri"/>
          <w:color w:val="333333"/>
          <w:sz w:val="21"/>
          <w:szCs w:val="21"/>
        </w:rPr>
        <w:t>by a randomly selected individual. Then</w:t>
      </w:r>
      <w:r>
        <w:rPr>
          <w:rStyle w:val="apple-converted-space"/>
          <w:rFonts w:ascii="Calibri" w:hAnsi="Calibri"/>
          <w:color w:val="333333"/>
          <w:sz w:val="21"/>
          <w:szCs w:val="21"/>
        </w:rPr>
        <w:t> </w:t>
      </w:r>
      <w:r>
        <w:rPr>
          <w:rStyle w:val="Emphasis"/>
          <w:rFonts w:ascii="Calibri" w:hAnsi="Calibri"/>
          <w:color w:val="333333"/>
          <w:sz w:val="20"/>
          <w:szCs w:val="20"/>
        </w:rPr>
        <w:t>X</w:t>
      </w:r>
      <w:r>
        <w:rPr>
          <w:rFonts w:ascii="Calibri" w:hAnsi="Calibri"/>
          <w:color w:val="333333"/>
          <w:sz w:val="21"/>
          <w:szCs w:val="21"/>
        </w:rPr>
        <w:t>is normally distributed with mean 510 and standard deviation 60. The probability that</w:t>
      </w:r>
      <w:r>
        <w:rPr>
          <w:rStyle w:val="apple-converted-space"/>
          <w:rFonts w:ascii="Calibri" w:hAnsi="Calibri"/>
          <w:color w:val="333333"/>
          <w:sz w:val="21"/>
          <w:szCs w:val="21"/>
        </w:rPr>
        <w:t> </w:t>
      </w:r>
      <w:r>
        <w:rPr>
          <w:rStyle w:val="Emphasis"/>
          <w:rFonts w:ascii="Calibri" w:hAnsi="Calibri"/>
          <w:color w:val="333333"/>
          <w:sz w:val="20"/>
          <w:szCs w:val="20"/>
        </w:rPr>
        <w:t>X</w:t>
      </w:r>
      <w:r>
        <w:rPr>
          <w:rStyle w:val="apple-converted-space"/>
          <w:rFonts w:ascii="Calibri" w:hAnsi="Calibri"/>
          <w:color w:val="333333"/>
          <w:sz w:val="21"/>
          <w:szCs w:val="21"/>
        </w:rPr>
        <w:t> </w:t>
      </w:r>
      <w:r>
        <w:rPr>
          <w:rFonts w:ascii="Calibri" w:hAnsi="Calibri"/>
          <w:color w:val="333333"/>
          <w:sz w:val="21"/>
          <w:szCs w:val="21"/>
        </w:rPr>
        <w:t>lie in a particular interval is the same as the proportion of all exam scores that lie in that interval. Thus the solution to the problem is</w:t>
      </w:r>
      <w:r>
        <w:rPr>
          <w:rStyle w:val="apple-converted-space"/>
          <w:rFonts w:ascii="Calibri" w:hAnsi="Calibri"/>
          <w:color w:val="333333"/>
          <w:sz w:val="21"/>
          <w:szCs w:val="21"/>
        </w:rPr>
        <w:t> </w:t>
      </w:r>
      <w:r>
        <w:rPr>
          <w:rStyle w:val="Emphasis"/>
          <w:rFonts w:ascii="Calibri" w:hAnsi="Calibri"/>
          <w:color w:val="333333"/>
          <w:sz w:val="20"/>
          <w:szCs w:val="20"/>
        </w:rPr>
        <w:t>P</w:t>
      </w:r>
      <w:r>
        <w:rPr>
          <w:rFonts w:ascii="Calibri" w:hAnsi="Calibri"/>
          <w:color w:val="333333"/>
          <w:sz w:val="21"/>
          <w:szCs w:val="21"/>
        </w:rPr>
        <w:t>(</w:t>
      </w:r>
      <w:r>
        <w:rPr>
          <w:rStyle w:val="Emphasis"/>
          <w:rFonts w:ascii="Calibri" w:hAnsi="Calibri"/>
          <w:color w:val="333333"/>
          <w:sz w:val="20"/>
          <w:szCs w:val="20"/>
        </w:rPr>
        <w:t>X</w:t>
      </w:r>
      <w:r>
        <w:rPr>
          <w:rStyle w:val="apple-converted-space"/>
          <w:rFonts w:ascii="Calibri" w:hAnsi="Calibri"/>
          <w:color w:val="333333"/>
          <w:sz w:val="21"/>
          <w:szCs w:val="21"/>
        </w:rPr>
        <w:t> </w:t>
      </w:r>
      <w:r>
        <w:rPr>
          <w:rFonts w:ascii="Calibri" w:hAnsi="Calibri"/>
          <w:color w:val="333333"/>
          <w:sz w:val="21"/>
          <w:szCs w:val="21"/>
        </w:rPr>
        <w:t>&gt; 650), expressed as a percentage.</w:t>
      </w:r>
      <w:r>
        <w:rPr>
          <w:rStyle w:val="apple-converted-space"/>
          <w:rFonts w:ascii="Calibri" w:hAnsi="Calibri"/>
          <w:color w:val="333333"/>
          <w:sz w:val="21"/>
          <w:szCs w:val="21"/>
        </w:rPr>
        <w:t> </w:t>
      </w:r>
      <w:r>
        <w:rPr>
          <w:rFonts w:ascii="Calibri" w:hAnsi="Calibri"/>
          <w:color w:val="2689C6"/>
          <w:sz w:val="21"/>
          <w:szCs w:val="21"/>
        </w:rPr>
        <w:t>Figure 5.18 "Probability Computation for Exam Scores"</w:t>
      </w:r>
      <w:r>
        <w:rPr>
          <w:rStyle w:val="apple-converted-space"/>
          <w:rFonts w:ascii="Calibri" w:hAnsi="Calibri"/>
          <w:color w:val="333333"/>
          <w:sz w:val="21"/>
          <w:szCs w:val="21"/>
        </w:rPr>
        <w:t> </w:t>
      </w:r>
      <w:r>
        <w:rPr>
          <w:rFonts w:ascii="Calibri" w:hAnsi="Calibri"/>
          <w:color w:val="333333"/>
          <w:sz w:val="21"/>
          <w:szCs w:val="21"/>
        </w:rPr>
        <w:t>illustrates the following computation:</w:t>
      </w:r>
    </w:p>
    <w:p w:rsidR="00AD77BB" w:rsidRDefault="00B45BA0">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75B74073" wp14:editId="123075B0">
            <wp:extent cx="4391025" cy="4676775"/>
            <wp:effectExtent l="0" t="0" r="9525" b="9525"/>
            <wp:docPr id="171"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391025" cy="4676775"/>
                    </a:xfrm>
                    <a:prstGeom prst="rect">
                      <a:avLst/>
                    </a:prstGeom>
                    <a:noFill/>
                    <a:ln>
                      <a:noFill/>
                    </a:ln>
                  </pic:spPr>
                </pic:pic>
              </a:graphicData>
            </a:graphic>
          </wp:inline>
        </w:drawing>
      </w: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lastRenderedPageBreak/>
        <w:t>KEY TAKEAWAY</w:t>
      </w:r>
    </w:p>
    <w:p w:rsidR="00AD77BB" w:rsidRDefault="00B45BA0">
      <w:pPr>
        <w:numPr>
          <w:ilvl w:val="0"/>
          <w:numId w:val="138"/>
        </w:numPr>
        <w:shd w:val="clear" w:color="auto" w:fill="ECF9EA"/>
        <w:spacing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Probabilities for a general normal random variable are computed using</w:t>
      </w:r>
      <w:r>
        <w:rPr>
          <w:rFonts w:ascii="Calibri" w:eastAsia="Times New Roman" w:hAnsi="Calibri" w:cs="Times New Roman"/>
          <w:color w:val="2689C6"/>
          <w:sz w:val="20"/>
          <w:szCs w:val="20"/>
        </w:rPr>
        <w:t>Figure 12.2 "Cumulative Normal Probability"</w:t>
      </w:r>
      <w:r>
        <w:rPr>
          <w:rFonts w:ascii="Calibri" w:eastAsia="Times New Roman" w:hAnsi="Calibri" w:cs="Times New Roman"/>
          <w:color w:val="333333"/>
          <w:sz w:val="20"/>
          <w:szCs w:val="20"/>
        </w:rPr>
        <w:t> after converting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-values to </w:t>
      </w:r>
      <w:r>
        <w:rPr>
          <w:rFonts w:ascii="Calibri" w:eastAsia="Times New Roman" w:hAnsi="Calibri" w:cs="Times New Roman"/>
          <w:i/>
          <w:iCs/>
          <w:color w:val="333333"/>
          <w:sz w:val="20"/>
          <w:szCs w:val="20"/>
        </w:rPr>
        <w:t>z</w:t>
      </w:r>
      <w:r>
        <w:rPr>
          <w:rFonts w:ascii="Calibri" w:eastAsia="Times New Roman" w:hAnsi="Calibri" w:cs="Times New Roman"/>
          <w:color w:val="333333"/>
          <w:sz w:val="20"/>
          <w:szCs w:val="20"/>
        </w:rPr>
        <w:t>-scores.</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rPr>
      </w:pPr>
      <w:r>
        <w:rPr>
          <w:rFonts w:ascii="Calibri" w:eastAsia="Times New Roman" w:hAnsi="Calibri" w:cs="Times New Roman"/>
          <w:b/>
          <w:bCs/>
          <w:caps/>
          <w:color w:val="FFFFFF"/>
          <w:spacing w:val="30"/>
        </w:rPr>
        <w:t>BASIC</w:t>
      </w:r>
    </w:p>
    <w:p w:rsidR="00AD77BB" w:rsidRDefault="00B45BA0">
      <w:pPr>
        <w:numPr>
          <w:ilvl w:val="0"/>
          <w:numId w:val="139"/>
        </w:numPr>
        <w:shd w:val="clear" w:color="auto" w:fill="E3EFF7"/>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a normally distributed random variable with mean 57 and standard deviation 6. Find the probability indicated.</w:t>
      </w:r>
    </w:p>
    <w:p w:rsidR="00AD77BB" w:rsidRDefault="00B45BA0">
      <w:pPr>
        <w:numPr>
          <w:ilvl w:val="1"/>
          <w:numId w:val="139"/>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&lt; 59.5)</w:t>
      </w:r>
    </w:p>
    <w:p w:rsidR="00AD77BB" w:rsidRDefault="00B45BA0">
      <w:pPr>
        <w:numPr>
          <w:ilvl w:val="1"/>
          <w:numId w:val="139"/>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&lt; 46.2)</w:t>
      </w:r>
    </w:p>
    <w:p w:rsidR="00AD77BB" w:rsidRDefault="00B45BA0">
      <w:pPr>
        <w:numPr>
          <w:ilvl w:val="1"/>
          <w:numId w:val="139"/>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&gt; 52.2)</w:t>
      </w:r>
    </w:p>
    <w:p w:rsidR="00AD77BB" w:rsidRDefault="00B45BA0">
      <w:pPr>
        <w:numPr>
          <w:ilvl w:val="1"/>
          <w:numId w:val="139"/>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&gt; 70)</w:t>
      </w:r>
    </w:p>
    <w:p w:rsidR="00AD77BB" w:rsidRDefault="00B45BA0">
      <w:pPr>
        <w:numPr>
          <w:ilvl w:val="0"/>
          <w:numId w:val="139"/>
        </w:numPr>
        <w:shd w:val="clear" w:color="auto" w:fill="E3EFF7"/>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a normally distributed random variable with mean −25 and standard deviation 4. Find the probability indicated.</w:t>
      </w:r>
    </w:p>
    <w:p w:rsidR="00AD77BB" w:rsidRDefault="00B45BA0">
      <w:pPr>
        <w:numPr>
          <w:ilvl w:val="1"/>
          <w:numId w:val="139"/>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&lt; −27.2)</w:t>
      </w:r>
    </w:p>
    <w:p w:rsidR="00AD77BB" w:rsidRDefault="00B45BA0">
      <w:pPr>
        <w:numPr>
          <w:ilvl w:val="1"/>
          <w:numId w:val="139"/>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&lt; −14.8)</w:t>
      </w:r>
    </w:p>
    <w:p w:rsidR="00AD77BB" w:rsidRDefault="00B45BA0">
      <w:pPr>
        <w:numPr>
          <w:ilvl w:val="1"/>
          <w:numId w:val="139"/>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&gt; −33.1)</w:t>
      </w:r>
    </w:p>
    <w:p w:rsidR="00AD77BB" w:rsidRDefault="00B45BA0">
      <w:pPr>
        <w:numPr>
          <w:ilvl w:val="1"/>
          <w:numId w:val="139"/>
        </w:numPr>
        <w:shd w:val="clear" w:color="auto" w:fill="DAEEF3" w:themeFill="accent5" w:themeFillTint="33"/>
        <w:spacing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&gt; −16.5)</w:t>
      </w:r>
    </w:p>
    <w:p w:rsidR="00AD77BB" w:rsidRDefault="00B45BA0">
      <w:pPr>
        <w:numPr>
          <w:ilvl w:val="0"/>
          <w:numId w:val="13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a normally distributed random variable with mean 112 and standard deviation 15. Find the probability indicated.</w:t>
      </w:r>
    </w:p>
    <w:p w:rsidR="00AD77BB" w:rsidRDefault="00B45BA0">
      <w:pPr>
        <w:numPr>
          <w:ilvl w:val="1"/>
          <w:numId w:val="139"/>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(100&lt;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&lt;125)</w:t>
      </w:r>
    </w:p>
    <w:p w:rsidR="00AD77BB" w:rsidRDefault="00B45BA0">
      <w:pPr>
        <w:numPr>
          <w:ilvl w:val="1"/>
          <w:numId w:val="139"/>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(91&lt;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&lt;107)</w:t>
      </w:r>
    </w:p>
    <w:p w:rsidR="00AD77BB" w:rsidRDefault="00B45BA0">
      <w:pPr>
        <w:numPr>
          <w:ilvl w:val="1"/>
          <w:numId w:val="139"/>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(118&lt;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&lt;160)</w:t>
      </w:r>
    </w:p>
    <w:p w:rsidR="00AD77BB" w:rsidRDefault="00B45BA0">
      <w:pPr>
        <w:numPr>
          <w:ilvl w:val="0"/>
          <w:numId w:val="13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a normally distributed random variable with mean 72 and standard deviation 22. Find the probability indicated.</w:t>
      </w:r>
    </w:p>
    <w:p w:rsidR="00AD77BB" w:rsidRDefault="00B45BA0">
      <w:pPr>
        <w:numPr>
          <w:ilvl w:val="1"/>
          <w:numId w:val="139"/>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(78&lt;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&lt;127)</w:t>
      </w:r>
    </w:p>
    <w:p w:rsidR="00AD77BB" w:rsidRDefault="00B45BA0">
      <w:pPr>
        <w:numPr>
          <w:ilvl w:val="1"/>
          <w:numId w:val="139"/>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(60&lt;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&lt;90)</w:t>
      </w:r>
    </w:p>
    <w:p w:rsidR="00AD77BB" w:rsidRDefault="00B45BA0">
      <w:pPr>
        <w:numPr>
          <w:ilvl w:val="1"/>
          <w:numId w:val="139"/>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(49&lt;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&lt;71)</w:t>
      </w:r>
    </w:p>
    <w:p w:rsidR="00AD77BB" w:rsidRDefault="00B45BA0">
      <w:pPr>
        <w:numPr>
          <w:ilvl w:val="0"/>
          <w:numId w:val="13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a normally distributed random variable with mean 500 and standard deviation 25. Find the probability indicated.</w:t>
      </w:r>
    </w:p>
    <w:p w:rsidR="00AD77BB" w:rsidRDefault="00B45BA0">
      <w:pPr>
        <w:numPr>
          <w:ilvl w:val="1"/>
          <w:numId w:val="13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&lt; 400)</w:t>
      </w:r>
    </w:p>
    <w:p w:rsidR="00AD77BB" w:rsidRDefault="00B45BA0">
      <w:pPr>
        <w:numPr>
          <w:ilvl w:val="1"/>
          <w:numId w:val="139"/>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(466&lt;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&lt;625)</w:t>
      </w:r>
    </w:p>
    <w:p w:rsidR="00AD77BB" w:rsidRDefault="00B45BA0">
      <w:pPr>
        <w:pStyle w:val="para"/>
        <w:numPr>
          <w:ilvl w:val="0"/>
          <w:numId w:val="139"/>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is a normally distributed random variable with mean 0 and standard deviation 0.75. Find the probability indicated.</w:t>
      </w:r>
    </w:p>
    <w:p w:rsidR="00AD77BB" w:rsidRDefault="00B45BA0">
      <w:pPr>
        <w:numPr>
          <w:ilvl w:val="1"/>
          <w:numId w:val="139"/>
        </w:numPr>
        <w:shd w:val="clear" w:color="auto" w:fill="DAEEF3" w:themeFill="accent5" w:themeFillTint="33"/>
        <w:spacing w:after="0" w:line="360" w:lineRule="auto"/>
        <w:textAlignment w:val="baseline"/>
        <w:rPr>
          <w:rFonts w:ascii="Calibri" w:hAnsi="Calibri"/>
          <w:color w:val="333333"/>
          <w:sz w:val="20"/>
          <w:szCs w:val="20"/>
        </w:rPr>
      </w:pPr>
      <w:r>
        <w:rPr>
          <w:rStyle w:val="Emphasis"/>
          <w:rFonts w:ascii="Calibri" w:hAnsi="Calibri"/>
          <w:color w:val="333333"/>
          <w:sz w:val="20"/>
          <w:szCs w:val="20"/>
        </w:rPr>
        <w:t>P</w:t>
      </w:r>
      <w:r>
        <w:rPr>
          <w:rFonts w:ascii="Calibri" w:hAnsi="Calibri"/>
          <w:color w:val="333333"/>
          <w:sz w:val="20"/>
          <w:szCs w:val="20"/>
        </w:rPr>
        <w:t>(−4.02 &lt;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&lt; 3.82)</w:t>
      </w:r>
    </w:p>
    <w:p w:rsidR="00AD77BB" w:rsidRDefault="00B45BA0">
      <w:pPr>
        <w:numPr>
          <w:ilvl w:val="1"/>
          <w:numId w:val="139"/>
        </w:numPr>
        <w:shd w:val="clear" w:color="auto" w:fill="DAEEF3" w:themeFill="accent5" w:themeFillTint="33"/>
        <w:spacing w:after="0" w:line="360" w:lineRule="auto"/>
        <w:textAlignment w:val="baseline"/>
        <w:rPr>
          <w:rFonts w:ascii="Calibri" w:hAnsi="Calibri"/>
          <w:color w:val="333333"/>
          <w:sz w:val="20"/>
          <w:szCs w:val="20"/>
        </w:rPr>
      </w:pP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&gt; 4.11)</w:t>
      </w:r>
    </w:p>
    <w:p w:rsidR="00AD77BB" w:rsidRDefault="00B45BA0">
      <w:pPr>
        <w:pStyle w:val="para"/>
        <w:numPr>
          <w:ilvl w:val="0"/>
          <w:numId w:val="139"/>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Style w:val="Emphasis"/>
          <w:rFonts w:ascii="Calibri" w:hAnsi="Calibri"/>
          <w:color w:val="333333"/>
          <w:sz w:val="20"/>
          <w:szCs w:val="20"/>
        </w:rPr>
        <w:lastRenderedPageBreak/>
        <w:t>X</w:t>
      </w:r>
      <w:r>
        <w:rPr>
          <w:rStyle w:val="apple-converted-space"/>
          <w:rFonts w:ascii="Calibri" w:hAnsi="Calibri"/>
          <w:color w:val="333333"/>
          <w:sz w:val="20"/>
          <w:szCs w:val="20"/>
        </w:rPr>
        <w:t> </w:t>
      </w:r>
      <w:r>
        <w:rPr>
          <w:rFonts w:ascii="Calibri" w:hAnsi="Calibri"/>
          <w:color w:val="333333"/>
          <w:sz w:val="20"/>
          <w:szCs w:val="20"/>
        </w:rPr>
        <w:t>is a normally distributed random variable with mean 15 and standard deviation 1. Use</w:t>
      </w:r>
      <w:r>
        <w:rPr>
          <w:rStyle w:val="apple-converted-space"/>
          <w:rFonts w:ascii="Calibri" w:hAnsi="Calibri"/>
          <w:color w:val="333333"/>
          <w:sz w:val="20"/>
          <w:szCs w:val="20"/>
        </w:rPr>
        <w:t> </w:t>
      </w:r>
      <w:r>
        <w:rPr>
          <w:rFonts w:ascii="Calibri" w:hAnsi="Calibri"/>
          <w:color w:val="2689C6"/>
          <w:sz w:val="20"/>
          <w:szCs w:val="20"/>
        </w:rPr>
        <w:t>Figure 12.2 "Cumulative Normal Probability"</w:t>
      </w:r>
      <w:r>
        <w:rPr>
          <w:rStyle w:val="apple-converted-space"/>
          <w:rFonts w:ascii="Calibri" w:hAnsi="Calibri"/>
          <w:color w:val="333333"/>
          <w:sz w:val="20"/>
          <w:szCs w:val="20"/>
        </w:rPr>
        <w:t> </w:t>
      </w:r>
      <w:r>
        <w:rPr>
          <w:rFonts w:ascii="Calibri" w:hAnsi="Calibri"/>
          <w:color w:val="333333"/>
          <w:sz w:val="20"/>
          <w:szCs w:val="20"/>
        </w:rPr>
        <w:t>to find the first probability listed. Find the second probability using the symmetry of the density curve. Sketch the density curve with relevant regions shaded to illustrate the computation.</w:t>
      </w:r>
    </w:p>
    <w:p w:rsidR="00AD77BB" w:rsidRDefault="00B45BA0">
      <w:pPr>
        <w:numPr>
          <w:ilvl w:val="1"/>
          <w:numId w:val="139"/>
        </w:numPr>
        <w:shd w:val="clear" w:color="auto" w:fill="DAEEF3" w:themeFill="accent5" w:themeFillTint="33"/>
        <w:spacing w:after="0" w:line="360" w:lineRule="auto"/>
        <w:textAlignment w:val="baseline"/>
        <w:rPr>
          <w:rFonts w:ascii="Calibri" w:hAnsi="Calibri"/>
          <w:color w:val="333333"/>
          <w:sz w:val="20"/>
          <w:szCs w:val="20"/>
        </w:rPr>
      </w:pP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&lt; 12),</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&gt; 18)</w:t>
      </w:r>
    </w:p>
    <w:p w:rsidR="00AD77BB" w:rsidRDefault="00B45BA0">
      <w:pPr>
        <w:numPr>
          <w:ilvl w:val="1"/>
          <w:numId w:val="139"/>
        </w:numPr>
        <w:shd w:val="clear" w:color="auto" w:fill="DAEEF3" w:themeFill="accent5" w:themeFillTint="33"/>
        <w:spacing w:after="0" w:line="360" w:lineRule="auto"/>
        <w:textAlignment w:val="baseline"/>
        <w:rPr>
          <w:rFonts w:ascii="Calibri" w:hAnsi="Calibri"/>
          <w:color w:val="333333"/>
          <w:sz w:val="20"/>
          <w:szCs w:val="20"/>
        </w:rPr>
      </w:pP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&lt; 14),</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&gt; 16)</w:t>
      </w:r>
    </w:p>
    <w:p w:rsidR="00AD77BB" w:rsidRDefault="00B45BA0">
      <w:pPr>
        <w:numPr>
          <w:ilvl w:val="1"/>
          <w:numId w:val="139"/>
        </w:numPr>
        <w:shd w:val="clear" w:color="auto" w:fill="DAEEF3" w:themeFill="accent5" w:themeFillTint="33"/>
        <w:spacing w:after="0" w:line="360" w:lineRule="auto"/>
        <w:textAlignment w:val="baseline"/>
        <w:rPr>
          <w:rFonts w:ascii="Calibri" w:hAnsi="Calibri"/>
          <w:color w:val="333333"/>
          <w:sz w:val="20"/>
          <w:szCs w:val="20"/>
        </w:rPr>
      </w:pP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&lt; 11.25),</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&gt; 18.75)</w:t>
      </w:r>
    </w:p>
    <w:p w:rsidR="00AD77BB" w:rsidRDefault="00B45BA0">
      <w:pPr>
        <w:numPr>
          <w:ilvl w:val="1"/>
          <w:numId w:val="139"/>
        </w:numPr>
        <w:shd w:val="clear" w:color="auto" w:fill="DAEEF3" w:themeFill="accent5" w:themeFillTint="33"/>
        <w:spacing w:after="0" w:line="360" w:lineRule="auto"/>
        <w:textAlignment w:val="baseline"/>
        <w:rPr>
          <w:rFonts w:ascii="Calibri" w:hAnsi="Calibri"/>
          <w:color w:val="333333"/>
          <w:sz w:val="20"/>
          <w:szCs w:val="20"/>
        </w:rPr>
      </w:pP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&lt; 12.67),</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&gt; 17.33)</w:t>
      </w:r>
    </w:p>
    <w:p w:rsidR="00AD77BB" w:rsidRDefault="00B45BA0">
      <w:pPr>
        <w:pStyle w:val="para"/>
        <w:numPr>
          <w:ilvl w:val="0"/>
          <w:numId w:val="139"/>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is a normally distributed random variable with mean 100 and standard deviation 10. Use</w:t>
      </w:r>
      <w:r>
        <w:rPr>
          <w:rStyle w:val="apple-converted-space"/>
          <w:rFonts w:ascii="Calibri" w:hAnsi="Calibri"/>
          <w:color w:val="333333"/>
          <w:sz w:val="20"/>
          <w:szCs w:val="20"/>
        </w:rPr>
        <w:t> </w:t>
      </w:r>
      <w:r>
        <w:rPr>
          <w:rFonts w:ascii="Calibri" w:hAnsi="Calibri"/>
          <w:color w:val="2689C6"/>
          <w:sz w:val="20"/>
          <w:szCs w:val="20"/>
        </w:rPr>
        <w:t>Figure 12.2 "Cumulative Normal Probability"</w:t>
      </w:r>
      <w:r>
        <w:rPr>
          <w:rStyle w:val="apple-converted-space"/>
          <w:rFonts w:ascii="Calibri" w:hAnsi="Calibri"/>
          <w:color w:val="333333"/>
          <w:sz w:val="20"/>
          <w:szCs w:val="20"/>
        </w:rPr>
        <w:t> </w:t>
      </w:r>
      <w:r>
        <w:rPr>
          <w:rFonts w:ascii="Calibri" w:hAnsi="Calibri"/>
          <w:color w:val="333333"/>
          <w:sz w:val="20"/>
          <w:szCs w:val="20"/>
        </w:rPr>
        <w:t>to find the first probability listed. Find the second probability using the symmetry of the density curve. Sketch the density curve with relevant regions shaded to illustrate the computation.</w:t>
      </w:r>
    </w:p>
    <w:p w:rsidR="00AD77BB" w:rsidRDefault="00B45BA0">
      <w:pPr>
        <w:numPr>
          <w:ilvl w:val="1"/>
          <w:numId w:val="139"/>
        </w:numPr>
        <w:shd w:val="clear" w:color="auto" w:fill="DAEEF3" w:themeFill="accent5" w:themeFillTint="33"/>
        <w:spacing w:after="0" w:line="360" w:lineRule="auto"/>
        <w:textAlignment w:val="baseline"/>
        <w:rPr>
          <w:rFonts w:ascii="Calibri" w:hAnsi="Calibri"/>
          <w:color w:val="333333"/>
          <w:sz w:val="20"/>
          <w:szCs w:val="20"/>
        </w:rPr>
      </w:pP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&lt; 80),</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&gt; 120)</w:t>
      </w:r>
    </w:p>
    <w:p w:rsidR="00AD77BB" w:rsidRDefault="00B45BA0">
      <w:pPr>
        <w:numPr>
          <w:ilvl w:val="1"/>
          <w:numId w:val="139"/>
        </w:numPr>
        <w:shd w:val="clear" w:color="auto" w:fill="DAEEF3" w:themeFill="accent5" w:themeFillTint="33"/>
        <w:spacing w:after="0" w:line="360" w:lineRule="auto"/>
        <w:textAlignment w:val="baseline"/>
        <w:rPr>
          <w:rFonts w:ascii="Calibri" w:hAnsi="Calibri"/>
          <w:color w:val="333333"/>
          <w:sz w:val="20"/>
          <w:szCs w:val="20"/>
        </w:rPr>
      </w:pP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&lt; 75),</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&gt; 125)</w:t>
      </w:r>
    </w:p>
    <w:p w:rsidR="00AD77BB" w:rsidRDefault="00B45BA0">
      <w:pPr>
        <w:numPr>
          <w:ilvl w:val="1"/>
          <w:numId w:val="139"/>
        </w:numPr>
        <w:shd w:val="clear" w:color="auto" w:fill="DAEEF3" w:themeFill="accent5" w:themeFillTint="33"/>
        <w:spacing w:after="0" w:line="360" w:lineRule="auto"/>
        <w:textAlignment w:val="baseline"/>
        <w:rPr>
          <w:rFonts w:ascii="Calibri" w:hAnsi="Calibri"/>
          <w:color w:val="333333"/>
          <w:sz w:val="20"/>
          <w:szCs w:val="20"/>
        </w:rPr>
      </w:pP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&lt; 84.55),</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&gt; 115.45)</w:t>
      </w:r>
    </w:p>
    <w:p w:rsidR="00AD77BB" w:rsidRDefault="00B45BA0">
      <w:pPr>
        <w:numPr>
          <w:ilvl w:val="1"/>
          <w:numId w:val="139"/>
        </w:numPr>
        <w:shd w:val="clear" w:color="auto" w:fill="DAEEF3" w:themeFill="accent5" w:themeFillTint="33"/>
        <w:spacing w:after="0" w:line="360" w:lineRule="auto"/>
        <w:textAlignment w:val="baseline"/>
        <w:rPr>
          <w:rFonts w:ascii="Calibri" w:hAnsi="Calibri"/>
          <w:color w:val="333333"/>
          <w:sz w:val="20"/>
          <w:szCs w:val="20"/>
        </w:rPr>
      </w:pP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&lt; 77.42),</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&gt; 122.58)</w:t>
      </w:r>
    </w:p>
    <w:p w:rsidR="00AD77BB" w:rsidRDefault="00B45BA0">
      <w:pPr>
        <w:pStyle w:val="para"/>
        <w:numPr>
          <w:ilvl w:val="0"/>
          <w:numId w:val="139"/>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is a normally distributed random variable with mean 67 and standard deviation 13. The probability that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takes a value in the union of intervals</w:t>
      </w:r>
      <w:r>
        <w:rPr>
          <w:rStyle w:val="apple-converted-space"/>
          <w:rFonts w:ascii="Calibri" w:hAnsi="Calibri"/>
          <w:color w:val="333333"/>
          <w:sz w:val="20"/>
          <w:szCs w:val="20"/>
        </w:rPr>
        <w:t> </w:t>
      </w:r>
      <w:r>
        <w:rPr>
          <w:rStyle w:val="mo"/>
          <w:rFonts w:ascii="MathJax_Main" w:hAnsi="MathJax_Main"/>
          <w:b/>
          <w:color w:val="333333"/>
          <w:sz w:val="15"/>
          <w:szCs w:val="15"/>
        </w:rPr>
        <w:t>(</w:t>
      </w:r>
      <w:r>
        <w:rPr>
          <w:rStyle w:val="mtext"/>
          <w:rFonts w:ascii="MathJax_Main" w:hAnsi="MathJax_Main"/>
          <w:b/>
          <w:color w:val="333333"/>
          <w:sz w:val="15"/>
          <w:szCs w:val="15"/>
        </w:rPr>
        <w:t>−</w:t>
      </w:r>
      <w:r>
        <w:rPr>
          <w:rStyle w:val="mi"/>
          <w:rFonts w:ascii="MathJax_Main" w:hAnsi="MathJax_Main"/>
          <w:b/>
          <w:color w:val="333333"/>
          <w:sz w:val="15"/>
          <w:szCs w:val="15"/>
        </w:rPr>
        <w:t>∞</w:t>
      </w:r>
      <w:r>
        <w:rPr>
          <w:rStyle w:val="mo"/>
          <w:rFonts w:ascii="MathJax_Main" w:hAnsi="MathJax_Main"/>
          <w:b/>
          <w:color w:val="333333"/>
          <w:sz w:val="15"/>
          <w:szCs w:val="15"/>
        </w:rPr>
        <w:t>,</w:t>
      </w:r>
      <w:r>
        <w:rPr>
          <w:rStyle w:val="mn"/>
          <w:rFonts w:ascii="MathJax_Main" w:hAnsi="MathJax_Main"/>
          <w:b/>
          <w:color w:val="333333"/>
          <w:sz w:val="15"/>
          <w:szCs w:val="15"/>
        </w:rPr>
        <w:t>67</w:t>
      </w:r>
      <w:r>
        <w:rPr>
          <w:rStyle w:val="mo"/>
          <w:rFonts w:ascii="MathJax_Main" w:hAnsi="MathJax_Main"/>
          <w:b/>
          <w:color w:val="333333"/>
          <w:sz w:val="15"/>
          <w:szCs w:val="15"/>
        </w:rPr>
        <w:t>−</w:t>
      </w:r>
      <w:r>
        <w:rPr>
          <w:rStyle w:val="mi"/>
          <w:rFonts w:ascii="MathJax_Math" w:hAnsi="MathJax_Math"/>
          <w:b/>
          <w:i/>
          <w:iCs/>
          <w:color w:val="333333"/>
          <w:sz w:val="15"/>
          <w:szCs w:val="15"/>
        </w:rPr>
        <w:t>a</w:t>
      </w:r>
      <w:r>
        <w:rPr>
          <w:rStyle w:val="mo"/>
          <w:rFonts w:ascii="MathJax_Main" w:hAnsi="MathJax_Main"/>
          <w:b/>
          <w:color w:val="333333"/>
          <w:sz w:val="15"/>
          <w:szCs w:val="15"/>
        </w:rPr>
        <w:t xml:space="preserve">] </w:t>
      </w:r>
      <w:r>
        <w:rPr>
          <w:rStyle w:val="mo"/>
          <w:rFonts w:ascii="Cambria Math" w:hAnsi="Cambria Math" w:cs="Cambria Math"/>
          <w:b/>
          <w:color w:val="333333"/>
          <w:sz w:val="15"/>
          <w:szCs w:val="15"/>
        </w:rPr>
        <w:t xml:space="preserve">∪ </w:t>
      </w:r>
      <w:r>
        <w:rPr>
          <w:rStyle w:val="mo"/>
          <w:rFonts w:ascii="MathJax_Main" w:hAnsi="MathJax_Main"/>
          <w:b/>
          <w:color w:val="333333"/>
          <w:sz w:val="15"/>
          <w:szCs w:val="15"/>
        </w:rPr>
        <w:t>[</w:t>
      </w:r>
      <w:r>
        <w:rPr>
          <w:rStyle w:val="mn"/>
          <w:rFonts w:ascii="MathJax_Main" w:hAnsi="MathJax_Main"/>
          <w:b/>
          <w:color w:val="333333"/>
          <w:sz w:val="15"/>
          <w:szCs w:val="15"/>
        </w:rPr>
        <w:t>67</w:t>
      </w:r>
      <w:r>
        <w:rPr>
          <w:rStyle w:val="mo"/>
          <w:rFonts w:ascii="MathJax_Main" w:hAnsi="MathJax_Main"/>
          <w:b/>
          <w:color w:val="333333"/>
          <w:sz w:val="15"/>
          <w:szCs w:val="15"/>
        </w:rPr>
        <w:t>+</w:t>
      </w:r>
      <w:r>
        <w:rPr>
          <w:rStyle w:val="mi"/>
          <w:rFonts w:ascii="MathJax_Math" w:hAnsi="MathJax_Math"/>
          <w:b/>
          <w:i/>
          <w:iCs/>
          <w:color w:val="333333"/>
          <w:sz w:val="15"/>
          <w:szCs w:val="15"/>
        </w:rPr>
        <w:t>a</w:t>
      </w:r>
      <w:r>
        <w:rPr>
          <w:rStyle w:val="mo"/>
          <w:rFonts w:ascii="MathJax_Main" w:hAnsi="MathJax_Main"/>
          <w:b/>
          <w:color w:val="333333"/>
          <w:sz w:val="15"/>
          <w:szCs w:val="15"/>
        </w:rPr>
        <w:t>,</w:t>
      </w:r>
      <w:r>
        <w:rPr>
          <w:rStyle w:val="mi"/>
          <w:rFonts w:ascii="MathJax_Main" w:hAnsi="MathJax_Main"/>
          <w:b/>
          <w:color w:val="333333"/>
          <w:sz w:val="15"/>
          <w:szCs w:val="15"/>
        </w:rPr>
        <w:t>∞</w:t>
      </w:r>
      <w:r>
        <w:rPr>
          <w:rStyle w:val="mo"/>
          <w:rFonts w:ascii="MathJax_Main" w:hAnsi="MathJax_Main"/>
          <w:b/>
          <w:color w:val="333333"/>
          <w:sz w:val="15"/>
          <w:szCs w:val="15"/>
        </w:rPr>
        <w:t>)</w:t>
      </w:r>
      <w:r>
        <w:rPr>
          <w:rStyle w:val="apple-converted-space"/>
          <w:rFonts w:ascii="Calibri" w:hAnsi="Calibri"/>
          <w:color w:val="333333"/>
          <w:sz w:val="20"/>
          <w:szCs w:val="20"/>
        </w:rPr>
        <w:t> </w:t>
      </w:r>
      <w:r>
        <w:rPr>
          <w:rFonts w:ascii="Calibri" w:hAnsi="Calibri"/>
          <w:color w:val="333333"/>
          <w:sz w:val="20"/>
          <w:szCs w:val="20"/>
        </w:rPr>
        <w:t>will be denoted</w:t>
      </w:r>
      <w:r>
        <w:rPr>
          <w:rStyle w:val="apple-converted-space"/>
          <w:rFonts w:ascii="Calibri" w:hAnsi="Calibri"/>
          <w:color w:val="333333"/>
          <w:sz w:val="20"/>
          <w:szCs w:val="20"/>
        </w:rPr>
        <w:t> </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X</w:t>
      </w:r>
      <w:r>
        <w:rPr>
          <w:rStyle w:val="mo"/>
          <w:rFonts w:ascii="MathJax_Main" w:hAnsi="MathJax_Main"/>
          <w:b/>
          <w:color w:val="333333"/>
          <w:sz w:val="15"/>
          <w:szCs w:val="15"/>
        </w:rPr>
        <w:t>≤</w:t>
      </w:r>
      <w:r>
        <w:rPr>
          <w:rStyle w:val="mn"/>
          <w:rFonts w:ascii="MathJax_Main" w:hAnsi="MathJax_Main"/>
          <w:b/>
          <w:color w:val="333333"/>
          <w:sz w:val="15"/>
          <w:szCs w:val="15"/>
        </w:rPr>
        <w:t>67</w:t>
      </w:r>
      <w:r>
        <w:rPr>
          <w:rStyle w:val="mo"/>
          <w:rFonts w:ascii="MathJax_Main" w:hAnsi="MathJax_Main"/>
          <w:b/>
          <w:color w:val="333333"/>
          <w:sz w:val="15"/>
          <w:szCs w:val="15"/>
        </w:rPr>
        <w:t>−</w:t>
      </w:r>
      <w:r>
        <w:rPr>
          <w:rStyle w:val="mi"/>
          <w:rFonts w:ascii="MathJax_Math" w:hAnsi="MathJax_Math"/>
          <w:b/>
          <w:i/>
          <w:iCs/>
          <w:color w:val="333333"/>
          <w:sz w:val="15"/>
          <w:szCs w:val="15"/>
        </w:rPr>
        <w:t>a</w:t>
      </w:r>
      <w:r>
        <w:rPr>
          <w:rStyle w:val="mtext"/>
          <w:rFonts w:ascii="MathJax_Main" w:hAnsi="MathJax_Main"/>
          <w:b/>
          <w:color w:val="333333"/>
          <w:sz w:val="15"/>
          <w:szCs w:val="15"/>
        </w:rPr>
        <w:t>  or </w:t>
      </w:r>
      <w:r>
        <w:rPr>
          <w:rStyle w:val="mi"/>
          <w:rFonts w:ascii="MathJax_Math" w:hAnsi="MathJax_Math"/>
          <w:b/>
          <w:i/>
          <w:iCs/>
          <w:color w:val="333333"/>
          <w:sz w:val="15"/>
          <w:szCs w:val="15"/>
        </w:rPr>
        <w:t>X</w:t>
      </w:r>
      <w:r>
        <w:rPr>
          <w:rStyle w:val="mo"/>
          <w:rFonts w:ascii="MathJax_Main" w:hAnsi="MathJax_Main"/>
          <w:b/>
          <w:color w:val="333333"/>
          <w:sz w:val="15"/>
          <w:szCs w:val="15"/>
        </w:rPr>
        <w:t>≥</w:t>
      </w:r>
      <w:r>
        <w:rPr>
          <w:rStyle w:val="mn"/>
          <w:rFonts w:ascii="MathJax_Main" w:hAnsi="MathJax_Main"/>
          <w:b/>
          <w:color w:val="333333"/>
          <w:sz w:val="15"/>
          <w:szCs w:val="15"/>
        </w:rPr>
        <w:t>67</w:t>
      </w:r>
      <w:r>
        <w:rPr>
          <w:rStyle w:val="mo"/>
          <w:rFonts w:ascii="MathJax_Main" w:hAnsi="MathJax_Main"/>
          <w:b/>
          <w:color w:val="333333"/>
          <w:sz w:val="15"/>
          <w:szCs w:val="15"/>
        </w:rPr>
        <w:t>+</w:t>
      </w:r>
      <w:r>
        <w:rPr>
          <w:rStyle w:val="mi"/>
          <w:rFonts w:ascii="MathJax_Math" w:hAnsi="MathJax_Math"/>
          <w:b/>
          <w:i/>
          <w:iCs/>
          <w:color w:val="333333"/>
          <w:sz w:val="15"/>
          <w:szCs w:val="15"/>
        </w:rPr>
        <w:t>a</w:t>
      </w:r>
      <w:r>
        <w:rPr>
          <w:rStyle w:val="mo"/>
          <w:rFonts w:ascii="MathJax_Main" w:hAnsi="MathJax_Main"/>
          <w:b/>
          <w:color w:val="333333"/>
          <w:sz w:val="15"/>
          <w:szCs w:val="15"/>
        </w:rPr>
        <w:t>).</w:t>
      </w:r>
      <w:r>
        <w:rPr>
          <w:rStyle w:val="apple-converted-space"/>
          <w:rFonts w:ascii="Calibri" w:hAnsi="Calibri"/>
          <w:b/>
          <w:color w:val="333333"/>
          <w:sz w:val="20"/>
          <w:szCs w:val="20"/>
        </w:rPr>
        <w:t> </w:t>
      </w:r>
      <w:r>
        <w:rPr>
          <w:rFonts w:ascii="Calibri" w:hAnsi="Calibri"/>
          <w:color w:val="333333"/>
          <w:sz w:val="20"/>
          <w:szCs w:val="20"/>
        </w:rPr>
        <w:t>Use</w:t>
      </w:r>
      <w:r>
        <w:rPr>
          <w:rStyle w:val="apple-converted-space"/>
          <w:rFonts w:ascii="Calibri" w:hAnsi="Calibri"/>
          <w:color w:val="333333"/>
          <w:sz w:val="20"/>
          <w:szCs w:val="20"/>
        </w:rPr>
        <w:t> </w:t>
      </w:r>
      <w:r>
        <w:rPr>
          <w:rFonts w:ascii="Calibri" w:hAnsi="Calibri"/>
          <w:color w:val="2689C6"/>
          <w:sz w:val="20"/>
          <w:szCs w:val="20"/>
        </w:rPr>
        <w:t>Figure 12.2 "Cumulative Normal Probability"</w:t>
      </w:r>
      <w:r>
        <w:rPr>
          <w:rStyle w:val="apple-converted-space"/>
          <w:rFonts w:ascii="Calibri" w:hAnsi="Calibri"/>
          <w:color w:val="333333"/>
          <w:sz w:val="20"/>
          <w:szCs w:val="20"/>
        </w:rPr>
        <w:t> </w:t>
      </w:r>
      <w:r>
        <w:rPr>
          <w:rFonts w:ascii="Calibri" w:hAnsi="Calibri"/>
          <w:color w:val="333333"/>
          <w:sz w:val="20"/>
          <w:szCs w:val="20"/>
        </w:rPr>
        <w:t>to find the following probabilities of this type. Sketch the density curve with relevant regions shaded to illustrate the computation. Because of the symmetry of the density curve you need to use</w:t>
      </w:r>
      <w:r>
        <w:rPr>
          <w:rStyle w:val="apple-converted-space"/>
          <w:rFonts w:ascii="Calibri" w:hAnsi="Calibri"/>
          <w:color w:val="333333"/>
          <w:sz w:val="20"/>
          <w:szCs w:val="20"/>
        </w:rPr>
        <w:t> </w:t>
      </w:r>
      <w:r>
        <w:rPr>
          <w:rFonts w:ascii="Calibri" w:hAnsi="Calibri"/>
          <w:color w:val="2689C6"/>
          <w:sz w:val="20"/>
          <w:szCs w:val="20"/>
        </w:rPr>
        <w:t>Figure 12.2 "Cumulative Normal Probability"</w:t>
      </w:r>
      <w:r>
        <w:rPr>
          <w:rStyle w:val="apple-converted-space"/>
          <w:rFonts w:ascii="Calibri" w:hAnsi="Calibri"/>
          <w:color w:val="333333"/>
          <w:sz w:val="20"/>
          <w:szCs w:val="20"/>
        </w:rPr>
        <w:t> </w:t>
      </w:r>
      <w:r>
        <w:rPr>
          <w:rFonts w:ascii="Calibri" w:hAnsi="Calibri"/>
          <w:color w:val="333333"/>
          <w:sz w:val="20"/>
          <w:szCs w:val="20"/>
        </w:rPr>
        <w:t>only one time for each part.</w:t>
      </w:r>
    </w:p>
    <w:p w:rsidR="00AD77BB" w:rsidRDefault="00B45BA0">
      <w:pPr>
        <w:numPr>
          <w:ilvl w:val="1"/>
          <w:numId w:val="139"/>
        </w:numPr>
        <w:shd w:val="clear" w:color="auto" w:fill="DAEEF3" w:themeFill="accent5" w:themeFillTint="33"/>
        <w:spacing w:after="0" w:line="360" w:lineRule="auto"/>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X</w:t>
      </w:r>
      <w:r>
        <w:rPr>
          <w:rStyle w:val="mo"/>
          <w:rFonts w:ascii="MathJax_Main" w:hAnsi="MathJax_Main"/>
          <w:b/>
          <w:color w:val="333333"/>
          <w:sz w:val="15"/>
          <w:szCs w:val="15"/>
        </w:rPr>
        <w:t>&lt;</w:t>
      </w:r>
      <w:r>
        <w:rPr>
          <w:rStyle w:val="mn"/>
          <w:rFonts w:ascii="MathJax_Main" w:hAnsi="MathJax_Main"/>
          <w:b/>
          <w:color w:val="333333"/>
          <w:sz w:val="15"/>
          <w:szCs w:val="15"/>
        </w:rPr>
        <w:t>57</w:t>
      </w:r>
      <w:r>
        <w:rPr>
          <w:rStyle w:val="mtext"/>
          <w:rFonts w:ascii="MathJax_Main" w:hAnsi="MathJax_Main"/>
          <w:b/>
          <w:color w:val="333333"/>
          <w:sz w:val="15"/>
          <w:szCs w:val="15"/>
        </w:rPr>
        <w:t>  or </w:t>
      </w:r>
      <w:r>
        <w:rPr>
          <w:rStyle w:val="mi"/>
          <w:rFonts w:ascii="MathJax_Math" w:hAnsi="MathJax_Math"/>
          <w:b/>
          <w:i/>
          <w:iCs/>
          <w:color w:val="333333"/>
          <w:sz w:val="15"/>
          <w:szCs w:val="15"/>
        </w:rPr>
        <w:t>X</w:t>
      </w:r>
      <w:r>
        <w:rPr>
          <w:rStyle w:val="mo"/>
          <w:rFonts w:ascii="MathJax_Main" w:hAnsi="MathJax_Main"/>
          <w:b/>
          <w:color w:val="333333"/>
          <w:sz w:val="15"/>
          <w:szCs w:val="15"/>
        </w:rPr>
        <w:t>&gt;</w:t>
      </w:r>
      <w:r>
        <w:rPr>
          <w:rStyle w:val="mn"/>
          <w:rFonts w:ascii="MathJax_Main" w:hAnsi="MathJax_Main"/>
          <w:b/>
          <w:color w:val="333333"/>
          <w:sz w:val="15"/>
          <w:szCs w:val="15"/>
        </w:rPr>
        <w:t>77</w:t>
      </w:r>
      <w:r>
        <w:rPr>
          <w:rStyle w:val="mo"/>
          <w:rFonts w:ascii="MathJax_Main" w:hAnsi="MathJax_Main"/>
          <w:b/>
          <w:color w:val="333333"/>
          <w:sz w:val="15"/>
          <w:szCs w:val="15"/>
        </w:rPr>
        <w:t>)</w:t>
      </w:r>
    </w:p>
    <w:p w:rsidR="00AD77BB" w:rsidRDefault="00B45BA0">
      <w:pPr>
        <w:numPr>
          <w:ilvl w:val="1"/>
          <w:numId w:val="139"/>
        </w:numPr>
        <w:shd w:val="clear" w:color="auto" w:fill="DAEEF3" w:themeFill="accent5" w:themeFillTint="33"/>
        <w:spacing w:after="0" w:line="360" w:lineRule="auto"/>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X</w:t>
      </w:r>
      <w:r>
        <w:rPr>
          <w:rStyle w:val="mo"/>
          <w:rFonts w:ascii="MathJax_Main" w:hAnsi="MathJax_Main"/>
          <w:b/>
          <w:color w:val="333333"/>
          <w:sz w:val="15"/>
          <w:szCs w:val="15"/>
        </w:rPr>
        <w:t>&lt;</w:t>
      </w:r>
      <w:r>
        <w:rPr>
          <w:rStyle w:val="mn"/>
          <w:rFonts w:ascii="MathJax_Main" w:hAnsi="MathJax_Main"/>
          <w:b/>
          <w:color w:val="333333"/>
          <w:sz w:val="15"/>
          <w:szCs w:val="15"/>
        </w:rPr>
        <w:t>47</w:t>
      </w:r>
      <w:r>
        <w:rPr>
          <w:rStyle w:val="mtext"/>
          <w:rFonts w:ascii="MathJax_Main" w:hAnsi="MathJax_Main"/>
          <w:b/>
          <w:color w:val="333333"/>
          <w:sz w:val="15"/>
          <w:szCs w:val="15"/>
        </w:rPr>
        <w:t>  or </w:t>
      </w:r>
      <w:r>
        <w:rPr>
          <w:rStyle w:val="mi"/>
          <w:rFonts w:ascii="MathJax_Math" w:hAnsi="MathJax_Math"/>
          <w:b/>
          <w:i/>
          <w:iCs/>
          <w:color w:val="333333"/>
          <w:sz w:val="15"/>
          <w:szCs w:val="15"/>
        </w:rPr>
        <w:t>X</w:t>
      </w:r>
      <w:r>
        <w:rPr>
          <w:rStyle w:val="mo"/>
          <w:rFonts w:ascii="MathJax_Main" w:hAnsi="MathJax_Main"/>
          <w:b/>
          <w:color w:val="333333"/>
          <w:sz w:val="15"/>
          <w:szCs w:val="15"/>
        </w:rPr>
        <w:t>&gt;</w:t>
      </w:r>
      <w:r>
        <w:rPr>
          <w:rStyle w:val="mn"/>
          <w:rFonts w:ascii="MathJax_Main" w:hAnsi="MathJax_Main"/>
          <w:b/>
          <w:color w:val="333333"/>
          <w:sz w:val="15"/>
          <w:szCs w:val="15"/>
        </w:rPr>
        <w:t>87</w:t>
      </w:r>
      <w:r>
        <w:rPr>
          <w:rStyle w:val="mo"/>
          <w:rFonts w:ascii="MathJax_Main" w:hAnsi="MathJax_Main"/>
          <w:b/>
          <w:color w:val="333333"/>
          <w:sz w:val="15"/>
          <w:szCs w:val="15"/>
        </w:rPr>
        <w:t>)</w:t>
      </w:r>
    </w:p>
    <w:p w:rsidR="00AD77BB" w:rsidRDefault="00B45BA0">
      <w:pPr>
        <w:numPr>
          <w:ilvl w:val="1"/>
          <w:numId w:val="139"/>
        </w:numPr>
        <w:shd w:val="clear" w:color="auto" w:fill="DAEEF3" w:themeFill="accent5" w:themeFillTint="33"/>
        <w:spacing w:after="0" w:line="360" w:lineRule="auto"/>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X</w:t>
      </w:r>
      <w:r>
        <w:rPr>
          <w:rStyle w:val="mo"/>
          <w:rFonts w:ascii="MathJax_Main" w:hAnsi="MathJax_Main"/>
          <w:b/>
          <w:color w:val="333333"/>
          <w:sz w:val="15"/>
          <w:szCs w:val="15"/>
        </w:rPr>
        <w:t>&lt;</w:t>
      </w:r>
      <w:r>
        <w:rPr>
          <w:rStyle w:val="mn"/>
          <w:rFonts w:ascii="MathJax_Main" w:hAnsi="MathJax_Main"/>
          <w:b/>
          <w:color w:val="333333"/>
          <w:sz w:val="15"/>
          <w:szCs w:val="15"/>
        </w:rPr>
        <w:t>49</w:t>
      </w:r>
      <w:r>
        <w:rPr>
          <w:rStyle w:val="mtext"/>
          <w:rFonts w:ascii="MathJax_Main" w:hAnsi="MathJax_Main"/>
          <w:b/>
          <w:color w:val="333333"/>
          <w:sz w:val="15"/>
          <w:szCs w:val="15"/>
        </w:rPr>
        <w:t>  or </w:t>
      </w:r>
      <w:r>
        <w:rPr>
          <w:rStyle w:val="mi"/>
          <w:rFonts w:ascii="MathJax_Math" w:hAnsi="MathJax_Math"/>
          <w:b/>
          <w:i/>
          <w:iCs/>
          <w:color w:val="333333"/>
          <w:sz w:val="15"/>
          <w:szCs w:val="15"/>
        </w:rPr>
        <w:t>X</w:t>
      </w:r>
      <w:r>
        <w:rPr>
          <w:rStyle w:val="mo"/>
          <w:rFonts w:ascii="MathJax_Main" w:hAnsi="MathJax_Main"/>
          <w:b/>
          <w:color w:val="333333"/>
          <w:sz w:val="15"/>
          <w:szCs w:val="15"/>
        </w:rPr>
        <w:t>&gt;</w:t>
      </w:r>
      <w:r>
        <w:rPr>
          <w:rStyle w:val="mn"/>
          <w:rFonts w:ascii="MathJax_Main" w:hAnsi="MathJax_Main"/>
          <w:b/>
          <w:color w:val="333333"/>
          <w:sz w:val="15"/>
          <w:szCs w:val="15"/>
        </w:rPr>
        <w:t>85</w:t>
      </w:r>
      <w:r>
        <w:rPr>
          <w:rStyle w:val="mo"/>
          <w:rFonts w:ascii="MathJax_Main" w:hAnsi="MathJax_Main"/>
          <w:b/>
          <w:color w:val="333333"/>
          <w:sz w:val="15"/>
          <w:szCs w:val="15"/>
        </w:rPr>
        <w:t>)</w:t>
      </w:r>
    </w:p>
    <w:p w:rsidR="00AD77BB" w:rsidRDefault="00B45BA0">
      <w:pPr>
        <w:numPr>
          <w:ilvl w:val="1"/>
          <w:numId w:val="139"/>
        </w:numPr>
        <w:shd w:val="clear" w:color="auto" w:fill="DAEEF3" w:themeFill="accent5" w:themeFillTint="33"/>
        <w:spacing w:after="0" w:line="360" w:lineRule="auto"/>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X</w:t>
      </w:r>
      <w:r>
        <w:rPr>
          <w:rStyle w:val="mo"/>
          <w:rFonts w:ascii="MathJax_Main" w:hAnsi="MathJax_Main"/>
          <w:b/>
          <w:color w:val="333333"/>
          <w:sz w:val="15"/>
          <w:szCs w:val="15"/>
        </w:rPr>
        <w:t>&lt;</w:t>
      </w:r>
      <w:r>
        <w:rPr>
          <w:rStyle w:val="mn"/>
          <w:rFonts w:ascii="MathJax_Main" w:hAnsi="MathJax_Main"/>
          <w:b/>
          <w:color w:val="333333"/>
          <w:sz w:val="15"/>
          <w:szCs w:val="15"/>
        </w:rPr>
        <w:t>37</w:t>
      </w:r>
      <w:r>
        <w:rPr>
          <w:rStyle w:val="mtext"/>
          <w:rFonts w:ascii="MathJax_Main" w:hAnsi="MathJax_Main"/>
          <w:b/>
          <w:color w:val="333333"/>
          <w:sz w:val="15"/>
          <w:szCs w:val="15"/>
        </w:rPr>
        <w:t>  or </w:t>
      </w:r>
      <w:r>
        <w:rPr>
          <w:rStyle w:val="mi"/>
          <w:rFonts w:ascii="MathJax_Math" w:hAnsi="MathJax_Math"/>
          <w:b/>
          <w:i/>
          <w:iCs/>
          <w:color w:val="333333"/>
          <w:sz w:val="15"/>
          <w:szCs w:val="15"/>
        </w:rPr>
        <w:t>X</w:t>
      </w:r>
      <w:r>
        <w:rPr>
          <w:rStyle w:val="mo"/>
          <w:rFonts w:ascii="MathJax_Main" w:hAnsi="MathJax_Main"/>
          <w:b/>
          <w:color w:val="333333"/>
          <w:sz w:val="15"/>
          <w:szCs w:val="15"/>
        </w:rPr>
        <w:t>&gt;</w:t>
      </w:r>
      <w:r>
        <w:rPr>
          <w:rStyle w:val="mn"/>
          <w:rFonts w:ascii="MathJax_Main" w:hAnsi="MathJax_Main"/>
          <w:b/>
          <w:color w:val="333333"/>
          <w:sz w:val="15"/>
          <w:szCs w:val="15"/>
        </w:rPr>
        <w:t>97</w:t>
      </w:r>
      <w:r>
        <w:rPr>
          <w:rStyle w:val="mo"/>
          <w:rFonts w:ascii="MathJax_Main" w:hAnsi="MathJax_Main"/>
          <w:b/>
          <w:color w:val="333333"/>
          <w:sz w:val="15"/>
          <w:szCs w:val="15"/>
        </w:rPr>
        <w:t>)</w:t>
      </w:r>
    </w:p>
    <w:p w:rsidR="00AD77BB" w:rsidRDefault="00B45BA0">
      <w:pPr>
        <w:pStyle w:val="para"/>
        <w:numPr>
          <w:ilvl w:val="0"/>
          <w:numId w:val="139"/>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is a normally distributed random variable with mean 288 and standard deviation 6. The probability that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takes a value in the union of intervals</w:t>
      </w:r>
      <w:r>
        <w:rPr>
          <w:rStyle w:val="apple-converted-space"/>
          <w:rFonts w:ascii="Calibri" w:hAnsi="Calibri"/>
          <w:color w:val="333333"/>
          <w:sz w:val="20"/>
          <w:szCs w:val="20"/>
        </w:rPr>
        <w:t> </w:t>
      </w:r>
      <w:r>
        <w:rPr>
          <w:rStyle w:val="mo"/>
          <w:rFonts w:ascii="MathJax_Main" w:hAnsi="MathJax_Main"/>
          <w:b/>
          <w:color w:val="333333"/>
          <w:sz w:val="15"/>
          <w:szCs w:val="15"/>
        </w:rPr>
        <w:t>(</w:t>
      </w:r>
      <w:r>
        <w:rPr>
          <w:rStyle w:val="mtext"/>
          <w:rFonts w:ascii="MathJax_Main" w:hAnsi="MathJax_Main"/>
          <w:b/>
          <w:color w:val="333333"/>
          <w:sz w:val="15"/>
          <w:szCs w:val="15"/>
        </w:rPr>
        <w:t>−</w:t>
      </w:r>
      <w:r>
        <w:rPr>
          <w:rStyle w:val="mi"/>
          <w:rFonts w:ascii="MathJax_Main" w:hAnsi="MathJax_Main"/>
          <w:b/>
          <w:color w:val="333333"/>
          <w:sz w:val="15"/>
          <w:szCs w:val="15"/>
        </w:rPr>
        <w:t>∞</w:t>
      </w:r>
      <w:r>
        <w:rPr>
          <w:rStyle w:val="mo"/>
          <w:rFonts w:ascii="MathJax_Main" w:hAnsi="MathJax_Main"/>
          <w:b/>
          <w:color w:val="333333"/>
          <w:sz w:val="15"/>
          <w:szCs w:val="15"/>
        </w:rPr>
        <w:t>,</w:t>
      </w:r>
      <w:r>
        <w:rPr>
          <w:rStyle w:val="mn"/>
          <w:rFonts w:ascii="MathJax_Main" w:hAnsi="MathJax_Main"/>
          <w:b/>
          <w:color w:val="333333"/>
          <w:sz w:val="15"/>
          <w:szCs w:val="15"/>
        </w:rPr>
        <w:t>288</w:t>
      </w:r>
      <w:r>
        <w:rPr>
          <w:rStyle w:val="mo"/>
          <w:rFonts w:ascii="MathJax_Main" w:hAnsi="MathJax_Main"/>
          <w:b/>
          <w:color w:val="333333"/>
          <w:sz w:val="15"/>
          <w:szCs w:val="15"/>
        </w:rPr>
        <w:t>−</w:t>
      </w:r>
      <w:r>
        <w:rPr>
          <w:rStyle w:val="mi"/>
          <w:rFonts w:ascii="MathJax_Math" w:hAnsi="MathJax_Math"/>
          <w:b/>
          <w:i/>
          <w:iCs/>
          <w:color w:val="333333"/>
          <w:sz w:val="15"/>
          <w:szCs w:val="15"/>
        </w:rPr>
        <w:t>a</w:t>
      </w:r>
      <w:r>
        <w:rPr>
          <w:rStyle w:val="mo"/>
          <w:rFonts w:ascii="MathJax_Main" w:hAnsi="MathJax_Main"/>
          <w:b/>
          <w:color w:val="333333"/>
          <w:sz w:val="15"/>
          <w:szCs w:val="15"/>
        </w:rPr>
        <w:t xml:space="preserve">] </w:t>
      </w:r>
      <w:r>
        <w:rPr>
          <w:rStyle w:val="mo"/>
          <w:rFonts w:ascii="Cambria Math" w:hAnsi="Cambria Math" w:cs="Cambria Math"/>
          <w:b/>
          <w:color w:val="333333"/>
          <w:sz w:val="15"/>
          <w:szCs w:val="15"/>
        </w:rPr>
        <w:t xml:space="preserve">∪ </w:t>
      </w:r>
      <w:r>
        <w:rPr>
          <w:rStyle w:val="mo"/>
          <w:rFonts w:ascii="MathJax_Main" w:hAnsi="MathJax_Main"/>
          <w:b/>
          <w:color w:val="333333"/>
          <w:sz w:val="15"/>
          <w:szCs w:val="15"/>
        </w:rPr>
        <w:t>[</w:t>
      </w:r>
      <w:r>
        <w:rPr>
          <w:rStyle w:val="mn"/>
          <w:rFonts w:ascii="MathJax_Main" w:hAnsi="MathJax_Main"/>
          <w:b/>
          <w:color w:val="333333"/>
          <w:sz w:val="15"/>
          <w:szCs w:val="15"/>
        </w:rPr>
        <w:t>288</w:t>
      </w:r>
      <w:r>
        <w:rPr>
          <w:rStyle w:val="mo"/>
          <w:rFonts w:ascii="MathJax_Main" w:hAnsi="MathJax_Main"/>
          <w:b/>
          <w:color w:val="333333"/>
          <w:sz w:val="15"/>
          <w:szCs w:val="15"/>
        </w:rPr>
        <w:t>+</w:t>
      </w:r>
      <w:r>
        <w:rPr>
          <w:rStyle w:val="mi"/>
          <w:rFonts w:ascii="MathJax_Math" w:hAnsi="MathJax_Math"/>
          <w:b/>
          <w:i/>
          <w:iCs/>
          <w:color w:val="333333"/>
          <w:sz w:val="15"/>
          <w:szCs w:val="15"/>
        </w:rPr>
        <w:t>a</w:t>
      </w:r>
      <w:r>
        <w:rPr>
          <w:rStyle w:val="mo"/>
          <w:rFonts w:ascii="MathJax_Main" w:hAnsi="MathJax_Main"/>
          <w:b/>
          <w:color w:val="333333"/>
          <w:sz w:val="15"/>
          <w:szCs w:val="15"/>
        </w:rPr>
        <w:t>,</w:t>
      </w:r>
      <w:r>
        <w:rPr>
          <w:rStyle w:val="mi"/>
          <w:rFonts w:ascii="MathJax_Main" w:hAnsi="MathJax_Main"/>
          <w:b/>
          <w:color w:val="333333"/>
          <w:sz w:val="15"/>
          <w:szCs w:val="15"/>
        </w:rPr>
        <w:t>∞</w:t>
      </w:r>
      <w:r>
        <w:rPr>
          <w:rStyle w:val="mo"/>
          <w:rFonts w:ascii="MathJax_Main" w:hAnsi="MathJax_Main"/>
          <w:b/>
          <w:color w:val="333333"/>
          <w:sz w:val="15"/>
          <w:szCs w:val="15"/>
        </w:rPr>
        <w:t>)</w:t>
      </w:r>
      <w:r>
        <w:rPr>
          <w:rStyle w:val="apple-converted-space"/>
          <w:rFonts w:ascii="Calibri" w:hAnsi="Calibri"/>
          <w:color w:val="333333"/>
          <w:sz w:val="20"/>
          <w:szCs w:val="20"/>
        </w:rPr>
        <w:t> </w:t>
      </w:r>
      <w:r>
        <w:rPr>
          <w:rFonts w:ascii="Calibri" w:hAnsi="Calibri"/>
          <w:color w:val="333333"/>
          <w:sz w:val="20"/>
          <w:szCs w:val="20"/>
        </w:rPr>
        <w:t>will be denoted</w:t>
      </w:r>
      <w:r>
        <w:rPr>
          <w:rStyle w:val="apple-converted-space"/>
          <w:rFonts w:ascii="Calibri" w:hAnsi="Calibri"/>
          <w:color w:val="333333"/>
          <w:sz w:val="20"/>
          <w:szCs w:val="20"/>
        </w:rPr>
        <w:t> </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X</w:t>
      </w:r>
      <w:r>
        <w:rPr>
          <w:rStyle w:val="mo"/>
          <w:rFonts w:ascii="MathJax_Main" w:hAnsi="MathJax_Main"/>
          <w:b/>
          <w:color w:val="333333"/>
          <w:sz w:val="15"/>
          <w:szCs w:val="15"/>
        </w:rPr>
        <w:t>≤</w:t>
      </w:r>
      <w:r>
        <w:rPr>
          <w:rStyle w:val="mn"/>
          <w:rFonts w:ascii="MathJax_Main" w:hAnsi="MathJax_Main"/>
          <w:b/>
          <w:color w:val="333333"/>
          <w:sz w:val="15"/>
          <w:szCs w:val="15"/>
        </w:rPr>
        <w:t>288</w:t>
      </w:r>
      <w:r>
        <w:rPr>
          <w:rStyle w:val="mo"/>
          <w:rFonts w:ascii="MathJax_Main" w:hAnsi="MathJax_Main"/>
          <w:b/>
          <w:color w:val="333333"/>
          <w:sz w:val="15"/>
          <w:szCs w:val="15"/>
        </w:rPr>
        <w:t>−</w:t>
      </w:r>
      <w:r>
        <w:rPr>
          <w:rStyle w:val="mi"/>
          <w:rFonts w:ascii="MathJax_Math" w:hAnsi="MathJax_Math"/>
          <w:b/>
          <w:i/>
          <w:iCs/>
          <w:color w:val="333333"/>
          <w:sz w:val="15"/>
          <w:szCs w:val="15"/>
        </w:rPr>
        <w:t>a</w:t>
      </w:r>
      <w:r>
        <w:rPr>
          <w:rStyle w:val="mtext"/>
          <w:rFonts w:ascii="MathJax_Main" w:hAnsi="MathJax_Main"/>
          <w:b/>
          <w:color w:val="333333"/>
          <w:sz w:val="15"/>
          <w:szCs w:val="15"/>
        </w:rPr>
        <w:t>  or </w:t>
      </w:r>
      <w:r>
        <w:rPr>
          <w:rStyle w:val="mi"/>
          <w:rFonts w:ascii="MathJax_Math" w:hAnsi="MathJax_Math"/>
          <w:b/>
          <w:i/>
          <w:iCs/>
          <w:color w:val="333333"/>
          <w:sz w:val="15"/>
          <w:szCs w:val="15"/>
        </w:rPr>
        <w:t>X</w:t>
      </w:r>
      <w:r>
        <w:rPr>
          <w:rStyle w:val="mo"/>
          <w:rFonts w:ascii="MathJax_Main" w:hAnsi="MathJax_Main"/>
          <w:b/>
          <w:color w:val="333333"/>
          <w:sz w:val="15"/>
          <w:szCs w:val="15"/>
        </w:rPr>
        <w:t>≥</w:t>
      </w:r>
      <w:r>
        <w:rPr>
          <w:rStyle w:val="mn"/>
          <w:rFonts w:ascii="MathJax_Main" w:hAnsi="MathJax_Main"/>
          <w:b/>
          <w:color w:val="333333"/>
          <w:sz w:val="15"/>
          <w:szCs w:val="15"/>
        </w:rPr>
        <w:t>288</w:t>
      </w:r>
      <w:r>
        <w:rPr>
          <w:rStyle w:val="mo"/>
          <w:rFonts w:ascii="MathJax_Main" w:hAnsi="MathJax_Main"/>
          <w:b/>
          <w:color w:val="333333"/>
          <w:sz w:val="15"/>
          <w:szCs w:val="15"/>
        </w:rPr>
        <w:t>+</w:t>
      </w:r>
      <w:r>
        <w:rPr>
          <w:rStyle w:val="mi"/>
          <w:rFonts w:ascii="MathJax_Math" w:hAnsi="MathJax_Math"/>
          <w:b/>
          <w:i/>
          <w:iCs/>
          <w:color w:val="333333"/>
          <w:sz w:val="15"/>
          <w:szCs w:val="15"/>
        </w:rPr>
        <w:t>a</w:t>
      </w:r>
      <w:r>
        <w:rPr>
          <w:rStyle w:val="mo"/>
          <w:rFonts w:ascii="MathJax_Main" w:hAnsi="MathJax_Main"/>
          <w:b/>
          <w:color w:val="333333"/>
          <w:sz w:val="15"/>
          <w:szCs w:val="15"/>
        </w:rPr>
        <w:t>).</w:t>
      </w:r>
      <w:r>
        <w:rPr>
          <w:rStyle w:val="apple-converted-space"/>
          <w:rFonts w:ascii="Calibri" w:hAnsi="Calibri"/>
          <w:color w:val="333333"/>
          <w:sz w:val="20"/>
          <w:szCs w:val="20"/>
        </w:rPr>
        <w:t> </w:t>
      </w:r>
      <w:r>
        <w:rPr>
          <w:rFonts w:ascii="Calibri" w:hAnsi="Calibri"/>
          <w:color w:val="333333"/>
          <w:sz w:val="20"/>
          <w:szCs w:val="20"/>
        </w:rPr>
        <w:t>Use</w:t>
      </w:r>
      <w:r>
        <w:rPr>
          <w:rStyle w:val="apple-converted-space"/>
          <w:rFonts w:ascii="Calibri" w:hAnsi="Calibri"/>
          <w:color w:val="333333"/>
          <w:sz w:val="20"/>
          <w:szCs w:val="20"/>
        </w:rPr>
        <w:t> </w:t>
      </w:r>
      <w:r>
        <w:rPr>
          <w:rFonts w:ascii="Calibri" w:hAnsi="Calibri"/>
          <w:color w:val="2689C6"/>
          <w:sz w:val="20"/>
          <w:szCs w:val="20"/>
        </w:rPr>
        <w:t>Figure 12.2 "Cumulative Normal Probability"</w:t>
      </w:r>
      <w:r>
        <w:rPr>
          <w:rStyle w:val="apple-converted-space"/>
          <w:rFonts w:ascii="Calibri" w:hAnsi="Calibri"/>
          <w:color w:val="333333"/>
          <w:sz w:val="20"/>
          <w:szCs w:val="20"/>
        </w:rPr>
        <w:t> </w:t>
      </w:r>
      <w:r>
        <w:rPr>
          <w:rFonts w:ascii="Calibri" w:hAnsi="Calibri"/>
          <w:color w:val="333333"/>
          <w:sz w:val="20"/>
          <w:szCs w:val="20"/>
        </w:rPr>
        <w:t>to find the following probabilities of this type. Sketch the density curve with relevant regions shaded to illustrate the computation. Because of the symmetry of the density curve you need to use</w:t>
      </w:r>
      <w:r>
        <w:rPr>
          <w:rStyle w:val="apple-converted-space"/>
          <w:rFonts w:ascii="Calibri" w:hAnsi="Calibri"/>
          <w:color w:val="333333"/>
          <w:sz w:val="20"/>
          <w:szCs w:val="20"/>
        </w:rPr>
        <w:t> </w:t>
      </w:r>
      <w:r>
        <w:rPr>
          <w:rFonts w:ascii="Calibri" w:hAnsi="Calibri"/>
          <w:color w:val="2689C6"/>
          <w:sz w:val="20"/>
          <w:szCs w:val="20"/>
        </w:rPr>
        <w:t>Figure 12.2 "Cumulative Normal Probability"</w:t>
      </w:r>
      <w:r>
        <w:rPr>
          <w:rStyle w:val="apple-converted-space"/>
          <w:rFonts w:ascii="Calibri" w:hAnsi="Calibri"/>
          <w:color w:val="333333"/>
          <w:sz w:val="20"/>
          <w:szCs w:val="20"/>
        </w:rPr>
        <w:t> </w:t>
      </w:r>
      <w:r>
        <w:rPr>
          <w:rFonts w:ascii="Calibri" w:hAnsi="Calibri"/>
          <w:color w:val="333333"/>
          <w:sz w:val="20"/>
          <w:szCs w:val="20"/>
        </w:rPr>
        <w:t>only one time for each part.</w:t>
      </w:r>
    </w:p>
    <w:p w:rsidR="00AD77BB" w:rsidRDefault="00B45BA0">
      <w:pPr>
        <w:numPr>
          <w:ilvl w:val="1"/>
          <w:numId w:val="139"/>
        </w:numPr>
        <w:shd w:val="clear" w:color="auto" w:fill="DAEEF3" w:themeFill="accent5" w:themeFillTint="33"/>
        <w:spacing w:after="0" w:line="360" w:lineRule="auto"/>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X</w:t>
      </w:r>
      <w:r>
        <w:rPr>
          <w:rStyle w:val="mo"/>
          <w:rFonts w:ascii="MathJax_Main" w:hAnsi="MathJax_Main"/>
          <w:b/>
          <w:color w:val="333333"/>
          <w:sz w:val="15"/>
          <w:szCs w:val="15"/>
        </w:rPr>
        <w:t>&lt;</w:t>
      </w:r>
      <w:r>
        <w:rPr>
          <w:rStyle w:val="mn"/>
          <w:rFonts w:ascii="MathJax_Main" w:hAnsi="MathJax_Main"/>
          <w:b/>
          <w:color w:val="333333"/>
          <w:sz w:val="15"/>
          <w:szCs w:val="15"/>
        </w:rPr>
        <w:t>278</w:t>
      </w:r>
      <w:r>
        <w:rPr>
          <w:rStyle w:val="mtext"/>
          <w:rFonts w:ascii="MathJax_Main" w:hAnsi="MathJax_Main"/>
          <w:b/>
          <w:color w:val="333333"/>
          <w:sz w:val="15"/>
          <w:szCs w:val="15"/>
        </w:rPr>
        <w:t>  or </w:t>
      </w:r>
      <w:r>
        <w:rPr>
          <w:rStyle w:val="mi"/>
          <w:rFonts w:ascii="MathJax_Math" w:hAnsi="MathJax_Math"/>
          <w:b/>
          <w:i/>
          <w:iCs/>
          <w:color w:val="333333"/>
          <w:sz w:val="15"/>
          <w:szCs w:val="15"/>
        </w:rPr>
        <w:t>X</w:t>
      </w:r>
      <w:r>
        <w:rPr>
          <w:rStyle w:val="mo"/>
          <w:rFonts w:ascii="MathJax_Main" w:hAnsi="MathJax_Main"/>
          <w:b/>
          <w:color w:val="333333"/>
          <w:sz w:val="15"/>
          <w:szCs w:val="15"/>
        </w:rPr>
        <w:t>&gt;</w:t>
      </w:r>
      <w:r>
        <w:rPr>
          <w:rStyle w:val="mn"/>
          <w:rFonts w:ascii="MathJax_Main" w:hAnsi="MathJax_Main"/>
          <w:b/>
          <w:color w:val="333333"/>
          <w:sz w:val="15"/>
          <w:szCs w:val="15"/>
        </w:rPr>
        <w:t>298</w:t>
      </w:r>
      <w:r>
        <w:rPr>
          <w:rStyle w:val="mo"/>
          <w:rFonts w:ascii="MathJax_Main" w:hAnsi="MathJax_Main"/>
          <w:b/>
          <w:color w:val="333333"/>
          <w:sz w:val="15"/>
          <w:szCs w:val="15"/>
        </w:rPr>
        <w:t>)</w:t>
      </w:r>
    </w:p>
    <w:p w:rsidR="00AD77BB" w:rsidRDefault="00B45BA0">
      <w:pPr>
        <w:numPr>
          <w:ilvl w:val="1"/>
          <w:numId w:val="139"/>
        </w:numPr>
        <w:shd w:val="clear" w:color="auto" w:fill="DAEEF3" w:themeFill="accent5" w:themeFillTint="33"/>
        <w:spacing w:after="0" w:line="360" w:lineRule="auto"/>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X</w:t>
      </w:r>
      <w:r>
        <w:rPr>
          <w:rStyle w:val="mo"/>
          <w:rFonts w:ascii="MathJax_Main" w:hAnsi="MathJax_Main"/>
          <w:b/>
          <w:color w:val="333333"/>
          <w:sz w:val="15"/>
          <w:szCs w:val="15"/>
        </w:rPr>
        <w:t>&lt;</w:t>
      </w:r>
      <w:r>
        <w:rPr>
          <w:rStyle w:val="mn"/>
          <w:rFonts w:ascii="MathJax_Main" w:hAnsi="MathJax_Main"/>
          <w:b/>
          <w:color w:val="333333"/>
          <w:sz w:val="15"/>
          <w:szCs w:val="15"/>
        </w:rPr>
        <w:t>268</w:t>
      </w:r>
      <w:r>
        <w:rPr>
          <w:rStyle w:val="mtext"/>
          <w:rFonts w:ascii="MathJax_Main" w:hAnsi="MathJax_Main"/>
          <w:b/>
          <w:color w:val="333333"/>
          <w:sz w:val="15"/>
          <w:szCs w:val="15"/>
        </w:rPr>
        <w:t>  or </w:t>
      </w:r>
      <w:r>
        <w:rPr>
          <w:rStyle w:val="mi"/>
          <w:rFonts w:ascii="MathJax_Math" w:hAnsi="MathJax_Math"/>
          <w:b/>
          <w:i/>
          <w:iCs/>
          <w:color w:val="333333"/>
          <w:sz w:val="15"/>
          <w:szCs w:val="15"/>
        </w:rPr>
        <w:t>X</w:t>
      </w:r>
      <w:r>
        <w:rPr>
          <w:rStyle w:val="mo"/>
          <w:rFonts w:ascii="MathJax_Main" w:hAnsi="MathJax_Main"/>
          <w:b/>
          <w:color w:val="333333"/>
          <w:sz w:val="15"/>
          <w:szCs w:val="15"/>
        </w:rPr>
        <w:t>&gt;</w:t>
      </w:r>
      <w:r>
        <w:rPr>
          <w:rStyle w:val="mn"/>
          <w:rFonts w:ascii="MathJax_Main" w:hAnsi="MathJax_Main"/>
          <w:b/>
          <w:color w:val="333333"/>
          <w:sz w:val="15"/>
          <w:szCs w:val="15"/>
        </w:rPr>
        <w:t>308</w:t>
      </w:r>
      <w:r>
        <w:rPr>
          <w:rStyle w:val="mo"/>
          <w:rFonts w:ascii="MathJax_Main" w:hAnsi="MathJax_Main"/>
          <w:b/>
          <w:color w:val="333333"/>
          <w:sz w:val="15"/>
          <w:szCs w:val="15"/>
        </w:rPr>
        <w:t>)</w:t>
      </w:r>
    </w:p>
    <w:p w:rsidR="00AD77BB" w:rsidRDefault="00B45BA0">
      <w:pPr>
        <w:numPr>
          <w:ilvl w:val="1"/>
          <w:numId w:val="139"/>
        </w:numPr>
        <w:shd w:val="clear" w:color="auto" w:fill="DAEEF3" w:themeFill="accent5" w:themeFillTint="33"/>
        <w:spacing w:after="0" w:line="360" w:lineRule="auto"/>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X</w:t>
      </w:r>
      <w:r>
        <w:rPr>
          <w:rStyle w:val="mo"/>
          <w:rFonts w:ascii="MathJax_Main" w:hAnsi="MathJax_Main"/>
          <w:b/>
          <w:color w:val="333333"/>
          <w:sz w:val="15"/>
          <w:szCs w:val="15"/>
        </w:rPr>
        <w:t>&lt;</w:t>
      </w:r>
      <w:r>
        <w:rPr>
          <w:rStyle w:val="mn"/>
          <w:rFonts w:ascii="MathJax_Main" w:hAnsi="MathJax_Main"/>
          <w:b/>
          <w:color w:val="333333"/>
          <w:sz w:val="15"/>
          <w:szCs w:val="15"/>
        </w:rPr>
        <w:t>273</w:t>
      </w:r>
      <w:r>
        <w:rPr>
          <w:rStyle w:val="mtext"/>
          <w:rFonts w:ascii="MathJax_Main" w:hAnsi="MathJax_Main"/>
          <w:b/>
          <w:color w:val="333333"/>
          <w:sz w:val="15"/>
          <w:szCs w:val="15"/>
        </w:rPr>
        <w:t>  or </w:t>
      </w:r>
      <w:r>
        <w:rPr>
          <w:rStyle w:val="mi"/>
          <w:rFonts w:ascii="MathJax_Math" w:hAnsi="MathJax_Math"/>
          <w:b/>
          <w:i/>
          <w:iCs/>
          <w:color w:val="333333"/>
          <w:sz w:val="15"/>
          <w:szCs w:val="15"/>
        </w:rPr>
        <w:t>X</w:t>
      </w:r>
      <w:r>
        <w:rPr>
          <w:rStyle w:val="mo"/>
          <w:rFonts w:ascii="MathJax_Main" w:hAnsi="MathJax_Main"/>
          <w:b/>
          <w:color w:val="333333"/>
          <w:sz w:val="15"/>
          <w:szCs w:val="15"/>
        </w:rPr>
        <w:t>&gt;</w:t>
      </w:r>
      <w:r>
        <w:rPr>
          <w:rStyle w:val="mn"/>
          <w:rFonts w:ascii="MathJax_Main" w:hAnsi="MathJax_Main"/>
          <w:b/>
          <w:color w:val="333333"/>
          <w:sz w:val="15"/>
          <w:szCs w:val="15"/>
        </w:rPr>
        <w:t>303</w:t>
      </w:r>
      <w:r>
        <w:rPr>
          <w:rStyle w:val="mo"/>
          <w:rFonts w:ascii="MathJax_Main" w:hAnsi="MathJax_Main"/>
          <w:b/>
          <w:color w:val="333333"/>
          <w:sz w:val="15"/>
          <w:szCs w:val="15"/>
        </w:rPr>
        <w:t>)</w:t>
      </w:r>
    </w:p>
    <w:p w:rsidR="00AD77BB" w:rsidRDefault="00B45BA0">
      <w:pPr>
        <w:numPr>
          <w:ilvl w:val="1"/>
          <w:numId w:val="139"/>
        </w:numPr>
        <w:shd w:val="clear" w:color="auto" w:fill="DAEEF3" w:themeFill="accent5" w:themeFillTint="33"/>
        <w:spacing w:after="0" w:line="360" w:lineRule="auto"/>
        <w:textAlignment w:val="baseline"/>
        <w:rPr>
          <w:rFonts w:ascii="Calibri" w:hAnsi="Calibri"/>
          <w:b/>
          <w:color w:val="333333"/>
          <w:sz w:val="20"/>
          <w:szCs w:val="20"/>
        </w:rPr>
      </w:pP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X</w:t>
      </w:r>
      <w:r>
        <w:rPr>
          <w:rStyle w:val="mo"/>
          <w:rFonts w:ascii="MathJax_Main" w:hAnsi="MathJax_Main"/>
          <w:b/>
          <w:color w:val="333333"/>
          <w:sz w:val="15"/>
          <w:szCs w:val="15"/>
        </w:rPr>
        <w:t>&lt;</w:t>
      </w:r>
      <w:r>
        <w:rPr>
          <w:rStyle w:val="mn"/>
          <w:rFonts w:ascii="MathJax_Main" w:hAnsi="MathJax_Main"/>
          <w:b/>
          <w:color w:val="333333"/>
          <w:sz w:val="15"/>
          <w:szCs w:val="15"/>
        </w:rPr>
        <w:t>280</w:t>
      </w:r>
      <w:r>
        <w:rPr>
          <w:rStyle w:val="mtext"/>
          <w:rFonts w:ascii="MathJax_Main" w:hAnsi="MathJax_Main"/>
          <w:b/>
          <w:color w:val="333333"/>
          <w:sz w:val="15"/>
          <w:szCs w:val="15"/>
        </w:rPr>
        <w:t>  or </w:t>
      </w:r>
      <w:r>
        <w:rPr>
          <w:rStyle w:val="mi"/>
          <w:rFonts w:ascii="MathJax_Math" w:hAnsi="MathJax_Math"/>
          <w:b/>
          <w:i/>
          <w:iCs/>
          <w:color w:val="333333"/>
          <w:sz w:val="15"/>
          <w:szCs w:val="15"/>
        </w:rPr>
        <w:t>X</w:t>
      </w:r>
      <w:r>
        <w:rPr>
          <w:rStyle w:val="mo"/>
          <w:rFonts w:ascii="MathJax_Main" w:hAnsi="MathJax_Main"/>
          <w:b/>
          <w:color w:val="333333"/>
          <w:sz w:val="15"/>
          <w:szCs w:val="15"/>
        </w:rPr>
        <w:t>&gt;</w:t>
      </w:r>
      <w:r>
        <w:rPr>
          <w:rStyle w:val="mn"/>
          <w:rFonts w:ascii="MathJax_Main" w:hAnsi="MathJax_Main"/>
          <w:b/>
          <w:color w:val="333333"/>
          <w:sz w:val="15"/>
          <w:szCs w:val="15"/>
        </w:rPr>
        <w:t>296</w:t>
      </w:r>
      <w:r>
        <w:rPr>
          <w:rStyle w:val="mo"/>
          <w:rFonts w:ascii="MathJax_Main" w:hAnsi="MathJax_Main"/>
          <w:b/>
          <w:color w:val="333333"/>
          <w:sz w:val="15"/>
          <w:szCs w:val="15"/>
        </w:rPr>
        <w:t>)</w:t>
      </w:r>
    </w:p>
    <w:p w:rsidR="00AD77BB" w:rsidRDefault="00AD77BB">
      <w:pPr>
        <w:shd w:val="clear" w:color="auto" w:fill="DAEEF3" w:themeFill="accent5" w:themeFillTint="33"/>
        <w:spacing w:after="0" w:line="360" w:lineRule="auto"/>
        <w:ind w:left="1440"/>
        <w:textAlignment w:val="baseline"/>
        <w:rPr>
          <w:rFonts w:ascii="Calibri" w:eastAsia="Times New Roman" w:hAnsi="Calibri" w:cs="Times New Roman"/>
          <w:b/>
          <w:color w:val="333333"/>
          <w:sz w:val="20"/>
          <w:szCs w:val="20"/>
        </w:rPr>
      </w:pPr>
    </w:p>
    <w:p w:rsidR="00AD77BB" w:rsidRDefault="00AD77BB">
      <w:pPr>
        <w:shd w:val="clear" w:color="auto" w:fill="E3EFF7"/>
        <w:spacing w:line="360" w:lineRule="auto"/>
        <w:ind w:left="1440"/>
        <w:textAlignment w:val="baseline"/>
        <w:rPr>
          <w:rFonts w:ascii="Calibri" w:eastAsia="Times New Roman" w:hAnsi="Calibri" w:cs="Times New Roman"/>
          <w:color w:val="333333"/>
          <w:sz w:val="20"/>
          <w:szCs w:val="20"/>
        </w:rPr>
      </w:pPr>
    </w:p>
    <w:p w:rsidR="00AD77BB" w:rsidRDefault="00B45BA0">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APPLICATIONS</w:t>
      </w:r>
    </w:p>
    <w:p w:rsidR="00AD77BB" w:rsidRDefault="00B45BA0">
      <w:pPr>
        <w:numPr>
          <w:ilvl w:val="0"/>
          <w:numId w:val="140"/>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amount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of beverage in a can labeled 12 ounces is normally distributed with mean 12.1 ounces and standard deviation 0.05 ounce. A can is selected at random.</w:t>
      </w:r>
    </w:p>
    <w:p w:rsidR="00AD77BB" w:rsidRDefault="00B45BA0">
      <w:pPr>
        <w:numPr>
          <w:ilvl w:val="1"/>
          <w:numId w:val="140"/>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the can contains at least 12 ounces.</w:t>
      </w:r>
    </w:p>
    <w:p w:rsidR="00AD77BB" w:rsidRDefault="00B45BA0">
      <w:pPr>
        <w:numPr>
          <w:ilvl w:val="1"/>
          <w:numId w:val="140"/>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the can contains between 11.9 and 12.1 ounces.</w:t>
      </w:r>
    </w:p>
    <w:p w:rsidR="00AD77BB" w:rsidRDefault="00B45BA0">
      <w:pPr>
        <w:numPr>
          <w:ilvl w:val="0"/>
          <w:numId w:val="140"/>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length of gestation for swine is normally distributed with mean 114 days and standard deviation 0.75 day. Find the probability that a litter will be born within one day of the mean of 114.</w:t>
      </w:r>
    </w:p>
    <w:p w:rsidR="00AD77BB" w:rsidRDefault="00B45BA0">
      <w:pPr>
        <w:numPr>
          <w:ilvl w:val="0"/>
          <w:numId w:val="140"/>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systolic blood pressure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of adults in a region is normally distributed with mean 112 mm Hg and standard deviation 15 mm Hg. A person is considered “prehypertensive” if his systolic blood pressure is between 120 and 130 mm Hg. Find the probability that the blood pressure of a randomly selected person is prehypertensive.</w:t>
      </w:r>
    </w:p>
    <w:p w:rsidR="00AD77BB" w:rsidRDefault="00B45BA0">
      <w:pPr>
        <w:numPr>
          <w:ilvl w:val="0"/>
          <w:numId w:val="140"/>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Heights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of adult women are normally distributed with mean 63.7 inches and standard deviation 2.71 inches. Romeo, who is 69.25 inches tall, wishes to date only women who are shorter than he but within 4 inches of his height. Find the probability that the next woman he meets will have such a height.</w:t>
      </w:r>
    </w:p>
    <w:p w:rsidR="00AD77BB" w:rsidRDefault="00B45BA0">
      <w:pPr>
        <w:numPr>
          <w:ilvl w:val="0"/>
          <w:numId w:val="140"/>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Heights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of adult men are normally distributed with mean 69.1 inches and standard deviation 2.92 inches. Juliet, who is 63.25 inches tall, wishes to date only men who are taller than she but within 6 inches of her height. Find the probability that the next man she meets will have such a height.</w:t>
      </w:r>
    </w:p>
    <w:p w:rsidR="00AD77BB" w:rsidRDefault="00B45BA0">
      <w:pPr>
        <w:pStyle w:val="para"/>
        <w:numPr>
          <w:ilvl w:val="0"/>
          <w:numId w:val="140"/>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Fonts w:ascii="Calibri" w:hAnsi="Calibri"/>
          <w:color w:val="333333"/>
          <w:sz w:val="20"/>
          <w:szCs w:val="20"/>
        </w:rPr>
        <w:t>A regulation hockey puck must weigh between 5.5 and 6 ounces. The weights</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of pucks made by a particular process are normally distributed with mean 5.75 ounces and standard deviation 0.11 ounce. Find the probability that a puck made by this process will meet the weight standard.</w:t>
      </w:r>
    </w:p>
    <w:p w:rsidR="00AD77BB" w:rsidRDefault="00B45BA0">
      <w:pPr>
        <w:pStyle w:val="para"/>
        <w:numPr>
          <w:ilvl w:val="0"/>
          <w:numId w:val="140"/>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Fonts w:ascii="Calibri" w:hAnsi="Calibri"/>
          <w:color w:val="333333"/>
          <w:sz w:val="20"/>
          <w:szCs w:val="20"/>
        </w:rPr>
        <w:t>A regulation golf ball may not weigh more than 1.620 ounces. The weights</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of golf balls made by a particular process are normally distributed with mean 1.361 ounces and standard deviation 0.09 ounce. Find the probability that a golf ball made by this process will meet the weight standard.</w:t>
      </w:r>
    </w:p>
    <w:p w:rsidR="00AD77BB" w:rsidRDefault="00B45BA0">
      <w:pPr>
        <w:pStyle w:val="para"/>
        <w:numPr>
          <w:ilvl w:val="0"/>
          <w:numId w:val="140"/>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Fonts w:ascii="Calibri" w:hAnsi="Calibri"/>
          <w:color w:val="333333"/>
          <w:sz w:val="20"/>
          <w:szCs w:val="20"/>
        </w:rPr>
        <w:t>The length of time that the battery in Hippolyta's cell phone will hold enough charge to operate acceptably is normally distributed with mean 25.6 hours and standard deviation 0.32 hour. Hippolyta forgot to charge her phone yesterday, so that at the moment she first wishes to use it today it has been 26 hours 18 minutes since the phone was last fully charged. Find the probability that the phone will operate properly.</w:t>
      </w:r>
    </w:p>
    <w:p w:rsidR="00AD77BB" w:rsidRDefault="00B45BA0">
      <w:pPr>
        <w:pStyle w:val="para"/>
        <w:numPr>
          <w:ilvl w:val="0"/>
          <w:numId w:val="140"/>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Fonts w:ascii="Calibri" w:hAnsi="Calibri"/>
          <w:color w:val="333333"/>
          <w:sz w:val="20"/>
          <w:szCs w:val="20"/>
        </w:rPr>
        <w:lastRenderedPageBreak/>
        <w:t>The amount of non-mortgage debt per household for households in a particular income bracket in one part of the country is normally distributed with mean $28,350 and standard deviation $3,425. Find the probability that a randomly selected such household has between $20,000 and $30,000 in non-mortgage debt.</w:t>
      </w:r>
    </w:p>
    <w:p w:rsidR="00AD77BB" w:rsidRDefault="00B45BA0">
      <w:pPr>
        <w:pStyle w:val="para"/>
        <w:numPr>
          <w:ilvl w:val="0"/>
          <w:numId w:val="140"/>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Fonts w:ascii="Calibri" w:hAnsi="Calibri"/>
          <w:color w:val="333333"/>
          <w:sz w:val="20"/>
          <w:szCs w:val="20"/>
        </w:rPr>
        <w:t>Birth weights of full-term babies in a certain region are normally distributed with mean 7.125 lb and standard deviation 1.290 lb. Find the probability that a randomly selected newborn will weigh less than 5.5 lb, the historic definition of prematurity.</w:t>
      </w:r>
    </w:p>
    <w:p w:rsidR="00AD77BB" w:rsidRDefault="00B45BA0">
      <w:pPr>
        <w:pStyle w:val="para"/>
        <w:numPr>
          <w:ilvl w:val="0"/>
          <w:numId w:val="140"/>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Fonts w:ascii="Calibri" w:hAnsi="Calibri"/>
          <w:color w:val="333333"/>
          <w:sz w:val="20"/>
          <w:szCs w:val="20"/>
        </w:rPr>
        <w:t>The distance from the seat back to the front of the knees of seated adult males is normally distributed with mean 23.8 inches and standard deviation 1.22 inches. The distance from the seat back to the back of the next seat forward in all seats on aircraft flown by a budget airline is 26 inches. Find the proportion of adult men flying with this airline whose knees will touch the back of the seat in front of them.</w:t>
      </w:r>
    </w:p>
    <w:p w:rsidR="00AD77BB" w:rsidRDefault="00B45BA0">
      <w:pPr>
        <w:pStyle w:val="para"/>
        <w:numPr>
          <w:ilvl w:val="0"/>
          <w:numId w:val="140"/>
        </w:numPr>
        <w:shd w:val="clear" w:color="auto" w:fill="DAEEF3" w:themeFill="accent5" w:themeFillTint="33"/>
        <w:spacing w:before="0" w:beforeAutospacing="0" w:after="0" w:afterAutospacing="0" w:line="439" w:lineRule="atLeast"/>
        <w:textAlignment w:val="baseline"/>
        <w:rPr>
          <w:rFonts w:ascii="Calibri" w:hAnsi="Calibri"/>
          <w:color w:val="333333"/>
          <w:sz w:val="20"/>
          <w:szCs w:val="20"/>
        </w:rPr>
      </w:pPr>
      <w:r>
        <w:rPr>
          <w:rFonts w:ascii="Calibri" w:hAnsi="Calibri"/>
          <w:color w:val="333333"/>
          <w:sz w:val="20"/>
          <w:szCs w:val="20"/>
        </w:rPr>
        <w:t>The distance from the seat to the top of the head of seated adult males is normally distributed with mean 36.5 inches and standard deviation 1.39 inches. The distance from the seat to the roof of a particular make and model car is 40.5 inches. Find the proportion of adult men who when sitting in this car will have at least one inch of headroom (distance from the top of the head to the roof).</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ADDITIONAL EXERCISES</w:t>
      </w:r>
    </w:p>
    <w:p w:rsidR="00AD77BB" w:rsidRDefault="00B45BA0">
      <w:pPr>
        <w:pStyle w:val="para"/>
        <w:numPr>
          <w:ilvl w:val="0"/>
          <w:numId w:val="141"/>
        </w:numPr>
        <w:shd w:val="clear" w:color="auto" w:fill="DAEEF3" w:themeFill="accent5" w:themeFillTint="33"/>
        <w:spacing w:before="0" w:beforeAutospacing="0" w:after="0" w:afterAutospacing="0" w:line="360" w:lineRule="auto"/>
        <w:ind w:left="328" w:hangingChars="164" w:hanging="328"/>
        <w:textAlignment w:val="baseline"/>
        <w:rPr>
          <w:rFonts w:ascii="Calibri" w:hAnsi="Calibri"/>
          <w:color w:val="333333"/>
          <w:sz w:val="20"/>
          <w:szCs w:val="20"/>
        </w:rPr>
      </w:pPr>
      <w:r>
        <w:rPr>
          <w:rFonts w:ascii="Calibri" w:hAnsi="Calibri"/>
          <w:color w:val="333333"/>
          <w:sz w:val="20"/>
          <w:szCs w:val="20"/>
        </w:rPr>
        <w:t>The useful life of a particular make and type of automotive tire is normally distributed with mean 57,500 miles and standard deviation 950 miles.</w:t>
      </w:r>
    </w:p>
    <w:p w:rsidR="00AD77BB" w:rsidRDefault="00B45BA0">
      <w:pPr>
        <w:numPr>
          <w:ilvl w:val="1"/>
          <w:numId w:val="141"/>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 such a tire will have a useful life of between 57,000 and 58,000 miles.</w:t>
      </w:r>
    </w:p>
    <w:p w:rsidR="00AD77BB" w:rsidRDefault="00B45BA0">
      <w:pPr>
        <w:numPr>
          <w:ilvl w:val="1"/>
          <w:numId w:val="141"/>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Hamlet buys four such tires. Assuming that their lifetimes are independent, find the probability that all four will last between 57,000 and 58,000 miles. (If so, the best tire will have no more than 1,000 miles left on it when the first tire fails.) Hint: There is a binomial random variable here, whose value of</w:t>
      </w:r>
      <w:r>
        <w:rPr>
          <w:rStyle w:val="apple-converted-space"/>
          <w:rFonts w:ascii="Calibri" w:hAnsi="Calibri"/>
          <w:color w:val="333333"/>
          <w:sz w:val="20"/>
          <w:szCs w:val="20"/>
        </w:rPr>
        <w:t> </w:t>
      </w:r>
      <w:r>
        <w:rPr>
          <w:rStyle w:val="Emphasis"/>
          <w:rFonts w:ascii="Calibri" w:hAnsi="Calibri"/>
          <w:color w:val="333333"/>
          <w:sz w:val="20"/>
          <w:szCs w:val="20"/>
        </w:rPr>
        <w:t>p</w:t>
      </w:r>
      <w:r>
        <w:rPr>
          <w:rStyle w:val="apple-converted-space"/>
          <w:rFonts w:ascii="Calibri" w:hAnsi="Calibri"/>
          <w:color w:val="333333"/>
          <w:sz w:val="20"/>
          <w:szCs w:val="20"/>
        </w:rPr>
        <w:t> </w:t>
      </w:r>
      <w:r>
        <w:rPr>
          <w:rFonts w:ascii="Calibri" w:hAnsi="Calibri"/>
          <w:color w:val="333333"/>
          <w:sz w:val="20"/>
          <w:szCs w:val="20"/>
        </w:rPr>
        <w:t>comes from part (a).</w:t>
      </w:r>
    </w:p>
    <w:p w:rsidR="00AD77BB" w:rsidRDefault="00B45BA0">
      <w:pPr>
        <w:pStyle w:val="para"/>
        <w:numPr>
          <w:ilvl w:val="0"/>
          <w:numId w:val="141"/>
        </w:numPr>
        <w:shd w:val="clear" w:color="auto" w:fill="DAEEF3" w:themeFill="accent5" w:themeFillTint="33"/>
        <w:spacing w:before="0" w:beforeAutospacing="0" w:after="0" w:afterAutospacing="0" w:line="360" w:lineRule="auto"/>
        <w:ind w:left="328" w:hangingChars="164" w:hanging="328"/>
        <w:textAlignment w:val="baseline"/>
        <w:rPr>
          <w:rFonts w:ascii="Calibri" w:hAnsi="Calibri"/>
          <w:color w:val="333333"/>
          <w:sz w:val="20"/>
          <w:szCs w:val="20"/>
        </w:rPr>
      </w:pPr>
      <w:r>
        <w:rPr>
          <w:rFonts w:ascii="Calibri" w:hAnsi="Calibri"/>
          <w:color w:val="333333"/>
          <w:sz w:val="20"/>
          <w:szCs w:val="20"/>
        </w:rPr>
        <w:t>A machine produces large fasteners whose length must be within 0.5 inch of 22 inches. The lengths are normally distributed with mean 22.0 inches and standard deviation 0.17 inch.</w:t>
      </w:r>
    </w:p>
    <w:p w:rsidR="00AD77BB" w:rsidRDefault="00B45BA0">
      <w:pPr>
        <w:numPr>
          <w:ilvl w:val="1"/>
          <w:numId w:val="141"/>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 a randomly selected fastener produced by the machine will have an acceptable length.</w:t>
      </w:r>
    </w:p>
    <w:p w:rsidR="00AD77BB" w:rsidRDefault="00B45BA0">
      <w:pPr>
        <w:numPr>
          <w:ilvl w:val="1"/>
          <w:numId w:val="141"/>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The machine produces 20 fasteners per hour. The length of each one is inspected. Assuming lengths of fasteners are independent, find the probability that all 20 will have acceptable length. Hint: There is a binomial random variable here, whose value of</w:t>
      </w:r>
      <w:r>
        <w:rPr>
          <w:rStyle w:val="apple-converted-space"/>
          <w:rFonts w:ascii="Calibri" w:hAnsi="Calibri"/>
          <w:color w:val="333333"/>
          <w:sz w:val="20"/>
          <w:szCs w:val="20"/>
        </w:rPr>
        <w:t> </w:t>
      </w:r>
      <w:r>
        <w:rPr>
          <w:rStyle w:val="Emphasis"/>
          <w:rFonts w:ascii="Calibri" w:hAnsi="Calibri"/>
          <w:color w:val="333333"/>
          <w:sz w:val="20"/>
          <w:szCs w:val="20"/>
        </w:rPr>
        <w:t>p</w:t>
      </w:r>
      <w:r>
        <w:rPr>
          <w:rStyle w:val="apple-converted-space"/>
          <w:rFonts w:ascii="Calibri" w:hAnsi="Calibri"/>
          <w:color w:val="333333"/>
          <w:sz w:val="20"/>
          <w:szCs w:val="20"/>
        </w:rPr>
        <w:t> </w:t>
      </w:r>
      <w:r>
        <w:rPr>
          <w:rFonts w:ascii="Calibri" w:hAnsi="Calibri"/>
          <w:color w:val="333333"/>
          <w:sz w:val="20"/>
          <w:szCs w:val="20"/>
        </w:rPr>
        <w:t>comes from part (a).</w:t>
      </w:r>
    </w:p>
    <w:p w:rsidR="00AD77BB" w:rsidRDefault="00B45BA0">
      <w:pPr>
        <w:pStyle w:val="para"/>
        <w:numPr>
          <w:ilvl w:val="0"/>
          <w:numId w:val="141"/>
        </w:numPr>
        <w:shd w:val="clear" w:color="auto" w:fill="DAEEF3" w:themeFill="accent5" w:themeFillTint="33"/>
        <w:spacing w:before="0" w:beforeAutospacing="0" w:after="0" w:afterAutospacing="0" w:line="360" w:lineRule="auto"/>
        <w:ind w:left="328" w:hangingChars="164" w:hanging="328"/>
        <w:textAlignment w:val="baseline"/>
        <w:rPr>
          <w:rFonts w:ascii="Calibri" w:hAnsi="Calibri"/>
          <w:color w:val="333333"/>
          <w:sz w:val="20"/>
          <w:szCs w:val="20"/>
        </w:rPr>
      </w:pPr>
      <w:r>
        <w:rPr>
          <w:rFonts w:ascii="Calibri" w:hAnsi="Calibri"/>
          <w:color w:val="333333"/>
          <w:sz w:val="20"/>
          <w:szCs w:val="20"/>
        </w:rPr>
        <w:t>The lengths of time taken by students on an algebra proficiency exam (if not forced to stop before completing it) are normally distributed with mean 28 minutes and standard deviation 1.5 minutes.</w:t>
      </w:r>
    </w:p>
    <w:p w:rsidR="00AD77BB" w:rsidRDefault="00B45BA0">
      <w:pPr>
        <w:numPr>
          <w:ilvl w:val="1"/>
          <w:numId w:val="141"/>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lastRenderedPageBreak/>
        <w:t>Find the proportion of students who will finish the exam if a 30-minute time limit is set.</w:t>
      </w:r>
    </w:p>
    <w:p w:rsidR="00AD77BB" w:rsidRDefault="00B45BA0">
      <w:pPr>
        <w:numPr>
          <w:ilvl w:val="1"/>
          <w:numId w:val="141"/>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Six students are taking the exam today. Find the probability that all six will finish the exam within the 30-minute limit, assuming that times taken by students are independent. Hint: There is a binomial random variable here, whose value of</w:t>
      </w:r>
      <w:r>
        <w:rPr>
          <w:rStyle w:val="apple-converted-space"/>
          <w:rFonts w:ascii="Calibri" w:hAnsi="Calibri"/>
          <w:color w:val="333333"/>
          <w:sz w:val="20"/>
          <w:szCs w:val="20"/>
        </w:rPr>
        <w:t> </w:t>
      </w:r>
      <w:r>
        <w:rPr>
          <w:rStyle w:val="Emphasis"/>
          <w:rFonts w:ascii="Calibri" w:hAnsi="Calibri"/>
          <w:color w:val="333333"/>
          <w:sz w:val="20"/>
          <w:szCs w:val="20"/>
        </w:rPr>
        <w:t>p</w:t>
      </w:r>
      <w:r>
        <w:rPr>
          <w:rStyle w:val="apple-converted-space"/>
          <w:rFonts w:ascii="Calibri" w:hAnsi="Calibri"/>
          <w:color w:val="333333"/>
          <w:sz w:val="20"/>
          <w:szCs w:val="20"/>
        </w:rPr>
        <w:t> </w:t>
      </w:r>
      <w:r>
        <w:rPr>
          <w:rFonts w:ascii="Calibri" w:hAnsi="Calibri"/>
          <w:color w:val="333333"/>
          <w:sz w:val="20"/>
          <w:szCs w:val="20"/>
        </w:rPr>
        <w:t>comes from part (a).</w:t>
      </w:r>
    </w:p>
    <w:p w:rsidR="00AD77BB" w:rsidRDefault="00B45BA0">
      <w:pPr>
        <w:pStyle w:val="para"/>
        <w:numPr>
          <w:ilvl w:val="0"/>
          <w:numId w:val="141"/>
        </w:numPr>
        <w:shd w:val="clear" w:color="auto" w:fill="DAEEF3" w:themeFill="accent5" w:themeFillTint="33"/>
        <w:spacing w:before="0" w:beforeAutospacing="0" w:after="0" w:afterAutospacing="0" w:line="360" w:lineRule="auto"/>
        <w:ind w:left="328" w:hangingChars="164" w:hanging="328"/>
        <w:textAlignment w:val="baseline"/>
        <w:rPr>
          <w:rFonts w:ascii="Calibri" w:hAnsi="Calibri"/>
          <w:color w:val="333333"/>
          <w:sz w:val="20"/>
          <w:szCs w:val="20"/>
        </w:rPr>
      </w:pPr>
      <w:r>
        <w:rPr>
          <w:rFonts w:ascii="Calibri" w:hAnsi="Calibri"/>
          <w:color w:val="333333"/>
          <w:sz w:val="20"/>
          <w:szCs w:val="20"/>
        </w:rPr>
        <w:t>Heights of adult men between 18 and 34 years of age are normally distributed with mean 69.1 inches and standard deviation 2.92 inches. One requirement for enlistment in the military is that men must stand between 60 and 80 inches tall.</w:t>
      </w:r>
    </w:p>
    <w:p w:rsidR="00AD77BB" w:rsidRDefault="00B45BA0">
      <w:pPr>
        <w:numPr>
          <w:ilvl w:val="1"/>
          <w:numId w:val="141"/>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probability that a randomly elected man meets the height requirement for military service.</w:t>
      </w:r>
    </w:p>
    <w:p w:rsidR="00AD77BB" w:rsidRDefault="00B45BA0">
      <w:pPr>
        <w:numPr>
          <w:ilvl w:val="1"/>
          <w:numId w:val="141"/>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Twenty-three men independently contact a recruiter this week. Find the probability that all of them meet the height requirement. Hint: There is a binomial random variable here, whose value of</w:t>
      </w:r>
      <w:r>
        <w:rPr>
          <w:rStyle w:val="apple-converted-space"/>
          <w:rFonts w:ascii="Calibri" w:hAnsi="Calibri"/>
          <w:color w:val="333333"/>
          <w:sz w:val="20"/>
          <w:szCs w:val="20"/>
        </w:rPr>
        <w:t> </w:t>
      </w:r>
      <w:r>
        <w:rPr>
          <w:rStyle w:val="Emphasis"/>
          <w:rFonts w:ascii="Calibri" w:hAnsi="Calibri"/>
          <w:color w:val="333333"/>
          <w:sz w:val="20"/>
          <w:szCs w:val="20"/>
        </w:rPr>
        <w:t>p</w:t>
      </w:r>
      <w:r>
        <w:rPr>
          <w:rStyle w:val="apple-converted-space"/>
          <w:rFonts w:ascii="Calibri" w:hAnsi="Calibri"/>
          <w:color w:val="333333"/>
          <w:sz w:val="20"/>
          <w:szCs w:val="20"/>
        </w:rPr>
        <w:t> </w:t>
      </w:r>
      <w:r>
        <w:rPr>
          <w:rFonts w:ascii="Calibri" w:hAnsi="Calibri"/>
          <w:color w:val="333333"/>
          <w:sz w:val="20"/>
          <w:szCs w:val="20"/>
        </w:rPr>
        <w:t>comes from part (a).</w:t>
      </w:r>
    </w:p>
    <w:p w:rsidR="00AD77BB" w:rsidRDefault="00B45BA0">
      <w:pPr>
        <w:pStyle w:val="para"/>
        <w:numPr>
          <w:ilvl w:val="0"/>
          <w:numId w:val="141"/>
        </w:numPr>
        <w:shd w:val="clear" w:color="auto" w:fill="DAEEF3" w:themeFill="accent5" w:themeFillTint="33"/>
        <w:spacing w:before="0" w:beforeAutospacing="0" w:after="0" w:afterAutospacing="0" w:line="360" w:lineRule="auto"/>
        <w:ind w:left="328" w:hangingChars="164" w:hanging="328"/>
        <w:textAlignment w:val="baseline"/>
        <w:rPr>
          <w:rFonts w:ascii="Calibri" w:hAnsi="Calibri"/>
          <w:color w:val="333333"/>
          <w:sz w:val="20"/>
          <w:szCs w:val="20"/>
        </w:rPr>
      </w:pPr>
      <w:r>
        <w:rPr>
          <w:rFonts w:ascii="Calibri" w:hAnsi="Calibri"/>
          <w:color w:val="333333"/>
          <w:sz w:val="20"/>
          <w:szCs w:val="20"/>
        </w:rPr>
        <w:t>A regulation hockey puck must weigh between 5.5 and 6 ounces. In an alternative manufacturing process the mean weight of pucks produced is 5.75 ounce. The weights of pucks have a normal distribution whose standard deviation can be decreased by increasingly stringent (and expensive) controls on the manufacturing process. Find the maximum allowable standard deviation so that at most 0.005 of all pucks will fail to meet the weight standard. (Hint: The distribution is symmetric and is centered at the middle of the interval of acceptable weights.)</w:t>
      </w:r>
    </w:p>
    <w:p w:rsidR="00AD77BB" w:rsidRDefault="00B45BA0">
      <w:pPr>
        <w:pStyle w:val="para"/>
        <w:numPr>
          <w:ilvl w:val="0"/>
          <w:numId w:val="141"/>
        </w:numPr>
        <w:shd w:val="clear" w:color="auto" w:fill="DAEEF3" w:themeFill="accent5" w:themeFillTint="33"/>
        <w:spacing w:before="0" w:beforeAutospacing="0" w:after="0" w:afterAutospacing="0" w:line="360" w:lineRule="auto"/>
        <w:ind w:left="328" w:hangingChars="164" w:hanging="328"/>
        <w:textAlignment w:val="baseline"/>
        <w:rPr>
          <w:rFonts w:ascii="Calibri" w:hAnsi="Calibri"/>
          <w:color w:val="333333"/>
          <w:sz w:val="20"/>
          <w:szCs w:val="20"/>
        </w:rPr>
      </w:pPr>
      <w:r>
        <w:rPr>
          <w:rFonts w:ascii="Calibri" w:hAnsi="Calibri"/>
          <w:color w:val="333333"/>
          <w:sz w:val="20"/>
          <w:szCs w:val="20"/>
        </w:rPr>
        <w:t>The amount of gasoline</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delivered by a metered pump when it registers 5 gallons is a normally distributed random variable. The standard deviation</w:t>
      </w:r>
      <w:r>
        <w:rPr>
          <w:rStyle w:val="apple-converted-space"/>
          <w:rFonts w:ascii="Calibri" w:hAnsi="Calibri"/>
          <w:color w:val="333333"/>
          <w:sz w:val="20"/>
          <w:szCs w:val="20"/>
        </w:rPr>
        <w:t> </w:t>
      </w:r>
      <w:r>
        <w:rPr>
          <w:rStyle w:val="Emphasis"/>
          <w:rFonts w:ascii="Calibri" w:hAnsi="Calibri"/>
          <w:color w:val="333333"/>
          <w:sz w:val="20"/>
          <w:szCs w:val="20"/>
        </w:rPr>
        <w:t>σ</w:t>
      </w:r>
      <w:r>
        <w:rPr>
          <w:rStyle w:val="apple-converted-space"/>
          <w:rFonts w:ascii="Calibri" w:hAnsi="Calibri"/>
          <w:color w:val="333333"/>
          <w:sz w:val="20"/>
          <w:szCs w:val="20"/>
        </w:rPr>
        <w:t> </w:t>
      </w:r>
      <w:r>
        <w:rPr>
          <w:rFonts w:ascii="Calibri" w:hAnsi="Calibri"/>
          <w:color w:val="333333"/>
          <w:sz w:val="20"/>
          <w:szCs w:val="20"/>
        </w:rPr>
        <w:t>of</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measures the precision of the pump; the smaller</w:t>
      </w:r>
      <w:r>
        <w:rPr>
          <w:rStyle w:val="apple-converted-space"/>
          <w:rFonts w:ascii="Calibri" w:hAnsi="Calibri"/>
          <w:color w:val="333333"/>
          <w:sz w:val="20"/>
          <w:szCs w:val="20"/>
        </w:rPr>
        <w:t> </w:t>
      </w:r>
      <w:r>
        <w:rPr>
          <w:rStyle w:val="Emphasis"/>
          <w:rFonts w:ascii="Calibri" w:hAnsi="Calibri"/>
          <w:color w:val="333333"/>
          <w:sz w:val="20"/>
          <w:szCs w:val="20"/>
        </w:rPr>
        <w:t>σ</w:t>
      </w:r>
      <w:r>
        <w:rPr>
          <w:rStyle w:val="apple-converted-space"/>
          <w:rFonts w:ascii="Calibri" w:hAnsi="Calibri"/>
          <w:color w:val="333333"/>
          <w:sz w:val="20"/>
          <w:szCs w:val="20"/>
        </w:rPr>
        <w:t> </w:t>
      </w:r>
      <w:r>
        <w:rPr>
          <w:rFonts w:ascii="Calibri" w:hAnsi="Calibri"/>
          <w:color w:val="333333"/>
          <w:sz w:val="20"/>
          <w:szCs w:val="20"/>
        </w:rPr>
        <w:t>is the smaller the variation from delivery to delivery. A typical standard for pumps is that when they show that 5 gallons of fuel has been delivered the actual amount must be between 4.97 and 5.03 gallons (which corresponds to being off by at most about half a cup). Supposing that the mean of</w:t>
      </w:r>
      <w:r>
        <w:rPr>
          <w:rStyle w:val="apple-converted-space"/>
          <w:rFonts w:ascii="Calibri" w:hAnsi="Calibri"/>
          <w:color w:val="333333"/>
          <w:sz w:val="20"/>
          <w:szCs w:val="20"/>
        </w:rPr>
        <w:t> </w:t>
      </w:r>
      <w:r>
        <w:rPr>
          <w:rStyle w:val="Emphasis"/>
          <w:rFonts w:ascii="Calibri" w:hAnsi="Calibri"/>
          <w:color w:val="333333"/>
          <w:sz w:val="20"/>
          <w:szCs w:val="20"/>
        </w:rPr>
        <w:t xml:space="preserve">X </w:t>
      </w:r>
      <w:r>
        <w:rPr>
          <w:rFonts w:ascii="Calibri" w:hAnsi="Calibri"/>
          <w:color w:val="333333"/>
          <w:sz w:val="20"/>
          <w:szCs w:val="20"/>
        </w:rPr>
        <w:t>is 5, find the largest that</w:t>
      </w:r>
      <w:r>
        <w:rPr>
          <w:rStyle w:val="apple-converted-space"/>
          <w:rFonts w:ascii="Calibri" w:hAnsi="Calibri"/>
          <w:color w:val="333333"/>
          <w:sz w:val="20"/>
          <w:szCs w:val="20"/>
        </w:rPr>
        <w:t> </w:t>
      </w:r>
      <w:r>
        <w:rPr>
          <w:rStyle w:val="Emphasis"/>
          <w:rFonts w:ascii="Calibri" w:hAnsi="Calibri"/>
          <w:color w:val="333333"/>
          <w:sz w:val="20"/>
          <w:szCs w:val="20"/>
        </w:rPr>
        <w:t>σ</w:t>
      </w:r>
      <w:r>
        <w:rPr>
          <w:rStyle w:val="apple-converted-space"/>
          <w:rFonts w:ascii="Calibri" w:hAnsi="Calibri"/>
          <w:color w:val="333333"/>
          <w:sz w:val="20"/>
          <w:szCs w:val="20"/>
        </w:rPr>
        <w:t> </w:t>
      </w:r>
      <w:r>
        <w:rPr>
          <w:rFonts w:ascii="Calibri" w:hAnsi="Calibri"/>
          <w:color w:val="333333"/>
          <w:sz w:val="20"/>
          <w:szCs w:val="20"/>
        </w:rPr>
        <w:t>can be so that</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(4.97 &lt;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&lt; 5.03) is 1.0000 to four decimal places when computed using</w:t>
      </w:r>
      <w:r>
        <w:rPr>
          <w:rStyle w:val="apple-converted-space"/>
          <w:rFonts w:ascii="Calibri" w:hAnsi="Calibri"/>
          <w:color w:val="333333"/>
          <w:sz w:val="20"/>
          <w:szCs w:val="20"/>
        </w:rPr>
        <w:t> </w:t>
      </w:r>
      <w:r>
        <w:rPr>
          <w:rFonts w:ascii="Calibri" w:eastAsiaTheme="majorEastAsia" w:hAnsi="Calibri"/>
          <w:color w:val="2689C6"/>
          <w:sz w:val="20"/>
          <w:szCs w:val="20"/>
        </w:rPr>
        <w:t>Figure 12.2 "Cumulative Normal Probability"</w:t>
      </w:r>
      <w:r>
        <w:rPr>
          <w:rFonts w:ascii="Calibri" w:hAnsi="Calibri"/>
          <w:color w:val="333333"/>
          <w:sz w:val="20"/>
          <w:szCs w:val="20"/>
        </w:rPr>
        <w:t>, which means that the pump is sufficiently accurate. (Hint: The</w:t>
      </w:r>
      <w:r>
        <w:rPr>
          <w:rStyle w:val="apple-converted-space"/>
          <w:rFonts w:ascii="Calibri" w:hAnsi="Calibri"/>
          <w:color w:val="333333"/>
          <w:sz w:val="20"/>
          <w:szCs w:val="20"/>
        </w:rPr>
        <w:t> </w:t>
      </w:r>
      <w:r>
        <w:rPr>
          <w:rStyle w:val="Emphasis"/>
          <w:rFonts w:ascii="Calibri" w:hAnsi="Calibri"/>
          <w:color w:val="333333"/>
          <w:sz w:val="20"/>
          <w:szCs w:val="20"/>
        </w:rPr>
        <w:t>z</w:t>
      </w:r>
      <w:r>
        <w:rPr>
          <w:rFonts w:ascii="Calibri" w:hAnsi="Calibri"/>
          <w:color w:val="333333"/>
          <w:sz w:val="20"/>
          <w:szCs w:val="20"/>
        </w:rPr>
        <w:t>-score of 5.03 will be the smallest value of</w:t>
      </w:r>
      <w:r>
        <w:rPr>
          <w:rStyle w:val="apple-converted-space"/>
          <w:rFonts w:ascii="Calibri" w:hAnsi="Calibri"/>
          <w:color w:val="333333"/>
          <w:sz w:val="20"/>
          <w:szCs w:val="20"/>
        </w:rPr>
        <w:t> </w:t>
      </w:r>
      <w:r>
        <w:rPr>
          <w:rStyle w:val="Emphasis"/>
          <w:rFonts w:ascii="Calibri" w:hAnsi="Calibri"/>
          <w:color w:val="333333"/>
          <w:sz w:val="20"/>
          <w:szCs w:val="20"/>
        </w:rPr>
        <w:t>Z</w:t>
      </w:r>
      <w:r>
        <w:rPr>
          <w:rStyle w:val="apple-converted-space"/>
          <w:rFonts w:ascii="Calibri" w:hAnsi="Calibri"/>
          <w:color w:val="333333"/>
          <w:sz w:val="20"/>
          <w:szCs w:val="20"/>
        </w:rPr>
        <w:t> </w:t>
      </w:r>
      <w:r>
        <w:rPr>
          <w:rFonts w:ascii="Calibri" w:hAnsi="Calibri"/>
          <w:color w:val="333333"/>
          <w:sz w:val="20"/>
          <w:szCs w:val="20"/>
        </w:rPr>
        <w:t>so that</w:t>
      </w:r>
      <w:r>
        <w:rPr>
          <w:rStyle w:val="apple-converted-space"/>
          <w:rFonts w:ascii="Calibri" w:hAnsi="Calibri"/>
          <w:color w:val="333333"/>
          <w:sz w:val="20"/>
          <w:szCs w:val="20"/>
        </w:rPr>
        <w:t> </w:t>
      </w:r>
      <w:r>
        <w:rPr>
          <w:rFonts w:ascii="Calibri" w:eastAsiaTheme="majorEastAsia" w:hAnsi="Calibri"/>
          <w:color w:val="2689C6"/>
          <w:sz w:val="20"/>
          <w:szCs w:val="20"/>
        </w:rPr>
        <w:t>Figure 12.2 "Cumulative Normal Probability"</w:t>
      </w:r>
      <w:r>
        <w:rPr>
          <w:rStyle w:val="apple-converted-space"/>
          <w:rFonts w:ascii="Calibri" w:hAnsi="Calibri"/>
          <w:color w:val="333333"/>
          <w:sz w:val="20"/>
          <w:szCs w:val="20"/>
        </w:rPr>
        <w:t> </w:t>
      </w:r>
      <w:r>
        <w:rPr>
          <w:rFonts w:ascii="Calibri" w:hAnsi="Calibri"/>
          <w:color w:val="333333"/>
          <w:sz w:val="20"/>
          <w:szCs w:val="20"/>
        </w:rPr>
        <w:t>gives</w:t>
      </w:r>
      <w:r>
        <w:rPr>
          <w:rStyle w:val="apple-converted-space"/>
          <w:rFonts w:ascii="Calibri" w:hAnsi="Calibri"/>
          <w:color w:val="333333"/>
          <w:sz w:val="20"/>
          <w:szCs w:val="20"/>
        </w:rPr>
        <w:t> </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Z</w:t>
      </w:r>
      <w:r>
        <w:rPr>
          <w:rStyle w:val="mo"/>
          <w:rFonts w:ascii="MathJax_Main" w:hAnsi="MathJax_Main"/>
          <w:b/>
          <w:color w:val="333333"/>
          <w:sz w:val="15"/>
          <w:szCs w:val="15"/>
        </w:rPr>
        <w:t>&lt;</w:t>
      </w:r>
      <w:r>
        <w:rPr>
          <w:rStyle w:val="mi"/>
          <w:rFonts w:ascii="MathJax_Math" w:hAnsi="MathJax_Math"/>
          <w:b/>
          <w:i/>
          <w:iCs/>
          <w:color w:val="333333"/>
          <w:sz w:val="15"/>
          <w:szCs w:val="15"/>
        </w:rPr>
        <w:t>z</w:t>
      </w:r>
      <w:r>
        <w:rPr>
          <w:rStyle w:val="mo"/>
          <w:rFonts w:ascii="MathJax_Main" w:hAnsi="MathJax_Main"/>
          <w:b/>
          <w:color w:val="333333"/>
          <w:sz w:val="15"/>
          <w:szCs w:val="15"/>
        </w:rPr>
        <w:t>)=</w:t>
      </w:r>
      <w:r>
        <w:rPr>
          <w:rStyle w:val="mn"/>
          <w:rFonts w:ascii="MathJax_Main" w:hAnsi="MathJax_Main"/>
          <w:b/>
          <w:color w:val="333333"/>
          <w:sz w:val="15"/>
          <w:szCs w:val="15"/>
        </w:rPr>
        <w:t>1.0000</w:t>
      </w:r>
      <w:r>
        <w:rPr>
          <w:rStyle w:val="mo"/>
          <w:rFonts w:ascii="MathJax_Main" w:hAnsi="MathJax_Main"/>
          <w:b/>
          <w:color w:val="333333"/>
          <w:sz w:val="15"/>
          <w:szCs w:val="15"/>
        </w:rPr>
        <w:t>.</w:t>
      </w:r>
      <w:r>
        <w:rPr>
          <w:rFonts w:ascii="Calibri" w:hAnsi="Calibri"/>
          <w:b/>
          <w:color w:val="333333"/>
          <w:sz w:val="20"/>
          <w:szCs w:val="20"/>
        </w:rPr>
        <w:t>)</w:t>
      </w:r>
    </w:p>
    <w:p w:rsidR="00AD77BB" w:rsidRDefault="00AD77BB">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p>
    <w:p w:rsidR="00AD77BB" w:rsidRDefault="00B45BA0">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81FA8CB" wp14:editId="219B5501">
            <wp:extent cx="5143500" cy="6038850"/>
            <wp:effectExtent l="0" t="0" r="0" b="0"/>
            <wp:docPr id="172"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43500" cy="603885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F18D85C" wp14:editId="573128D2">
            <wp:extent cx="5153025" cy="2981325"/>
            <wp:effectExtent l="0" t="0" r="9525" b="9525"/>
            <wp:docPr id="173"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153025" cy="2981325"/>
                    </a:xfrm>
                    <a:prstGeom prst="rect">
                      <a:avLst/>
                    </a:prstGeom>
                    <a:noFill/>
                    <a:ln>
                      <a:noFill/>
                    </a:ln>
                  </pic:spPr>
                </pic:pic>
              </a:graphicData>
            </a:graphic>
          </wp:inline>
        </w:drawing>
      </w:r>
    </w:p>
    <w:p w:rsidR="00AD77BB" w:rsidRDefault="00AD77BB">
      <w:pPr>
        <w:shd w:val="clear" w:color="auto" w:fill="FFFFFF"/>
        <w:spacing w:after="0" w:line="439" w:lineRule="atLeast"/>
        <w:textAlignment w:val="baseline"/>
        <w:outlineLvl w:val="1"/>
        <w:rPr>
          <w:rFonts w:ascii="Calibri" w:eastAsia="Times New Roman" w:hAnsi="Calibri" w:cs="Times New Roman"/>
          <w:b/>
          <w:bCs/>
          <w:color w:val="333333"/>
          <w:sz w:val="35"/>
          <w:szCs w:val="35"/>
        </w:rPr>
      </w:pPr>
    </w:p>
    <w:p w:rsidR="00AD77BB" w:rsidRDefault="00B45BA0">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t>5.4</w:t>
      </w:r>
      <w:r>
        <w:rPr>
          <w:rFonts w:ascii="Calibri" w:eastAsia="Times New Roman" w:hAnsi="Calibri" w:cs="Times New Roman"/>
          <w:b/>
          <w:bCs/>
          <w:color w:val="333333"/>
          <w:sz w:val="36"/>
          <w:szCs w:val="36"/>
        </w:rPr>
        <w:t> Areas of Tails of Distributions</w:t>
      </w:r>
    </w:p>
    <w:p w:rsidR="00AD77BB" w:rsidRDefault="00AD77BB">
      <w:pPr>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rsidR="00AD77BB" w:rsidRDefault="00B45BA0">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w:t>
      </w:r>
    </w:p>
    <w:p w:rsidR="00AD77BB" w:rsidRDefault="00B45BA0">
      <w:pPr>
        <w:numPr>
          <w:ilvl w:val="0"/>
          <w:numId w:val="142"/>
        </w:numPr>
        <w:shd w:val="clear" w:color="auto" w:fill="EAE9DC"/>
        <w:spacing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how to find, for a normal random variable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and an area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the value </w:t>
      </w:r>
      <w:r>
        <w:rPr>
          <w:rFonts w:ascii="MathJax_Main" w:eastAsia="Times New Roman" w:hAnsi="MathJax_Main" w:cs="Times New Roman"/>
          <w:color w:val="333333"/>
          <w:sz w:val="15"/>
          <w:szCs w:val="15"/>
        </w:rPr>
        <w:t>x*</w:t>
      </w:r>
      <w:r>
        <w:rPr>
          <w:rFonts w:ascii="Calibri" w:eastAsia="Times New Roman" w:hAnsi="Calibri" w:cs="Times New Roman"/>
          <w:color w:val="333333"/>
          <w:sz w:val="20"/>
          <w:szCs w:val="20"/>
        </w:rPr>
        <w:t>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so that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&lt;x*)=</w:t>
      </w:r>
      <w:r>
        <w:rPr>
          <w:rFonts w:ascii="MathJax_Math" w:eastAsia="Times New Roman" w:hAnsi="MathJax_Math" w:cs="Times New Roman"/>
          <w:i/>
          <w:iCs/>
          <w:color w:val="333333"/>
          <w:sz w:val="15"/>
          <w:szCs w:val="15"/>
        </w:rPr>
        <w:t>a</w:t>
      </w:r>
      <w:r>
        <w:rPr>
          <w:rFonts w:ascii="Calibri" w:eastAsia="Times New Roman" w:hAnsi="Calibri" w:cs="Times New Roman"/>
          <w:color w:val="333333"/>
          <w:sz w:val="20"/>
          <w:szCs w:val="20"/>
        </w:rPr>
        <w:t> or that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&gt;x*)=</w:t>
      </w:r>
      <w:r>
        <w:rPr>
          <w:rFonts w:ascii="MathJax_Math" w:eastAsia="Times New Roman" w:hAnsi="MathJax_Math" w:cs="Times New Roman"/>
          <w:i/>
          <w:iCs/>
          <w:color w:val="333333"/>
          <w:sz w:val="15"/>
          <w:szCs w:val="15"/>
        </w:rPr>
        <w:t>a</w:t>
      </w:r>
      <w:r>
        <w:rPr>
          <w:rFonts w:ascii="Calibri" w:eastAsia="Times New Roman" w:hAnsi="Calibri" w:cs="Times New Roman"/>
          <w:color w:val="333333"/>
          <w:sz w:val="20"/>
          <w:szCs w:val="20"/>
        </w:rPr>
        <w:t>, whichever is required.</w:t>
      </w:r>
    </w:p>
    <w:p w:rsidR="00AD77BB" w:rsidRDefault="00B45BA0">
      <w:pPr>
        <w:pStyle w:val="Heading3"/>
        <w:shd w:val="clear" w:color="auto" w:fill="DAEEF3" w:themeFill="accent5" w:themeFillTint="33"/>
        <w:spacing w:before="0" w:beforeAutospacing="0" w:after="0" w:afterAutospacing="0" w:line="264" w:lineRule="atLeast"/>
        <w:ind w:left="720"/>
        <w:textAlignment w:val="baseline"/>
        <w:rPr>
          <w:rFonts w:ascii="Calibri" w:hAnsi="Calibri"/>
          <w:color w:val="333333"/>
          <w:sz w:val="31"/>
          <w:szCs w:val="31"/>
        </w:rPr>
      </w:pPr>
      <w:r>
        <w:rPr>
          <w:rFonts w:ascii="Calibri" w:hAnsi="Calibri"/>
          <w:color w:val="333333"/>
          <w:sz w:val="31"/>
          <w:szCs w:val="31"/>
        </w:rPr>
        <w:t>Definition</w:t>
      </w:r>
    </w:p>
    <w:p w:rsidR="00AD77BB" w:rsidRDefault="00B45BA0">
      <w:pPr>
        <w:pStyle w:val="para"/>
        <w:shd w:val="clear" w:color="auto" w:fill="DAEEF3" w:themeFill="accent5" w:themeFillTint="33"/>
        <w:spacing w:before="0" w:beforeAutospacing="0" w:after="0" w:afterAutospacing="0" w:line="360" w:lineRule="auto"/>
        <w:ind w:left="720"/>
        <w:textAlignment w:val="baseline"/>
        <w:rPr>
          <w:rFonts w:ascii="Georgia" w:hAnsi="Georgia"/>
          <w:color w:val="333333"/>
          <w:sz w:val="21"/>
          <w:szCs w:val="21"/>
        </w:rPr>
      </w:pPr>
      <w:r>
        <w:rPr>
          <w:rStyle w:val="Emphasis"/>
          <w:rFonts w:ascii="Georgia" w:hAnsi="Georgia"/>
          <w:color w:val="333333"/>
          <w:sz w:val="20"/>
          <w:szCs w:val="20"/>
        </w:rPr>
        <w:t>The</w:t>
      </w:r>
      <w:r>
        <w:rPr>
          <w:rStyle w:val="apple-converted-space"/>
          <w:rFonts w:ascii="Georgia" w:hAnsi="Georgia"/>
          <w:color w:val="333333"/>
          <w:sz w:val="21"/>
          <w:szCs w:val="21"/>
        </w:rPr>
        <w:t> </w:t>
      </w:r>
      <w:r>
        <w:rPr>
          <w:rStyle w:val="Strong"/>
          <w:rFonts w:ascii="Georgia" w:eastAsiaTheme="majorEastAsia" w:hAnsi="Georgia"/>
          <w:color w:val="333333"/>
          <w:sz w:val="20"/>
          <w:szCs w:val="20"/>
        </w:rPr>
        <w:t>left</w:t>
      </w:r>
      <w:r>
        <w:rPr>
          <w:rStyle w:val="apple-converted-space"/>
          <w:rFonts w:ascii="Georgia" w:hAnsi="Georgia"/>
          <w:color w:val="333333"/>
          <w:sz w:val="21"/>
          <w:szCs w:val="21"/>
        </w:rPr>
        <w:t> </w:t>
      </w:r>
      <w:r>
        <w:rPr>
          <w:rStyle w:val="marginterm"/>
          <w:rFonts w:ascii="Georgia" w:hAnsi="Georgia"/>
          <w:color w:val="333333"/>
          <w:sz w:val="20"/>
          <w:szCs w:val="20"/>
        </w:rPr>
        <w:t>tail</w:t>
      </w:r>
      <w:r>
        <w:rPr>
          <w:rStyle w:val="apple-converted-space"/>
          <w:rFonts w:ascii="Georgia" w:hAnsi="Georgia"/>
          <w:color w:val="333333"/>
          <w:sz w:val="21"/>
          <w:szCs w:val="21"/>
        </w:rPr>
        <w:t> </w:t>
      </w:r>
      <w:r>
        <w:rPr>
          <w:rStyle w:val="Emphasis"/>
          <w:rFonts w:ascii="Georgia" w:hAnsi="Georgia"/>
          <w:color w:val="333333"/>
          <w:sz w:val="20"/>
          <w:szCs w:val="20"/>
        </w:rPr>
        <w:t>of a density curve</w:t>
      </w:r>
      <w:r>
        <w:rPr>
          <w:rStyle w:val="apple-converted-space"/>
          <w:rFonts w:ascii="Georgia" w:hAnsi="Georgia"/>
          <w:color w:val="333333"/>
          <w:sz w:val="21"/>
          <w:szCs w:val="21"/>
        </w:rPr>
        <w:t> </w:t>
      </w:r>
      <w:r>
        <w:rPr>
          <w:rStyle w:val="mi"/>
          <w:rFonts w:ascii="MathJax_Math" w:hAnsi="MathJax_Math"/>
          <w:i/>
          <w:iCs/>
          <w:color w:val="333333"/>
          <w:sz w:val="18"/>
          <w:szCs w:val="18"/>
        </w:rPr>
        <w:t>y</w:t>
      </w:r>
      <w:r>
        <w:rPr>
          <w:rStyle w:val="mo"/>
          <w:rFonts w:ascii="MathJax_Main" w:hAnsi="MathJax_Main"/>
          <w:color w:val="333333"/>
          <w:sz w:val="18"/>
          <w:szCs w:val="18"/>
        </w:rPr>
        <w:t>=</w:t>
      </w:r>
      <w:r>
        <w:rPr>
          <w:rStyle w:val="mi"/>
          <w:rFonts w:ascii="MathJax_Math" w:hAnsi="MathJax_Math"/>
          <w:i/>
          <w:iCs/>
          <w:color w:val="333333"/>
          <w:sz w:val="18"/>
          <w:szCs w:val="18"/>
        </w:rPr>
        <w:t>f</w:t>
      </w:r>
      <w:r>
        <w:rPr>
          <w:rStyle w:val="mo"/>
          <w:rFonts w:ascii="MathJax_Main" w:hAnsi="MathJax_Main"/>
          <w:color w:val="333333"/>
          <w:sz w:val="18"/>
          <w:szCs w:val="18"/>
        </w:rPr>
        <w:t>(</w:t>
      </w:r>
      <w:r>
        <w:rPr>
          <w:rStyle w:val="mi"/>
          <w:rFonts w:ascii="MathJax_Math" w:hAnsi="MathJax_Math"/>
          <w:i/>
          <w:iCs/>
          <w:color w:val="333333"/>
          <w:sz w:val="18"/>
          <w:szCs w:val="18"/>
        </w:rPr>
        <w:t>x</w:t>
      </w:r>
      <w:r>
        <w:rPr>
          <w:rStyle w:val="mo"/>
          <w:rFonts w:ascii="MathJax_Main" w:hAnsi="MathJax_Main"/>
          <w:color w:val="333333"/>
          <w:sz w:val="18"/>
          <w:szCs w:val="18"/>
        </w:rPr>
        <w:t>)</w:t>
      </w:r>
      <w:r>
        <w:rPr>
          <w:rStyle w:val="apple-converted-space"/>
          <w:rFonts w:ascii="Georgia" w:hAnsi="Georgia"/>
          <w:color w:val="333333"/>
          <w:sz w:val="21"/>
          <w:szCs w:val="21"/>
        </w:rPr>
        <w:t> </w:t>
      </w:r>
      <w:r>
        <w:rPr>
          <w:rStyle w:val="Emphasis"/>
          <w:rFonts w:ascii="Georgia" w:hAnsi="Georgia"/>
          <w:color w:val="333333"/>
          <w:sz w:val="20"/>
          <w:szCs w:val="20"/>
        </w:rPr>
        <w:t>of a continuous random variable</w:t>
      </w:r>
      <w:r>
        <w:rPr>
          <w:rStyle w:val="apple-converted-space"/>
          <w:rFonts w:ascii="Georgia" w:hAnsi="Georgia"/>
          <w:color w:val="333333"/>
          <w:sz w:val="21"/>
          <w:szCs w:val="21"/>
        </w:rPr>
        <w:t> </w:t>
      </w:r>
      <w:r>
        <w:rPr>
          <w:rStyle w:val="Emphasis"/>
          <w:rFonts w:ascii="Georgia" w:hAnsi="Georgia"/>
          <w:color w:val="333333"/>
          <w:sz w:val="20"/>
          <w:szCs w:val="20"/>
        </w:rPr>
        <w:t>Xcut off by a value</w:t>
      </w:r>
      <w:r>
        <w:rPr>
          <w:rStyle w:val="apple-converted-space"/>
          <w:rFonts w:ascii="Georgia" w:hAnsi="Georgia"/>
          <w:color w:val="333333"/>
          <w:sz w:val="21"/>
          <w:szCs w:val="21"/>
        </w:rPr>
        <w:t> </w:t>
      </w:r>
      <w:r>
        <w:rPr>
          <w:rStyle w:val="mi"/>
          <w:rFonts w:ascii="MathJax_Main" w:hAnsi="MathJax_Main"/>
          <w:color w:val="333333"/>
          <w:sz w:val="18"/>
          <w:szCs w:val="18"/>
        </w:rPr>
        <w:t>x*</w:t>
      </w:r>
      <w:r>
        <w:rPr>
          <w:rStyle w:val="apple-converted-space"/>
          <w:rFonts w:ascii="Georgia" w:hAnsi="Georgia"/>
          <w:color w:val="333333"/>
          <w:sz w:val="21"/>
          <w:szCs w:val="21"/>
        </w:rPr>
        <w:t> </w:t>
      </w:r>
      <w:r>
        <w:rPr>
          <w:rStyle w:val="Emphasis"/>
          <w:rFonts w:ascii="Georgia" w:hAnsi="Georgia"/>
          <w:color w:val="333333"/>
          <w:sz w:val="20"/>
          <w:szCs w:val="20"/>
        </w:rPr>
        <w:t>of</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Style w:val="Emphasis"/>
          <w:rFonts w:ascii="Georgia" w:hAnsi="Georgia"/>
          <w:color w:val="333333"/>
          <w:sz w:val="20"/>
          <w:szCs w:val="20"/>
        </w:rPr>
        <w:t>is the region under the curve that is to the left of</w:t>
      </w:r>
      <w:r>
        <w:rPr>
          <w:rStyle w:val="apple-converted-space"/>
          <w:rFonts w:ascii="Georgia" w:hAnsi="Georgia"/>
          <w:color w:val="333333"/>
          <w:sz w:val="21"/>
          <w:szCs w:val="21"/>
        </w:rPr>
        <w:t> </w:t>
      </w:r>
      <w:r>
        <w:rPr>
          <w:rStyle w:val="mi"/>
          <w:rFonts w:ascii="MathJax_Main" w:hAnsi="MathJax_Main"/>
          <w:color w:val="333333"/>
          <w:sz w:val="18"/>
          <w:szCs w:val="18"/>
        </w:rPr>
        <w:t>x*</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as shown by the shading in</w:t>
      </w:r>
      <w:r>
        <w:rPr>
          <w:rStyle w:val="apple-converted-space"/>
          <w:rFonts w:ascii="Georgia" w:hAnsi="Georgia"/>
          <w:i/>
          <w:iCs/>
          <w:color w:val="333333"/>
          <w:sz w:val="20"/>
          <w:szCs w:val="20"/>
        </w:rPr>
        <w:t> </w:t>
      </w:r>
      <w:r>
        <w:rPr>
          <w:rFonts w:ascii="Georgia" w:hAnsi="Georgia"/>
          <w:i/>
          <w:iCs/>
          <w:color w:val="2689C6"/>
          <w:sz w:val="20"/>
          <w:szCs w:val="20"/>
        </w:rPr>
        <w:t>Figure 5.19 "Right and Left Tails of a Distribution"</w:t>
      </w:r>
      <w:r>
        <w:rPr>
          <w:rStyle w:val="Emphasis"/>
          <w:rFonts w:ascii="Georgia" w:hAnsi="Georgia"/>
          <w:color w:val="333333"/>
          <w:sz w:val="20"/>
          <w:szCs w:val="20"/>
        </w:rPr>
        <w:t>(a). The</w:t>
      </w:r>
      <w:r>
        <w:rPr>
          <w:rStyle w:val="apple-converted-space"/>
          <w:rFonts w:ascii="Georgia" w:hAnsi="Georgia"/>
          <w:color w:val="333333"/>
          <w:sz w:val="21"/>
          <w:szCs w:val="21"/>
        </w:rPr>
        <w:t> </w:t>
      </w:r>
      <w:r>
        <w:rPr>
          <w:rStyle w:val="Strong"/>
          <w:rFonts w:ascii="Georgia" w:eastAsiaTheme="majorEastAsia" w:hAnsi="Georgia"/>
          <w:color w:val="333333"/>
          <w:sz w:val="20"/>
          <w:szCs w:val="20"/>
        </w:rPr>
        <w:t>right tail</w:t>
      </w:r>
      <w:r>
        <w:rPr>
          <w:rStyle w:val="apple-converted-space"/>
          <w:rFonts w:ascii="Georgia" w:hAnsi="Georgia"/>
          <w:color w:val="333333"/>
          <w:sz w:val="21"/>
          <w:szCs w:val="21"/>
        </w:rPr>
        <w:t> </w:t>
      </w:r>
      <w:r>
        <w:rPr>
          <w:rStyle w:val="Emphasis"/>
          <w:rFonts w:ascii="Georgia" w:hAnsi="Georgia"/>
          <w:color w:val="333333"/>
          <w:sz w:val="20"/>
          <w:szCs w:val="20"/>
        </w:rPr>
        <w:t>cut off by</w:t>
      </w:r>
      <w:r>
        <w:rPr>
          <w:rStyle w:val="apple-converted-space"/>
          <w:rFonts w:ascii="Georgia" w:hAnsi="Georgia"/>
          <w:color w:val="333333"/>
          <w:sz w:val="21"/>
          <w:szCs w:val="21"/>
        </w:rPr>
        <w:t> </w:t>
      </w:r>
      <w:r>
        <w:rPr>
          <w:rStyle w:val="mi"/>
          <w:rFonts w:ascii="MathJax_Main" w:hAnsi="MathJax_Main"/>
          <w:color w:val="333333"/>
          <w:sz w:val="18"/>
          <w:szCs w:val="18"/>
        </w:rPr>
        <w:t>x*</w:t>
      </w:r>
      <w:r>
        <w:rPr>
          <w:rStyle w:val="apple-converted-space"/>
          <w:rFonts w:ascii="Georgia" w:hAnsi="Georgia"/>
          <w:color w:val="333333"/>
          <w:sz w:val="21"/>
          <w:szCs w:val="21"/>
        </w:rPr>
        <w:t> </w:t>
      </w:r>
      <w:r>
        <w:rPr>
          <w:rStyle w:val="Emphasis"/>
          <w:rFonts w:ascii="Georgia" w:hAnsi="Georgia"/>
          <w:color w:val="333333"/>
          <w:sz w:val="20"/>
          <w:szCs w:val="20"/>
        </w:rPr>
        <w:t>is defined similarly, as indicated by the shading in</w:t>
      </w:r>
      <w:r>
        <w:rPr>
          <w:rStyle w:val="apple-converted-space"/>
          <w:rFonts w:ascii="Georgia" w:hAnsi="Georgia"/>
          <w:i/>
          <w:iCs/>
          <w:color w:val="333333"/>
          <w:sz w:val="20"/>
          <w:szCs w:val="20"/>
        </w:rPr>
        <w:t> </w:t>
      </w:r>
      <w:r>
        <w:rPr>
          <w:rFonts w:ascii="Georgia" w:hAnsi="Georgia"/>
          <w:i/>
          <w:iCs/>
          <w:color w:val="2689C6"/>
          <w:sz w:val="20"/>
          <w:szCs w:val="20"/>
        </w:rPr>
        <w:t>Figure 5.19 "Right and Left Tails of a Distribution"</w:t>
      </w:r>
      <w:r>
        <w:rPr>
          <w:rStyle w:val="Emphasis"/>
          <w:rFonts w:ascii="Georgia" w:hAnsi="Georgia"/>
          <w:color w:val="333333"/>
          <w:sz w:val="20"/>
          <w:szCs w:val="20"/>
        </w:rPr>
        <w:t>(b)</w:t>
      </w:r>
      <w:r>
        <w:rPr>
          <w:rFonts w:ascii="Georgia" w:hAnsi="Georgia"/>
          <w:color w:val="333333"/>
          <w:sz w:val="21"/>
          <w:szCs w:val="21"/>
        </w:rPr>
        <w:t>.</w:t>
      </w:r>
    </w:p>
    <w:p w:rsidR="00AD77BB" w:rsidRDefault="00B45BA0">
      <w:pPr>
        <w:pStyle w:val="Title6"/>
        <w:shd w:val="clear" w:color="auto" w:fill="F4F4F4"/>
        <w:spacing w:before="0" w:beforeAutospacing="0" w:after="0" w:afterAutospacing="0" w:line="439" w:lineRule="atLeast"/>
        <w:textAlignment w:val="baseline"/>
        <w:rPr>
          <w:rFonts w:ascii="Georgia" w:hAnsi="Georgia"/>
          <w:i/>
          <w:iCs/>
          <w:color w:val="BB9966"/>
          <w:sz w:val="19"/>
          <w:szCs w:val="19"/>
        </w:rPr>
      </w:pPr>
      <w:r>
        <w:rPr>
          <w:rStyle w:val="title-prefix"/>
          <w:rFonts w:ascii="Georgia" w:hAnsi="Georgia"/>
          <w:i/>
          <w:iCs/>
          <w:color w:val="000000"/>
          <w:sz w:val="20"/>
          <w:szCs w:val="20"/>
        </w:rPr>
        <w:t>Figure 5.19</w:t>
      </w:r>
      <w:r>
        <w:rPr>
          <w:rFonts w:ascii="Georgia" w:hAnsi="Georgia"/>
          <w:i/>
          <w:iCs/>
          <w:color w:val="BB9966"/>
          <w:sz w:val="19"/>
          <w:szCs w:val="19"/>
        </w:rPr>
        <w:t>Right and Left Tails of a Distribution</w:t>
      </w:r>
    </w:p>
    <w:p w:rsidR="00AD77BB" w:rsidRDefault="00B45BA0">
      <w:pPr>
        <w:pStyle w:val="para"/>
        <w:shd w:val="clear" w:color="auto" w:fill="DAEEF3" w:themeFill="accent5" w:themeFillTint="33"/>
        <w:spacing w:before="0" w:beforeAutospacing="0" w:after="0" w:afterAutospacing="0" w:line="360" w:lineRule="auto"/>
        <w:ind w:left="720"/>
        <w:textAlignment w:val="baseline"/>
        <w:rPr>
          <w:rFonts w:ascii="Georgia" w:hAnsi="Georgia"/>
          <w:color w:val="333333"/>
          <w:sz w:val="21"/>
          <w:szCs w:val="21"/>
        </w:rPr>
      </w:pPr>
      <w:r>
        <w:rPr>
          <w:rFonts w:ascii="Calibri" w:hAnsi="Calibri"/>
          <w:noProof/>
          <w:color w:val="2689C6"/>
          <w:sz w:val="26"/>
          <w:szCs w:val="26"/>
          <w:shd w:val="clear" w:color="auto" w:fill="F4F4F4"/>
        </w:rPr>
        <w:drawing>
          <wp:inline distT="0" distB="0" distL="0" distR="0" wp14:anchorId="13F7F39B" wp14:editId="2A4949B1">
            <wp:extent cx="4219575" cy="1581150"/>
            <wp:effectExtent l="0" t="0" r="9525" b="0"/>
            <wp:docPr id="174" name="Picture 187" descr="http://images.flatworldknowledge.com/shafer/shafer-fig05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images.flatworldknowledge.com/shafer/shafer-fig05_021.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219575" cy="1581150"/>
                    </a:xfrm>
                    <a:prstGeom prst="rect">
                      <a:avLst/>
                    </a:prstGeom>
                    <a:noFill/>
                    <a:ln>
                      <a:noFill/>
                    </a:ln>
                  </pic:spPr>
                </pic:pic>
              </a:graphicData>
            </a:graphic>
          </wp:inline>
        </w:drawing>
      </w:r>
    </w:p>
    <w:p w:rsidR="00AD77BB" w:rsidRDefault="00AD77BB">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lastRenderedPageBreak/>
        <w:t>The probabilities tabulated in</w:t>
      </w:r>
      <w:r>
        <w:rPr>
          <w:rStyle w:val="apple-converted-space"/>
          <w:rFonts w:ascii="Georgia" w:hAnsi="Georgia"/>
          <w:color w:val="333333"/>
          <w:sz w:val="21"/>
          <w:szCs w:val="21"/>
        </w:rPr>
        <w:t> </w:t>
      </w:r>
      <w:r>
        <w:rPr>
          <w:rFonts w:ascii="Georgia" w:hAnsi="Georgia"/>
          <w:color w:val="2689C6"/>
          <w:sz w:val="21"/>
          <w:szCs w:val="21"/>
        </w:rPr>
        <w:t>Figure 12.2 "Cumulative Normal Probability"</w:t>
      </w:r>
      <w:r>
        <w:rPr>
          <w:rStyle w:val="apple-converted-space"/>
          <w:rFonts w:ascii="Georgia" w:hAnsi="Georgia"/>
          <w:color w:val="333333"/>
          <w:sz w:val="21"/>
          <w:szCs w:val="21"/>
        </w:rPr>
        <w:t> </w:t>
      </w:r>
      <w:r>
        <w:rPr>
          <w:rFonts w:ascii="Georgia" w:hAnsi="Georgia"/>
          <w:color w:val="333333"/>
          <w:sz w:val="21"/>
          <w:szCs w:val="21"/>
        </w:rPr>
        <w:t>are areas of</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left</w:t>
      </w:r>
      <w:r>
        <w:rPr>
          <w:rStyle w:val="apple-converted-space"/>
          <w:rFonts w:ascii="Georgia" w:hAnsi="Georgia"/>
          <w:color w:val="333333"/>
          <w:sz w:val="21"/>
          <w:szCs w:val="21"/>
        </w:rPr>
        <w:t> </w:t>
      </w:r>
      <w:r>
        <w:rPr>
          <w:rFonts w:ascii="Georgia" w:hAnsi="Georgia"/>
          <w:color w:val="333333"/>
          <w:sz w:val="21"/>
          <w:szCs w:val="21"/>
        </w:rPr>
        <w:t>tails in the standard normal distribution.</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Heading2"/>
        <w:shd w:val="clear" w:color="auto" w:fill="FFFFFF"/>
        <w:spacing w:before="0" w:line="360" w:lineRule="auto"/>
        <w:textAlignment w:val="baseline"/>
        <w:rPr>
          <w:rFonts w:ascii="Calibri" w:hAnsi="Calibri"/>
          <w:color w:val="333333"/>
          <w:sz w:val="28"/>
          <w:szCs w:val="28"/>
        </w:rPr>
      </w:pPr>
      <w:r>
        <w:rPr>
          <w:rFonts w:ascii="Calibri" w:hAnsi="Calibri"/>
          <w:color w:val="333333"/>
          <w:sz w:val="28"/>
          <w:szCs w:val="28"/>
        </w:rPr>
        <w:t>Tails of the Standard Normal Distribution</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 xml:space="preserve">At times it is important to be able to solve the kind of problem illustrated by </w:t>
      </w:r>
      <w:r>
        <w:rPr>
          <w:rFonts w:ascii="Georgia" w:hAnsi="Georgia"/>
          <w:color w:val="2689C6"/>
          <w:sz w:val="20"/>
          <w:szCs w:val="20"/>
        </w:rPr>
        <w:t>Figure 5.20</w:t>
      </w:r>
      <w:r>
        <w:rPr>
          <w:rFonts w:ascii="Georgia" w:hAnsi="Georgia"/>
          <w:color w:val="333333"/>
          <w:sz w:val="20"/>
          <w:szCs w:val="20"/>
        </w:rPr>
        <w:t>. We have a certain specific area in mind, in this case the area 0.0125 of the shaded region in the figure, and we want to find the value</w:t>
      </w:r>
      <w:r>
        <w:rPr>
          <w:rStyle w:val="apple-converted-space"/>
          <w:rFonts w:ascii="Georgia" w:hAnsi="Georgia"/>
          <w:color w:val="333333"/>
          <w:sz w:val="20"/>
          <w:szCs w:val="20"/>
        </w:rPr>
        <w:t> </w:t>
      </w:r>
      <w:r>
        <w:rPr>
          <w:rStyle w:val="mi"/>
          <w:rFonts w:ascii="MathJax_Main" w:hAnsi="MathJax_Main"/>
          <w:color w:val="333333"/>
          <w:sz w:val="18"/>
          <w:szCs w:val="18"/>
        </w:rPr>
        <w:t>z*</w:t>
      </w:r>
      <w:r>
        <w:rPr>
          <w:rStyle w:val="apple-converted-space"/>
          <w:rFonts w:ascii="Georgia" w:hAnsi="Georgia"/>
          <w:color w:val="333333"/>
          <w:sz w:val="20"/>
          <w:szCs w:val="20"/>
        </w:rPr>
        <w:t> </w:t>
      </w:r>
      <w:r>
        <w:rPr>
          <w:rFonts w:ascii="Georgia" w:hAnsi="Georgia"/>
          <w:color w:val="333333"/>
          <w:sz w:val="20"/>
          <w:szCs w:val="20"/>
        </w:rPr>
        <w:t>of</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 xml:space="preserve">Z </w:t>
      </w:r>
      <w:r>
        <w:rPr>
          <w:rFonts w:ascii="Georgia" w:hAnsi="Georgia"/>
          <w:color w:val="333333"/>
          <w:sz w:val="20"/>
          <w:szCs w:val="20"/>
        </w:rPr>
        <w:t>that produces it. This is exactly the reverse of the kind of problems encountered so far. Instead of knowing a value</w:t>
      </w:r>
      <w:r>
        <w:rPr>
          <w:rStyle w:val="apple-converted-space"/>
          <w:rFonts w:ascii="Georgia" w:hAnsi="Georgia"/>
          <w:color w:val="333333"/>
          <w:sz w:val="20"/>
          <w:szCs w:val="20"/>
        </w:rPr>
        <w:t> </w:t>
      </w:r>
      <w:r>
        <w:rPr>
          <w:rStyle w:val="mi"/>
          <w:rFonts w:ascii="MathJax_Main" w:hAnsi="MathJax_Main"/>
          <w:color w:val="333333"/>
          <w:sz w:val="18"/>
          <w:szCs w:val="18"/>
        </w:rPr>
        <w:t>z*</w:t>
      </w:r>
      <w:r>
        <w:rPr>
          <w:rStyle w:val="apple-converted-space"/>
          <w:rFonts w:ascii="Georgia" w:hAnsi="Georgia"/>
          <w:color w:val="333333"/>
          <w:sz w:val="20"/>
          <w:szCs w:val="20"/>
        </w:rPr>
        <w:t> </w:t>
      </w:r>
      <w:r>
        <w:rPr>
          <w:rFonts w:ascii="Georgia" w:hAnsi="Georgia"/>
          <w:color w:val="333333"/>
          <w:sz w:val="20"/>
          <w:szCs w:val="20"/>
        </w:rPr>
        <w:t>of</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Z</w:t>
      </w:r>
      <w:r>
        <w:rPr>
          <w:rStyle w:val="apple-converted-space"/>
          <w:rFonts w:ascii="Georgia" w:hAnsi="Georgia"/>
          <w:color w:val="333333"/>
          <w:sz w:val="20"/>
          <w:szCs w:val="20"/>
        </w:rPr>
        <w:t> </w:t>
      </w:r>
      <w:r>
        <w:rPr>
          <w:rFonts w:ascii="Georgia" w:hAnsi="Georgia"/>
          <w:color w:val="333333"/>
          <w:sz w:val="20"/>
          <w:szCs w:val="20"/>
        </w:rPr>
        <w:t>and finding a corresponding area, we know the area and want to find</w:t>
      </w:r>
      <w:r>
        <w:rPr>
          <w:rStyle w:val="apple-converted-space"/>
          <w:rFonts w:ascii="Georgia" w:hAnsi="Georgia"/>
          <w:color w:val="333333"/>
          <w:sz w:val="20"/>
          <w:szCs w:val="20"/>
        </w:rPr>
        <w:t> </w:t>
      </w:r>
      <w:r>
        <w:rPr>
          <w:rStyle w:val="mi"/>
          <w:rFonts w:ascii="MathJax_Main" w:hAnsi="MathJax_Main"/>
          <w:color w:val="333333"/>
          <w:sz w:val="18"/>
          <w:szCs w:val="18"/>
        </w:rPr>
        <w:t>z*</w:t>
      </w:r>
      <w:r>
        <w:rPr>
          <w:rStyle w:val="mo"/>
          <w:rFonts w:ascii="MathJax_Main" w:hAnsi="MathJax_Main"/>
          <w:color w:val="333333"/>
          <w:sz w:val="18"/>
          <w:szCs w:val="18"/>
        </w:rPr>
        <w:t>.</w:t>
      </w:r>
      <w:r>
        <w:rPr>
          <w:rStyle w:val="apple-converted-space"/>
          <w:rFonts w:ascii="Georgia" w:hAnsi="Georgia"/>
          <w:color w:val="333333"/>
          <w:sz w:val="20"/>
          <w:szCs w:val="20"/>
        </w:rPr>
        <w:t> </w:t>
      </w:r>
      <w:r>
        <w:rPr>
          <w:rFonts w:ascii="Georgia" w:hAnsi="Georgia"/>
          <w:color w:val="333333"/>
          <w:sz w:val="20"/>
          <w:szCs w:val="20"/>
        </w:rPr>
        <w:t>In the case at hand, in the terminology of the definition just above, we wish to find the value</w:t>
      </w:r>
      <w:r>
        <w:rPr>
          <w:rStyle w:val="apple-converted-space"/>
          <w:rFonts w:ascii="Georgia" w:hAnsi="Georgia"/>
          <w:color w:val="333333"/>
          <w:sz w:val="20"/>
          <w:szCs w:val="20"/>
        </w:rPr>
        <w:t> </w:t>
      </w:r>
      <w:r>
        <w:rPr>
          <w:rStyle w:val="mi"/>
          <w:rFonts w:ascii="MathJax_Main" w:hAnsi="MathJax_Main"/>
          <w:color w:val="333333"/>
          <w:sz w:val="18"/>
          <w:szCs w:val="18"/>
        </w:rPr>
        <w:t>z*</w:t>
      </w:r>
      <w:r>
        <w:rPr>
          <w:rStyle w:val="apple-converted-space"/>
          <w:rFonts w:ascii="Georgia" w:hAnsi="Georgia"/>
          <w:color w:val="333333"/>
          <w:sz w:val="20"/>
          <w:szCs w:val="20"/>
        </w:rPr>
        <w:t> </w:t>
      </w:r>
      <w:r>
        <w:rPr>
          <w:rFonts w:ascii="Georgia" w:hAnsi="Georgia"/>
          <w:color w:val="333333"/>
          <w:sz w:val="20"/>
          <w:szCs w:val="20"/>
        </w:rPr>
        <w:t>that cuts off a left tail of area 0.0125 in the standard normal distribution.</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0"/>
          <w:szCs w:val="20"/>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shd w:val="clear" w:color="auto" w:fill="FFFFFF"/>
        </w:rPr>
        <w:t>The idea for solving such a problem is fairly simple, although sometimes its implementation can be a bit complicated. In a nutshell, one reads the cumulative probability table for</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Z</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in reverse, looking up the relevant area in the interior of the table and reading off the value of</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Z</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from the margins.</w:t>
      </w: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t>Figure 5.20</w:t>
      </w:r>
      <w:r>
        <w:rPr>
          <w:rFonts w:ascii="Georgia" w:eastAsia="Times New Roman" w:hAnsi="Georgia" w:cs="Times New Roman"/>
          <w:i/>
          <w:iCs/>
          <w:color w:val="BB9966"/>
          <w:sz w:val="19"/>
          <w:szCs w:val="19"/>
        </w:rPr>
        <w:t> </w:t>
      </w:r>
      <w:r>
        <w:rPr>
          <w:rFonts w:ascii="Georgia" w:eastAsia="Times New Roman" w:hAnsi="Georgia" w:cs="Times New Roman"/>
          <w:i/>
          <w:iCs/>
          <w:color w:val="BB9966"/>
          <w:sz w:val="20"/>
          <w:szCs w:val="20"/>
        </w:rPr>
        <w:t>Z</w:t>
      </w:r>
      <w:r>
        <w:rPr>
          <w:rFonts w:ascii="Georgia" w:eastAsia="Times New Roman" w:hAnsi="Georgia" w:cs="Times New Roman"/>
          <w:i/>
          <w:iCs/>
          <w:color w:val="BB9966"/>
          <w:sz w:val="19"/>
          <w:szCs w:val="19"/>
        </w:rPr>
        <w:t> Value that Produces a Known Area</w:t>
      </w:r>
    </w:p>
    <w:p w:rsidR="00AD77BB" w:rsidRDefault="00B45BA0">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sz w:val="26"/>
          <w:szCs w:val="26"/>
          <w:shd w:val="clear" w:color="auto" w:fill="FFFFFF"/>
        </w:rPr>
        <w:drawing>
          <wp:inline distT="0" distB="0" distL="0" distR="0" wp14:anchorId="589CD09C" wp14:editId="12FBCB30">
            <wp:extent cx="4533900" cy="2314575"/>
            <wp:effectExtent l="0" t="0" r="0" b="9525"/>
            <wp:docPr id="175" name="Picture 188" descr="http://images.flatworldknowledge.com/shafer/shafer-fig05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images.flatworldknowledge.com/shafer/shafer-fig05_022.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533900" cy="2314575"/>
                    </a:xfrm>
                    <a:prstGeom prst="rect">
                      <a:avLst/>
                    </a:prstGeom>
                    <a:noFill/>
                    <a:ln>
                      <a:noFill/>
                    </a:ln>
                  </pic:spPr>
                </pic:pic>
              </a:graphicData>
            </a:graphic>
          </wp:inline>
        </w:drawing>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12</w:t>
      </w:r>
    </w:p>
    <w:p w:rsidR="00AD77BB" w:rsidRDefault="00B45BA0">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Find the value</w:t>
      </w:r>
      <w:r>
        <w:rPr>
          <w:rStyle w:val="apple-converted-space"/>
          <w:rFonts w:ascii="Calibri" w:hAnsi="Calibri"/>
          <w:color w:val="333333"/>
          <w:sz w:val="21"/>
          <w:szCs w:val="21"/>
        </w:rPr>
        <w:t> </w:t>
      </w:r>
      <w:r>
        <w:rPr>
          <w:rStyle w:val="mi"/>
          <w:rFonts w:ascii="MathJax_Main" w:hAnsi="MathJax_Main"/>
          <w:b/>
          <w:color w:val="333333"/>
          <w:sz w:val="15"/>
          <w:szCs w:val="15"/>
        </w:rPr>
        <w:t>z*</w:t>
      </w:r>
      <w:r>
        <w:rPr>
          <w:rStyle w:val="apple-converted-space"/>
          <w:rFonts w:ascii="Calibri" w:hAnsi="Calibri"/>
          <w:color w:val="333333"/>
          <w:sz w:val="21"/>
          <w:szCs w:val="21"/>
        </w:rPr>
        <w:t> </w:t>
      </w:r>
      <w:r>
        <w:rPr>
          <w:rFonts w:ascii="Calibri" w:hAnsi="Calibri"/>
          <w:color w:val="333333"/>
          <w:sz w:val="21"/>
          <w:szCs w:val="21"/>
        </w:rPr>
        <w:t>of</w:t>
      </w:r>
      <w:r>
        <w:rPr>
          <w:rStyle w:val="apple-converted-space"/>
          <w:rFonts w:ascii="Calibri" w:hAnsi="Calibri"/>
          <w:color w:val="333333"/>
          <w:sz w:val="21"/>
          <w:szCs w:val="21"/>
        </w:rPr>
        <w:t> </w:t>
      </w:r>
      <w:r>
        <w:rPr>
          <w:rStyle w:val="Emphasis"/>
          <w:rFonts w:ascii="Calibri" w:hAnsi="Calibri"/>
          <w:color w:val="333333"/>
          <w:sz w:val="20"/>
          <w:szCs w:val="20"/>
        </w:rPr>
        <w:t>Z</w:t>
      </w:r>
      <w:r>
        <w:rPr>
          <w:rStyle w:val="apple-converted-space"/>
          <w:rFonts w:ascii="Calibri" w:hAnsi="Calibri"/>
          <w:color w:val="333333"/>
          <w:sz w:val="21"/>
          <w:szCs w:val="21"/>
        </w:rPr>
        <w:t> </w:t>
      </w:r>
      <w:r>
        <w:rPr>
          <w:rFonts w:ascii="Calibri" w:hAnsi="Calibri"/>
          <w:color w:val="333333"/>
          <w:sz w:val="21"/>
          <w:szCs w:val="21"/>
        </w:rPr>
        <w:t>as determined by</w:t>
      </w:r>
      <w:r>
        <w:rPr>
          <w:rStyle w:val="apple-converted-space"/>
          <w:rFonts w:ascii="Calibri" w:hAnsi="Calibri"/>
          <w:color w:val="333333"/>
          <w:sz w:val="21"/>
          <w:szCs w:val="21"/>
        </w:rPr>
        <w:t> </w:t>
      </w:r>
      <w:r>
        <w:rPr>
          <w:rFonts w:ascii="Calibri" w:hAnsi="Calibri"/>
          <w:color w:val="2689C6"/>
          <w:sz w:val="21"/>
          <w:szCs w:val="21"/>
        </w:rPr>
        <w:t>Figure 5.20</w:t>
      </w:r>
      <w:r>
        <w:rPr>
          <w:rFonts w:ascii="Calibri" w:hAnsi="Calibri"/>
          <w:color w:val="333333"/>
          <w:sz w:val="21"/>
          <w:szCs w:val="21"/>
        </w:rPr>
        <w:t>: the value</w:t>
      </w:r>
      <w:r>
        <w:rPr>
          <w:rStyle w:val="apple-converted-space"/>
          <w:rFonts w:ascii="Calibri" w:hAnsi="Calibri"/>
          <w:color w:val="333333"/>
          <w:sz w:val="21"/>
          <w:szCs w:val="21"/>
        </w:rPr>
        <w:t> </w:t>
      </w:r>
      <w:r>
        <w:rPr>
          <w:rStyle w:val="mi"/>
          <w:rFonts w:ascii="MathJax_Main" w:hAnsi="MathJax_Main"/>
          <w:color w:val="333333"/>
          <w:sz w:val="15"/>
          <w:szCs w:val="15"/>
        </w:rPr>
        <w:t>z*</w:t>
      </w:r>
      <w:r>
        <w:rPr>
          <w:rStyle w:val="apple-converted-space"/>
          <w:rFonts w:ascii="Calibri" w:hAnsi="Calibri"/>
          <w:color w:val="333333"/>
          <w:sz w:val="21"/>
          <w:szCs w:val="21"/>
        </w:rPr>
        <w:t> </w:t>
      </w:r>
      <w:r>
        <w:rPr>
          <w:rFonts w:ascii="Calibri" w:hAnsi="Calibri"/>
          <w:color w:val="333333"/>
          <w:sz w:val="21"/>
          <w:szCs w:val="21"/>
        </w:rPr>
        <w:t>that cuts off a left tail of area 0.0125 in the standard normal distribution. In symbols, find the number</w:t>
      </w:r>
      <w:r>
        <w:rPr>
          <w:rStyle w:val="apple-converted-space"/>
          <w:rFonts w:ascii="Calibri" w:hAnsi="Calibri"/>
          <w:color w:val="333333"/>
          <w:sz w:val="21"/>
          <w:szCs w:val="21"/>
        </w:rPr>
        <w:t> </w:t>
      </w:r>
      <w:r>
        <w:rPr>
          <w:rStyle w:val="mi"/>
          <w:rFonts w:ascii="MathJax_Main" w:hAnsi="MathJax_Main"/>
          <w:b/>
          <w:color w:val="333333"/>
          <w:sz w:val="15"/>
          <w:szCs w:val="15"/>
        </w:rPr>
        <w:t>z*</w:t>
      </w:r>
      <w:r>
        <w:rPr>
          <w:rStyle w:val="apple-converted-space"/>
          <w:rFonts w:ascii="Calibri" w:hAnsi="Calibri"/>
          <w:color w:val="333333"/>
          <w:sz w:val="21"/>
          <w:szCs w:val="21"/>
        </w:rPr>
        <w:t> </w:t>
      </w:r>
      <w:r>
        <w:rPr>
          <w:rFonts w:ascii="Calibri" w:hAnsi="Calibri"/>
          <w:color w:val="333333"/>
          <w:sz w:val="21"/>
          <w:szCs w:val="21"/>
        </w:rPr>
        <w:t>such that</w:t>
      </w:r>
      <w:r>
        <w:rPr>
          <w:rStyle w:val="apple-converted-space"/>
          <w:rFonts w:ascii="Calibri" w:hAnsi="Calibri"/>
          <w:color w:val="333333"/>
          <w:sz w:val="21"/>
          <w:szCs w:val="21"/>
        </w:rPr>
        <w:t> </w:t>
      </w:r>
      <w:r>
        <w:rPr>
          <w:rStyle w:val="mi"/>
          <w:rFonts w:ascii="MathJax_Math" w:hAnsi="MathJax_Math"/>
          <w:b/>
          <w:i/>
          <w:iCs/>
          <w:color w:val="333333"/>
          <w:sz w:val="15"/>
          <w:szCs w:val="15"/>
        </w:rPr>
        <w:t>P</w:t>
      </w:r>
      <w:r>
        <w:rPr>
          <w:rStyle w:val="mo"/>
          <w:rFonts w:ascii="MathJax_Main" w:hAnsi="MathJax_Main"/>
          <w:b/>
          <w:color w:val="333333"/>
          <w:sz w:val="15"/>
          <w:szCs w:val="15"/>
        </w:rPr>
        <w:t>(</w:t>
      </w:r>
      <w:r>
        <w:rPr>
          <w:rStyle w:val="mi"/>
          <w:rFonts w:ascii="MathJax_Math" w:hAnsi="MathJax_Math"/>
          <w:b/>
          <w:i/>
          <w:iCs/>
          <w:color w:val="333333"/>
          <w:sz w:val="15"/>
          <w:szCs w:val="15"/>
        </w:rPr>
        <w:t>Z</w:t>
      </w:r>
      <w:r>
        <w:rPr>
          <w:rStyle w:val="mo"/>
          <w:rFonts w:ascii="MathJax_Main" w:hAnsi="MathJax_Main"/>
          <w:b/>
          <w:color w:val="333333"/>
          <w:sz w:val="15"/>
          <w:szCs w:val="15"/>
        </w:rPr>
        <w:t>&lt;</w:t>
      </w:r>
      <w:r>
        <w:rPr>
          <w:rStyle w:val="mi"/>
          <w:rFonts w:ascii="MathJax_Main" w:hAnsi="MathJax_Main"/>
          <w:b/>
          <w:color w:val="333333"/>
          <w:sz w:val="15"/>
          <w:szCs w:val="15"/>
        </w:rPr>
        <w:t>z*</w:t>
      </w:r>
      <w:r>
        <w:rPr>
          <w:rStyle w:val="mo"/>
          <w:rFonts w:ascii="MathJax_Main" w:hAnsi="MathJax_Main"/>
          <w:b/>
          <w:color w:val="333333"/>
          <w:sz w:val="15"/>
          <w:szCs w:val="15"/>
        </w:rPr>
        <w:t>)=</w:t>
      </w:r>
      <w:r>
        <w:rPr>
          <w:rStyle w:val="mn"/>
          <w:rFonts w:ascii="MathJax_Main" w:hAnsi="MathJax_Main"/>
          <w:b/>
          <w:color w:val="333333"/>
          <w:sz w:val="15"/>
          <w:szCs w:val="15"/>
        </w:rPr>
        <w:t>0.0125</w:t>
      </w:r>
      <w:r>
        <w:rPr>
          <w:rStyle w:val="mo"/>
          <w:rFonts w:ascii="MathJax_Main" w:hAnsi="MathJax_Main"/>
          <w:b/>
          <w:color w:val="333333"/>
          <w:sz w:val="15"/>
          <w:szCs w:val="15"/>
        </w:rPr>
        <w:t>.</w:t>
      </w:r>
    </w:p>
    <w:p w:rsidR="00AD77BB" w:rsidRDefault="00B45BA0">
      <w:pPr>
        <w:pStyle w:val="simpara"/>
        <w:shd w:val="clear" w:color="auto" w:fill="DAEEF3" w:themeFill="accent5" w:themeFillTint="33"/>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Solution:</w:t>
      </w:r>
    </w:p>
    <w:p w:rsidR="00AD77BB" w:rsidRDefault="00AD77BB">
      <w:pPr>
        <w:pStyle w:val="simpara"/>
        <w:shd w:val="clear" w:color="auto" w:fill="DAEEF3" w:themeFill="accent5" w:themeFillTint="33"/>
        <w:spacing w:before="150" w:beforeAutospacing="0" w:after="0" w:afterAutospacing="0" w:line="360" w:lineRule="auto"/>
        <w:ind w:left="302" w:right="374"/>
        <w:textAlignment w:val="baseline"/>
        <w:rPr>
          <w:rFonts w:ascii="Calibri" w:hAnsi="Calibri"/>
          <w:color w:val="333333"/>
          <w:sz w:val="21"/>
          <w:szCs w:val="21"/>
        </w:rPr>
      </w:pPr>
    </w:p>
    <w:p w:rsidR="00AD77BB" w:rsidRDefault="00B45BA0">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The number that is known, 0.0125, is the area of a left tail, and as already mentioned the probabilities tabulated in</w:t>
      </w:r>
      <w:r>
        <w:rPr>
          <w:rStyle w:val="apple-converted-space"/>
          <w:rFonts w:ascii="Calibri" w:hAnsi="Calibri"/>
          <w:color w:val="333333"/>
          <w:sz w:val="21"/>
          <w:szCs w:val="21"/>
        </w:rPr>
        <w:t> </w:t>
      </w:r>
      <w:r>
        <w:rPr>
          <w:rFonts w:ascii="Calibri" w:hAnsi="Calibri"/>
          <w:color w:val="2689C6"/>
          <w:sz w:val="21"/>
          <w:szCs w:val="21"/>
        </w:rPr>
        <w:t>Figure 12.2 "Cumulative Normal Probability"</w:t>
      </w:r>
      <w:r>
        <w:rPr>
          <w:rStyle w:val="apple-converted-space"/>
          <w:rFonts w:ascii="Calibri" w:hAnsi="Calibri"/>
          <w:color w:val="333333"/>
          <w:sz w:val="21"/>
          <w:szCs w:val="21"/>
        </w:rPr>
        <w:t> </w:t>
      </w:r>
      <w:r>
        <w:rPr>
          <w:rFonts w:ascii="Calibri" w:hAnsi="Calibri"/>
          <w:color w:val="333333"/>
          <w:sz w:val="21"/>
          <w:szCs w:val="21"/>
        </w:rPr>
        <w:t>are areas of left tails. Thus to solve this problem we need only search in the interior of</w:t>
      </w:r>
      <w:r>
        <w:rPr>
          <w:rStyle w:val="apple-converted-space"/>
          <w:rFonts w:ascii="Calibri" w:hAnsi="Calibri"/>
          <w:color w:val="333333"/>
          <w:sz w:val="21"/>
          <w:szCs w:val="21"/>
        </w:rPr>
        <w:t> </w:t>
      </w:r>
      <w:r>
        <w:rPr>
          <w:rFonts w:ascii="Calibri" w:hAnsi="Calibri"/>
          <w:color w:val="2689C6"/>
          <w:sz w:val="21"/>
          <w:szCs w:val="21"/>
        </w:rPr>
        <w:t xml:space="preserve">Figure 12.2 "Cumulative Normal </w:t>
      </w:r>
      <w:r>
        <w:rPr>
          <w:rFonts w:ascii="Calibri" w:hAnsi="Calibri"/>
          <w:color w:val="2689C6"/>
          <w:sz w:val="21"/>
          <w:szCs w:val="21"/>
        </w:rPr>
        <w:lastRenderedPageBreak/>
        <w:t>Probability"</w:t>
      </w:r>
      <w:r>
        <w:rPr>
          <w:rStyle w:val="apple-converted-space"/>
          <w:rFonts w:ascii="Calibri" w:hAnsi="Calibri"/>
          <w:color w:val="333333"/>
          <w:sz w:val="21"/>
          <w:szCs w:val="21"/>
        </w:rPr>
        <w:t> </w:t>
      </w:r>
      <w:r>
        <w:rPr>
          <w:rFonts w:ascii="Calibri" w:hAnsi="Calibri"/>
          <w:color w:val="333333"/>
          <w:sz w:val="21"/>
          <w:szCs w:val="21"/>
        </w:rPr>
        <w:t>for the number 0.0125. It lies in the row with the heading −2.2 and in the column with the heading 0.04. This means that</w:t>
      </w:r>
      <w:r>
        <w:rPr>
          <w:rStyle w:val="apple-converted-space"/>
          <w:rFonts w:ascii="Calibri" w:hAnsi="Calibri"/>
          <w:color w:val="333333"/>
          <w:sz w:val="21"/>
          <w:szCs w:val="21"/>
        </w:rPr>
        <w:t> </w:t>
      </w:r>
      <w:r>
        <w:rPr>
          <w:rStyle w:val="Emphasis"/>
          <w:rFonts w:ascii="Calibri" w:hAnsi="Calibri"/>
          <w:color w:val="333333"/>
          <w:sz w:val="20"/>
          <w:szCs w:val="20"/>
        </w:rPr>
        <w:t>P</w:t>
      </w:r>
      <w:r>
        <w:rPr>
          <w:rFonts w:ascii="Calibri" w:hAnsi="Calibri"/>
          <w:color w:val="333333"/>
          <w:sz w:val="21"/>
          <w:szCs w:val="21"/>
        </w:rPr>
        <w:t>(</w:t>
      </w:r>
      <w:r>
        <w:rPr>
          <w:rStyle w:val="Emphasis"/>
          <w:rFonts w:ascii="Calibri" w:hAnsi="Calibri"/>
          <w:color w:val="333333"/>
          <w:sz w:val="20"/>
          <w:szCs w:val="20"/>
        </w:rPr>
        <w:t>Z</w:t>
      </w:r>
      <w:r>
        <w:rPr>
          <w:rStyle w:val="apple-converted-space"/>
          <w:rFonts w:ascii="Calibri" w:hAnsi="Calibri"/>
          <w:color w:val="333333"/>
          <w:sz w:val="21"/>
          <w:szCs w:val="21"/>
        </w:rPr>
        <w:t> </w:t>
      </w:r>
      <w:r>
        <w:rPr>
          <w:rFonts w:ascii="Calibri" w:hAnsi="Calibri"/>
          <w:color w:val="333333"/>
          <w:sz w:val="21"/>
          <w:szCs w:val="21"/>
        </w:rPr>
        <w:t>&lt; −2.24) = 0.0125, hence</w:t>
      </w:r>
      <w:r>
        <w:rPr>
          <w:rStyle w:val="apple-converted-space"/>
          <w:rFonts w:ascii="Calibri" w:hAnsi="Calibri"/>
          <w:color w:val="333333"/>
          <w:sz w:val="21"/>
          <w:szCs w:val="21"/>
        </w:rPr>
        <w:t> </w:t>
      </w:r>
      <w:r>
        <w:rPr>
          <w:rStyle w:val="mi"/>
          <w:rFonts w:ascii="MathJax_Main" w:hAnsi="MathJax_Main"/>
          <w:b/>
          <w:color w:val="333333"/>
          <w:sz w:val="15"/>
          <w:szCs w:val="15"/>
        </w:rPr>
        <w:t>z*</w:t>
      </w:r>
      <w:r>
        <w:rPr>
          <w:rStyle w:val="mo"/>
          <w:rFonts w:ascii="MathJax_Main" w:hAnsi="MathJax_Main"/>
          <w:b/>
          <w:color w:val="333333"/>
          <w:sz w:val="15"/>
          <w:szCs w:val="15"/>
        </w:rPr>
        <w:t>=</w:t>
      </w:r>
      <w:r>
        <w:rPr>
          <w:rStyle w:val="mtext"/>
          <w:rFonts w:ascii="MathJax_Main" w:hAnsi="MathJax_Main"/>
          <w:b/>
          <w:color w:val="333333"/>
          <w:sz w:val="15"/>
          <w:szCs w:val="15"/>
        </w:rPr>
        <w:t>−</w:t>
      </w:r>
      <w:r>
        <w:rPr>
          <w:rStyle w:val="mn"/>
          <w:rFonts w:ascii="MathJax_Main" w:hAnsi="MathJax_Main"/>
          <w:b/>
          <w:color w:val="333333"/>
          <w:sz w:val="15"/>
          <w:szCs w:val="15"/>
        </w:rPr>
        <w:t>2.24</w:t>
      </w:r>
      <w:r>
        <w:rPr>
          <w:rStyle w:val="mo"/>
          <w:rFonts w:ascii="MathJax_Main" w:hAnsi="MathJax_Main"/>
          <w:b/>
          <w:color w:val="333333"/>
          <w:sz w:val="15"/>
          <w:szCs w:val="15"/>
        </w:rPr>
        <w:t>.</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EXAMPLE 13</w:t>
      </w:r>
    </w:p>
    <w:p w:rsidR="00AD77BB" w:rsidRDefault="00B45BA0">
      <w:pPr>
        <w:shd w:val="clear" w:color="auto" w:fill="DAEEF3" w:themeFill="accent5" w:themeFillTint="33"/>
        <w:spacing w:after="0" w:line="439" w:lineRule="atLeast"/>
        <w:ind w:left="300" w:right="375"/>
        <w:textAlignment w:val="baseline"/>
        <w:rPr>
          <w:rFonts w:ascii="MathJax_Main" w:eastAsia="Times New Roman" w:hAnsi="MathJax_Main" w:cs="Times New Roman"/>
          <w:b/>
          <w:color w:val="333333"/>
          <w:sz w:val="15"/>
          <w:szCs w:val="15"/>
        </w:rPr>
      </w:pPr>
      <w:r>
        <w:rPr>
          <w:rFonts w:ascii="Calibri" w:eastAsia="Times New Roman" w:hAnsi="Calibri" w:cs="Times New Roman"/>
          <w:color w:val="333333"/>
          <w:sz w:val="21"/>
          <w:szCs w:val="21"/>
        </w:rPr>
        <w:t>Find the value </w:t>
      </w:r>
      <w:r>
        <w:rPr>
          <w:rFonts w:ascii="MathJax_Main" w:eastAsia="Times New Roman" w:hAnsi="MathJax_Main" w:cs="Times New Roman"/>
          <w:b/>
          <w:color w:val="333333"/>
          <w:sz w:val="15"/>
          <w:szCs w:val="15"/>
        </w:rPr>
        <w:t>z*</w:t>
      </w:r>
      <w:r>
        <w:rPr>
          <w:rFonts w:ascii="Calibri" w:eastAsia="Times New Roman" w:hAnsi="Calibri" w:cs="Times New Roman"/>
          <w:color w:val="333333"/>
          <w:sz w:val="21"/>
          <w:szCs w:val="21"/>
        </w:rPr>
        <w:t> of </w:t>
      </w:r>
      <w:r>
        <w:rPr>
          <w:rFonts w:ascii="Calibri" w:eastAsia="Times New Roman" w:hAnsi="Calibri" w:cs="Times New Roman"/>
          <w:i/>
          <w:iCs/>
          <w:color w:val="333333"/>
          <w:sz w:val="20"/>
          <w:szCs w:val="20"/>
        </w:rPr>
        <w:t>Z</w:t>
      </w:r>
      <w:r>
        <w:rPr>
          <w:rFonts w:ascii="Calibri" w:eastAsia="Times New Roman" w:hAnsi="Calibri" w:cs="Times New Roman"/>
          <w:color w:val="333333"/>
          <w:sz w:val="21"/>
          <w:szCs w:val="21"/>
        </w:rPr>
        <w:t> as determined by </w:t>
      </w:r>
      <w:r>
        <w:rPr>
          <w:rFonts w:ascii="Calibri" w:eastAsia="Times New Roman" w:hAnsi="Calibri" w:cs="Times New Roman"/>
          <w:color w:val="2689C6"/>
          <w:sz w:val="21"/>
          <w:szCs w:val="21"/>
        </w:rPr>
        <w:t>Figure 5.21</w:t>
      </w:r>
      <w:r>
        <w:rPr>
          <w:rFonts w:ascii="Calibri" w:eastAsia="Times New Roman" w:hAnsi="Calibri" w:cs="Times New Roman"/>
          <w:color w:val="333333"/>
          <w:sz w:val="21"/>
          <w:szCs w:val="21"/>
        </w:rPr>
        <w:t>: the value </w:t>
      </w:r>
      <w:r>
        <w:rPr>
          <w:rFonts w:ascii="MathJax_Main" w:eastAsia="Times New Roman" w:hAnsi="MathJax_Main" w:cs="Times New Roman"/>
          <w:b/>
          <w:color w:val="333333"/>
          <w:sz w:val="15"/>
          <w:szCs w:val="15"/>
        </w:rPr>
        <w:t>z*</w:t>
      </w:r>
      <w:r>
        <w:rPr>
          <w:rFonts w:ascii="Calibri" w:eastAsia="Times New Roman" w:hAnsi="Calibri" w:cs="Times New Roman"/>
          <w:color w:val="333333"/>
          <w:sz w:val="21"/>
          <w:szCs w:val="21"/>
        </w:rPr>
        <w:t> that cuts off a right tail of area 0.0250 in the standard normal distribution. In symbols, find the number </w:t>
      </w:r>
      <w:r>
        <w:rPr>
          <w:rFonts w:ascii="MathJax_Main" w:eastAsia="Times New Roman" w:hAnsi="MathJax_Main" w:cs="Times New Roman"/>
          <w:b/>
          <w:color w:val="333333"/>
          <w:sz w:val="15"/>
          <w:szCs w:val="15"/>
        </w:rPr>
        <w:t>z*</w:t>
      </w:r>
      <w:r>
        <w:rPr>
          <w:rFonts w:ascii="Calibri" w:eastAsia="Times New Roman" w:hAnsi="Calibri" w:cs="Times New Roman"/>
          <w:b/>
          <w:color w:val="333333"/>
          <w:sz w:val="21"/>
          <w:szCs w:val="21"/>
        </w:rPr>
        <w:t> </w:t>
      </w:r>
      <w:r>
        <w:rPr>
          <w:rFonts w:ascii="Calibri" w:eastAsia="Times New Roman" w:hAnsi="Calibri" w:cs="Times New Roman"/>
          <w:color w:val="333333"/>
          <w:sz w:val="21"/>
          <w:szCs w:val="21"/>
        </w:rPr>
        <w:t>such that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Z</w:t>
      </w:r>
      <w:r>
        <w:rPr>
          <w:rFonts w:ascii="MathJax_Main" w:eastAsia="Times New Roman" w:hAnsi="MathJax_Main" w:cs="Times New Roman"/>
          <w:b/>
          <w:color w:val="333333"/>
          <w:sz w:val="15"/>
          <w:szCs w:val="15"/>
        </w:rPr>
        <w:t>&gt;z*)=0.0250.</w:t>
      </w:r>
    </w:p>
    <w:p w:rsidR="00AD77BB" w:rsidRDefault="00B45BA0">
      <w:pPr>
        <w:pStyle w:val="Title6"/>
        <w:spacing w:before="0" w:beforeAutospacing="0" w:after="0" w:afterAutospacing="0" w:line="439" w:lineRule="atLeast"/>
        <w:ind w:right="375"/>
        <w:textAlignment w:val="baseline"/>
        <w:rPr>
          <w:rFonts w:ascii="Calibri" w:hAnsi="Calibri"/>
          <w:i/>
          <w:iCs/>
          <w:color w:val="BB9966"/>
          <w:sz w:val="22"/>
          <w:szCs w:val="22"/>
        </w:rPr>
      </w:pPr>
      <w:r>
        <w:rPr>
          <w:rStyle w:val="title-prefix"/>
          <w:rFonts w:ascii="Calibri" w:hAnsi="Calibri"/>
          <w:i/>
          <w:iCs/>
          <w:color w:val="000000"/>
          <w:sz w:val="20"/>
          <w:szCs w:val="20"/>
        </w:rPr>
        <w:t>Fiigure 5.21</w:t>
      </w:r>
      <w:r>
        <w:rPr>
          <w:rStyle w:val="Emphasis"/>
          <w:rFonts w:ascii="Calibri" w:hAnsi="Calibri"/>
          <w:color w:val="BB9966"/>
          <w:sz w:val="20"/>
          <w:szCs w:val="20"/>
        </w:rPr>
        <w:t>Z</w:t>
      </w:r>
      <w:r>
        <w:rPr>
          <w:rStyle w:val="apple-converted-space"/>
          <w:rFonts w:ascii="Calibri" w:hAnsi="Calibri"/>
          <w:i/>
          <w:iCs/>
          <w:color w:val="BB9966"/>
          <w:sz w:val="22"/>
          <w:szCs w:val="22"/>
        </w:rPr>
        <w:t> </w:t>
      </w:r>
      <w:r>
        <w:rPr>
          <w:rFonts w:ascii="Calibri" w:hAnsi="Calibri"/>
          <w:i/>
          <w:iCs/>
          <w:color w:val="BB9966"/>
          <w:sz w:val="22"/>
          <w:szCs w:val="22"/>
        </w:rPr>
        <w:t>Value that Produces a Known Area</w:t>
      </w:r>
    </w:p>
    <w:p w:rsidR="00AD77BB" w:rsidRDefault="00B45BA0">
      <w:pPr>
        <w:spacing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14:anchorId="60AEB419" wp14:editId="293FFDBF">
            <wp:extent cx="5372100" cy="3971925"/>
            <wp:effectExtent l="0" t="0" r="0" b="9525"/>
            <wp:docPr id="176" name="Picture 189" descr="http://images.flatworldknowledge.com/shafer/shafer-fig05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images.flatworldknowledge.com/shafer/shafer-fig05_023.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372100" cy="3971925"/>
                    </a:xfrm>
                    <a:prstGeom prst="rect">
                      <a:avLst/>
                    </a:prstGeom>
                    <a:noFill/>
                    <a:ln>
                      <a:noFill/>
                    </a:ln>
                  </pic:spPr>
                </pic:pic>
              </a:graphicData>
            </a:graphic>
          </wp:inline>
        </w:drawing>
      </w:r>
    </w:p>
    <w:p w:rsidR="00AD77BB" w:rsidRDefault="00B45BA0">
      <w:pPr>
        <w:pStyle w:val="simpara"/>
        <w:shd w:val="clear" w:color="auto" w:fill="DAEEF3" w:themeFill="accent5" w:themeFillTint="33"/>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Solution:</w:t>
      </w:r>
    </w:p>
    <w:p w:rsidR="00AD77BB" w:rsidRDefault="00AD77BB">
      <w:pPr>
        <w:pStyle w:val="simpara"/>
        <w:shd w:val="clear" w:color="auto" w:fill="DAEEF3" w:themeFill="accent5" w:themeFillTint="33"/>
        <w:spacing w:before="150" w:beforeAutospacing="0" w:after="0" w:afterAutospacing="0" w:line="360" w:lineRule="auto"/>
        <w:ind w:left="302" w:right="374"/>
        <w:textAlignment w:val="baseline"/>
        <w:rPr>
          <w:rFonts w:ascii="Calibri" w:hAnsi="Calibri"/>
          <w:color w:val="333333"/>
          <w:sz w:val="21"/>
          <w:szCs w:val="21"/>
        </w:rPr>
      </w:pPr>
    </w:p>
    <w:p w:rsidR="00AD77BB" w:rsidRDefault="00B45BA0">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The important distinction between this example and the previous one is that here it is the area of a</w:t>
      </w:r>
      <w:r>
        <w:rPr>
          <w:rStyle w:val="apple-converted-space"/>
          <w:rFonts w:ascii="Calibri" w:hAnsi="Calibri"/>
          <w:color w:val="333333"/>
          <w:sz w:val="21"/>
          <w:szCs w:val="21"/>
        </w:rPr>
        <w:t> </w:t>
      </w:r>
      <w:r>
        <w:rPr>
          <w:rStyle w:val="Emphasis"/>
          <w:rFonts w:ascii="Calibri" w:hAnsi="Calibri"/>
          <w:color w:val="333333"/>
          <w:sz w:val="20"/>
          <w:szCs w:val="20"/>
        </w:rPr>
        <w:t>right</w:t>
      </w:r>
      <w:r>
        <w:rPr>
          <w:rStyle w:val="apple-converted-space"/>
          <w:rFonts w:ascii="Calibri" w:hAnsi="Calibri"/>
          <w:color w:val="333333"/>
          <w:sz w:val="21"/>
          <w:szCs w:val="21"/>
        </w:rPr>
        <w:t> </w:t>
      </w:r>
      <w:r>
        <w:rPr>
          <w:rFonts w:ascii="Calibri" w:hAnsi="Calibri"/>
          <w:color w:val="333333"/>
          <w:sz w:val="21"/>
          <w:szCs w:val="21"/>
        </w:rPr>
        <w:t>tail that is known. In order to be able to use</w:t>
      </w:r>
      <w:r>
        <w:rPr>
          <w:rStyle w:val="apple-converted-space"/>
          <w:rFonts w:ascii="Calibri" w:hAnsi="Calibri"/>
          <w:color w:val="333333"/>
          <w:sz w:val="21"/>
          <w:szCs w:val="21"/>
        </w:rPr>
        <w:t> </w:t>
      </w:r>
      <w:r>
        <w:rPr>
          <w:rFonts w:ascii="Calibri" w:eastAsiaTheme="majorEastAsia" w:hAnsi="Calibri"/>
          <w:color w:val="2689C6"/>
          <w:sz w:val="21"/>
          <w:szCs w:val="21"/>
        </w:rPr>
        <w:t>Figure 12.2 "Cumulative Normal Probability"</w:t>
      </w:r>
      <w:r>
        <w:rPr>
          <w:rStyle w:val="apple-converted-space"/>
          <w:rFonts w:ascii="Calibri" w:hAnsi="Calibri"/>
          <w:color w:val="333333"/>
          <w:sz w:val="21"/>
          <w:szCs w:val="21"/>
        </w:rPr>
        <w:t> </w:t>
      </w:r>
      <w:r>
        <w:rPr>
          <w:rFonts w:ascii="Calibri" w:hAnsi="Calibri"/>
          <w:color w:val="333333"/>
          <w:sz w:val="21"/>
          <w:szCs w:val="21"/>
        </w:rPr>
        <w:t>we must first find that area of the</w:t>
      </w:r>
      <w:r>
        <w:rPr>
          <w:rStyle w:val="apple-converted-space"/>
          <w:rFonts w:ascii="Calibri" w:hAnsi="Calibri"/>
          <w:color w:val="333333"/>
          <w:sz w:val="21"/>
          <w:szCs w:val="21"/>
        </w:rPr>
        <w:t> </w:t>
      </w:r>
      <w:r>
        <w:rPr>
          <w:rStyle w:val="Emphasis"/>
          <w:rFonts w:ascii="Calibri" w:hAnsi="Calibri"/>
          <w:color w:val="333333"/>
          <w:sz w:val="20"/>
          <w:szCs w:val="20"/>
        </w:rPr>
        <w:t>left</w:t>
      </w:r>
      <w:r>
        <w:rPr>
          <w:rStyle w:val="apple-converted-space"/>
          <w:rFonts w:ascii="Calibri" w:hAnsi="Calibri"/>
          <w:color w:val="333333"/>
          <w:sz w:val="21"/>
          <w:szCs w:val="21"/>
        </w:rPr>
        <w:t> </w:t>
      </w:r>
      <w:r>
        <w:rPr>
          <w:rFonts w:ascii="Calibri" w:hAnsi="Calibri"/>
          <w:color w:val="333333"/>
          <w:sz w:val="21"/>
          <w:szCs w:val="21"/>
        </w:rPr>
        <w:t>tail cut off by the unknown number</w:t>
      </w:r>
      <w:r>
        <w:rPr>
          <w:rStyle w:val="apple-converted-space"/>
          <w:rFonts w:ascii="Calibri" w:hAnsi="Calibri"/>
          <w:color w:val="333333"/>
          <w:sz w:val="21"/>
          <w:szCs w:val="21"/>
        </w:rPr>
        <w:t> </w:t>
      </w:r>
      <w:r>
        <w:rPr>
          <w:rStyle w:val="mi"/>
          <w:rFonts w:ascii="MathJax_Main" w:hAnsi="MathJax_Main"/>
          <w:b/>
          <w:color w:val="333333"/>
          <w:sz w:val="15"/>
          <w:szCs w:val="15"/>
        </w:rPr>
        <w:t>z*</w:t>
      </w:r>
      <w:r>
        <w:rPr>
          <w:rStyle w:val="mo"/>
          <w:rFonts w:ascii="MathJax_Main" w:hAnsi="MathJax_Main"/>
          <w:b/>
          <w:color w:val="333333"/>
          <w:sz w:val="15"/>
          <w:szCs w:val="15"/>
        </w:rPr>
        <w:t>.</w:t>
      </w:r>
      <w:r>
        <w:rPr>
          <w:rStyle w:val="apple-converted-space"/>
          <w:rFonts w:ascii="Calibri" w:hAnsi="Calibri"/>
          <w:color w:val="333333"/>
          <w:sz w:val="21"/>
          <w:szCs w:val="21"/>
        </w:rPr>
        <w:t> </w:t>
      </w:r>
      <w:r>
        <w:rPr>
          <w:rFonts w:ascii="Calibri" w:hAnsi="Calibri"/>
          <w:color w:val="333333"/>
          <w:sz w:val="21"/>
          <w:szCs w:val="21"/>
        </w:rPr>
        <w:t>Since the total area under the density curve is 1, that area is</w:t>
      </w:r>
      <w:r>
        <w:rPr>
          <w:rStyle w:val="apple-converted-space"/>
          <w:rFonts w:ascii="Calibri" w:hAnsi="Calibri"/>
          <w:color w:val="333333"/>
          <w:sz w:val="21"/>
          <w:szCs w:val="21"/>
        </w:rPr>
        <w:t> </w:t>
      </w:r>
      <w:r>
        <w:rPr>
          <w:rStyle w:val="mn"/>
          <w:rFonts w:ascii="MathJax_Main" w:hAnsi="MathJax_Main"/>
          <w:b/>
          <w:color w:val="333333"/>
          <w:sz w:val="15"/>
          <w:szCs w:val="15"/>
        </w:rPr>
        <w:t>1</w:t>
      </w:r>
      <w:r>
        <w:rPr>
          <w:rStyle w:val="mo"/>
          <w:rFonts w:ascii="MathJax_Main" w:hAnsi="MathJax_Main"/>
          <w:b/>
          <w:color w:val="333333"/>
          <w:sz w:val="15"/>
          <w:szCs w:val="15"/>
        </w:rPr>
        <w:t>−</w:t>
      </w:r>
      <w:r>
        <w:rPr>
          <w:rStyle w:val="mn"/>
          <w:rFonts w:ascii="MathJax_Main" w:hAnsi="MathJax_Main"/>
          <w:b/>
          <w:color w:val="333333"/>
          <w:sz w:val="15"/>
          <w:szCs w:val="15"/>
        </w:rPr>
        <w:t>0.0250</w:t>
      </w:r>
      <w:r>
        <w:rPr>
          <w:rStyle w:val="mo"/>
          <w:rFonts w:ascii="MathJax_Main" w:hAnsi="MathJax_Main"/>
          <w:b/>
          <w:color w:val="333333"/>
          <w:sz w:val="15"/>
          <w:szCs w:val="15"/>
        </w:rPr>
        <w:t>=</w:t>
      </w:r>
      <w:r>
        <w:rPr>
          <w:rStyle w:val="mn"/>
          <w:rFonts w:ascii="MathJax_Main" w:hAnsi="MathJax_Main"/>
          <w:b/>
          <w:color w:val="333333"/>
          <w:sz w:val="15"/>
          <w:szCs w:val="15"/>
        </w:rPr>
        <w:t>0.9750</w:t>
      </w:r>
      <w:r>
        <w:rPr>
          <w:rStyle w:val="mo"/>
          <w:rFonts w:ascii="MathJax_Main" w:hAnsi="MathJax_Main"/>
          <w:color w:val="333333"/>
          <w:sz w:val="15"/>
          <w:szCs w:val="15"/>
        </w:rPr>
        <w:t>.</w:t>
      </w:r>
      <w:r>
        <w:rPr>
          <w:rStyle w:val="apple-converted-space"/>
          <w:rFonts w:ascii="Calibri" w:hAnsi="Calibri"/>
          <w:color w:val="333333"/>
          <w:sz w:val="21"/>
          <w:szCs w:val="21"/>
        </w:rPr>
        <w:t> </w:t>
      </w:r>
      <w:r>
        <w:rPr>
          <w:rFonts w:ascii="Calibri" w:hAnsi="Calibri"/>
          <w:color w:val="333333"/>
          <w:sz w:val="21"/>
          <w:szCs w:val="21"/>
        </w:rPr>
        <w:t>This is the number we look for in the interior of</w:t>
      </w:r>
      <w:r>
        <w:rPr>
          <w:rStyle w:val="apple-converted-space"/>
          <w:rFonts w:ascii="Calibri" w:hAnsi="Calibri"/>
          <w:color w:val="333333"/>
          <w:sz w:val="21"/>
          <w:szCs w:val="21"/>
        </w:rPr>
        <w:t> </w:t>
      </w:r>
      <w:r>
        <w:rPr>
          <w:rFonts w:ascii="Calibri" w:eastAsiaTheme="majorEastAsia" w:hAnsi="Calibri"/>
          <w:color w:val="2689C6"/>
          <w:sz w:val="21"/>
          <w:szCs w:val="21"/>
        </w:rPr>
        <w:t>Figure 12.2 "Cumulative Normal Probability"</w:t>
      </w:r>
      <w:r>
        <w:rPr>
          <w:rFonts w:ascii="Calibri" w:hAnsi="Calibri"/>
          <w:color w:val="333333"/>
          <w:sz w:val="21"/>
          <w:szCs w:val="21"/>
        </w:rPr>
        <w:t>. It lies in the row with the heading 1.9 and in the column with the heading 0.06. Therefore</w:t>
      </w:r>
      <w:r>
        <w:rPr>
          <w:rStyle w:val="apple-converted-space"/>
          <w:rFonts w:ascii="Calibri" w:hAnsi="Calibri"/>
          <w:color w:val="333333"/>
          <w:sz w:val="21"/>
          <w:szCs w:val="21"/>
        </w:rPr>
        <w:t> </w:t>
      </w:r>
      <w:r>
        <w:rPr>
          <w:rStyle w:val="mi"/>
          <w:rFonts w:ascii="MathJax_Main" w:hAnsi="MathJax_Main"/>
          <w:b/>
          <w:color w:val="333333"/>
          <w:sz w:val="15"/>
          <w:szCs w:val="15"/>
        </w:rPr>
        <w:t>z*</w:t>
      </w:r>
      <w:r>
        <w:rPr>
          <w:rStyle w:val="mo"/>
          <w:rFonts w:ascii="MathJax_Main" w:hAnsi="MathJax_Main"/>
          <w:b/>
          <w:color w:val="333333"/>
          <w:sz w:val="15"/>
          <w:szCs w:val="15"/>
        </w:rPr>
        <w:t>=</w:t>
      </w:r>
      <w:r>
        <w:rPr>
          <w:rStyle w:val="mn"/>
          <w:rFonts w:ascii="MathJax_Main" w:hAnsi="MathJax_Main"/>
          <w:b/>
          <w:color w:val="333333"/>
          <w:sz w:val="15"/>
          <w:szCs w:val="15"/>
        </w:rPr>
        <w:t>1.96</w:t>
      </w:r>
      <w:r>
        <w:rPr>
          <w:rStyle w:val="mo"/>
          <w:rFonts w:ascii="MathJax_Main" w:hAnsi="MathJax_Main"/>
          <w:b/>
          <w:color w:val="333333"/>
          <w:sz w:val="15"/>
          <w:szCs w:val="15"/>
        </w:rPr>
        <w:t>.</w:t>
      </w:r>
    </w:p>
    <w:p w:rsidR="00AD77BB" w:rsidRDefault="00AD77BB">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p>
    <w:p w:rsidR="00AD77BB" w:rsidRDefault="00AD77BB">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p>
    <w:p w:rsidR="00AD77BB" w:rsidRDefault="00B45BA0">
      <w:pPr>
        <w:pStyle w:val="Heading3"/>
        <w:spacing w:before="0" w:beforeAutospacing="0" w:after="0" w:afterAutospacing="0" w:line="264" w:lineRule="atLeast"/>
        <w:textAlignment w:val="baseline"/>
        <w:rPr>
          <w:rFonts w:ascii="Calibri" w:hAnsi="Calibri"/>
          <w:color w:val="333333"/>
          <w:sz w:val="31"/>
          <w:szCs w:val="31"/>
        </w:rPr>
      </w:pPr>
      <w:r>
        <w:rPr>
          <w:rFonts w:ascii="Calibri" w:hAnsi="Calibri"/>
          <w:color w:val="333333"/>
          <w:sz w:val="31"/>
          <w:szCs w:val="31"/>
        </w:rPr>
        <w:lastRenderedPageBreak/>
        <w:t>Definition</w:t>
      </w:r>
    </w:p>
    <w:p w:rsidR="00AD77BB" w:rsidRDefault="00B45BA0">
      <w:pPr>
        <w:pStyle w:val="para"/>
        <w:spacing w:before="0" w:beforeAutospacing="0" w:after="0" w:afterAutospacing="0" w:line="360" w:lineRule="auto"/>
        <w:textAlignment w:val="baseline"/>
        <w:rPr>
          <w:rFonts w:ascii="Georgia" w:hAnsi="Georgia"/>
          <w:color w:val="333333"/>
          <w:sz w:val="21"/>
          <w:szCs w:val="21"/>
        </w:rPr>
      </w:pPr>
      <w:r>
        <w:rPr>
          <w:rStyle w:val="Emphasis"/>
          <w:rFonts w:ascii="Georgia" w:hAnsi="Georgia"/>
          <w:color w:val="333333"/>
          <w:sz w:val="20"/>
          <w:szCs w:val="20"/>
        </w:rPr>
        <w:t>The value of the standard normal random variable</w:t>
      </w:r>
      <w:r>
        <w:rPr>
          <w:rStyle w:val="apple-converted-space"/>
          <w:rFonts w:ascii="Georgia" w:hAnsi="Georgia"/>
          <w:color w:val="333333"/>
          <w:sz w:val="21"/>
          <w:szCs w:val="21"/>
        </w:rPr>
        <w:t> </w:t>
      </w:r>
      <w:r>
        <w:rPr>
          <w:rStyle w:val="Emphasis"/>
          <w:rFonts w:ascii="Georgia" w:hAnsi="Georgia"/>
          <w:color w:val="333333"/>
          <w:sz w:val="20"/>
          <w:szCs w:val="20"/>
        </w:rPr>
        <w:t>Z</w:t>
      </w:r>
      <w:r>
        <w:rPr>
          <w:rStyle w:val="apple-converted-space"/>
          <w:rFonts w:ascii="Georgia" w:hAnsi="Georgia"/>
          <w:color w:val="333333"/>
          <w:sz w:val="21"/>
          <w:szCs w:val="21"/>
        </w:rPr>
        <w:t> </w:t>
      </w:r>
      <w:r>
        <w:rPr>
          <w:rStyle w:val="Emphasis"/>
          <w:rFonts w:ascii="Georgia" w:hAnsi="Georgia"/>
          <w:color w:val="333333"/>
          <w:sz w:val="20"/>
          <w:szCs w:val="20"/>
        </w:rPr>
        <w:t>that cuts off a right tail of area</w:t>
      </w:r>
      <w:r>
        <w:rPr>
          <w:rStyle w:val="apple-converted-space"/>
          <w:rFonts w:ascii="Georgia" w:hAnsi="Georgia"/>
          <w:color w:val="333333"/>
          <w:sz w:val="21"/>
          <w:szCs w:val="21"/>
        </w:rPr>
        <w:t> </w:t>
      </w:r>
      <w:r>
        <w:rPr>
          <w:rStyle w:val="Emphasis"/>
          <w:rFonts w:ascii="Georgia" w:hAnsi="Georgia"/>
          <w:color w:val="333333"/>
          <w:sz w:val="20"/>
          <w:szCs w:val="20"/>
        </w:rPr>
        <w:t>c</w:t>
      </w:r>
      <w:r>
        <w:rPr>
          <w:rStyle w:val="apple-converted-space"/>
          <w:rFonts w:ascii="Georgia" w:hAnsi="Georgia"/>
          <w:color w:val="333333"/>
          <w:sz w:val="21"/>
          <w:szCs w:val="21"/>
        </w:rPr>
        <w:t> </w:t>
      </w:r>
      <w:r>
        <w:rPr>
          <w:rStyle w:val="Emphasis"/>
          <w:rFonts w:ascii="Georgia" w:hAnsi="Georgia"/>
          <w:color w:val="333333"/>
          <w:sz w:val="20"/>
          <w:szCs w:val="20"/>
        </w:rPr>
        <w:t>is denoted</w:t>
      </w:r>
      <w:r>
        <w:rPr>
          <w:rStyle w:val="apple-converted-space"/>
          <w:rFonts w:ascii="Georgia" w:hAnsi="Georgia"/>
          <w:color w:val="333333"/>
          <w:sz w:val="21"/>
          <w:szCs w:val="21"/>
        </w:rPr>
        <w:t> </w:t>
      </w:r>
      <w:r>
        <w:rPr>
          <w:rStyle w:val="Emphasis"/>
          <w:rFonts w:ascii="Georgia" w:hAnsi="Georgia"/>
          <w:color w:val="333333"/>
          <w:sz w:val="20"/>
          <w:szCs w:val="20"/>
        </w:rPr>
        <w:t>z</w:t>
      </w:r>
      <w:r>
        <w:rPr>
          <w:rStyle w:val="Emphasis"/>
          <w:rFonts w:ascii="Georgia" w:hAnsi="Georgia"/>
          <w:color w:val="333333"/>
          <w:sz w:val="15"/>
          <w:szCs w:val="15"/>
          <w:vertAlign w:val="subscript"/>
        </w:rPr>
        <w:t>c</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By symmetry, value of</w:t>
      </w:r>
      <w:r>
        <w:rPr>
          <w:rStyle w:val="apple-converted-space"/>
          <w:rFonts w:ascii="Georgia" w:hAnsi="Georgia"/>
          <w:color w:val="333333"/>
          <w:sz w:val="21"/>
          <w:szCs w:val="21"/>
        </w:rPr>
        <w:t> </w:t>
      </w:r>
      <w:r>
        <w:rPr>
          <w:rStyle w:val="Emphasis"/>
          <w:rFonts w:ascii="Georgia" w:hAnsi="Georgia"/>
          <w:color w:val="333333"/>
          <w:sz w:val="20"/>
          <w:szCs w:val="20"/>
        </w:rPr>
        <w:t>Z</w:t>
      </w:r>
      <w:r>
        <w:rPr>
          <w:rStyle w:val="apple-converted-space"/>
          <w:rFonts w:ascii="Georgia" w:hAnsi="Georgia"/>
          <w:color w:val="333333"/>
          <w:sz w:val="21"/>
          <w:szCs w:val="21"/>
        </w:rPr>
        <w:t> </w:t>
      </w:r>
      <w:r>
        <w:rPr>
          <w:rStyle w:val="Emphasis"/>
          <w:rFonts w:ascii="Georgia" w:hAnsi="Georgia"/>
          <w:color w:val="333333"/>
          <w:sz w:val="20"/>
          <w:szCs w:val="20"/>
        </w:rPr>
        <w:t>that cuts off a left tail of area</w:t>
      </w:r>
      <w:r>
        <w:rPr>
          <w:rStyle w:val="apple-converted-space"/>
          <w:rFonts w:ascii="Georgia" w:hAnsi="Georgia"/>
          <w:color w:val="333333"/>
          <w:sz w:val="21"/>
          <w:szCs w:val="21"/>
        </w:rPr>
        <w:t> </w:t>
      </w:r>
      <w:r>
        <w:rPr>
          <w:rStyle w:val="Emphasis"/>
          <w:rFonts w:ascii="Georgia" w:hAnsi="Georgia"/>
          <w:color w:val="333333"/>
          <w:sz w:val="20"/>
          <w:szCs w:val="20"/>
        </w:rPr>
        <w:t>c</w:t>
      </w:r>
      <w:r>
        <w:rPr>
          <w:rStyle w:val="apple-converted-space"/>
          <w:rFonts w:ascii="Georgia" w:hAnsi="Georgia"/>
          <w:color w:val="333333"/>
          <w:sz w:val="21"/>
          <w:szCs w:val="21"/>
        </w:rPr>
        <w:t> </w:t>
      </w:r>
      <w:r>
        <w:rPr>
          <w:rStyle w:val="Emphasis"/>
          <w:rFonts w:ascii="Georgia" w:hAnsi="Georgia"/>
          <w:color w:val="333333"/>
          <w:sz w:val="20"/>
          <w:szCs w:val="20"/>
        </w:rPr>
        <w:t>is</w:t>
      </w:r>
      <w:r>
        <w:rPr>
          <w:rStyle w:val="apple-converted-space"/>
          <w:rFonts w:ascii="Georgia" w:hAnsi="Georgia"/>
          <w:color w:val="333333"/>
          <w:sz w:val="21"/>
          <w:szCs w:val="21"/>
        </w:rPr>
        <w:t> </w:t>
      </w:r>
      <w:r>
        <w:rPr>
          <w:rStyle w:val="mtext"/>
          <w:rFonts w:ascii="MathJax_Main" w:hAnsi="MathJax_Main"/>
          <w:color w:val="333333"/>
          <w:sz w:val="18"/>
          <w:szCs w:val="18"/>
        </w:rPr>
        <w:t>−</w:t>
      </w:r>
      <w:r>
        <w:rPr>
          <w:rStyle w:val="mi"/>
          <w:rFonts w:ascii="MathJax_Math" w:hAnsi="MathJax_Math"/>
          <w:i/>
          <w:iCs/>
          <w:color w:val="333333"/>
          <w:sz w:val="18"/>
          <w:szCs w:val="18"/>
        </w:rPr>
        <w:t>z</w:t>
      </w:r>
      <w:r>
        <w:rPr>
          <w:rStyle w:val="mi"/>
          <w:rFonts w:ascii="MathJax_Math" w:hAnsi="MathJax_Math"/>
          <w:i/>
          <w:iCs/>
          <w:color w:val="333333"/>
          <w:sz w:val="14"/>
          <w:szCs w:val="14"/>
        </w:rPr>
        <w:t>c</w:t>
      </w:r>
      <w:r>
        <w:rPr>
          <w:rStyle w:val="mo"/>
          <w:rFonts w:ascii="MathJax_Main" w:hAnsi="MathJax_Main"/>
          <w:color w:val="333333"/>
          <w:sz w:val="18"/>
          <w:szCs w:val="18"/>
        </w:rPr>
        <w:t>.</w:t>
      </w:r>
      <w:r>
        <w:rPr>
          <w:rStyle w:val="apple-converted-space"/>
          <w:rFonts w:ascii="Georgia" w:hAnsi="Georgia"/>
          <w:color w:val="333333"/>
          <w:sz w:val="21"/>
          <w:szCs w:val="21"/>
        </w:rPr>
        <w:t> </w:t>
      </w:r>
      <w:r>
        <w:rPr>
          <w:rStyle w:val="Emphasis"/>
          <w:rFonts w:ascii="Georgia" w:hAnsi="Georgia"/>
          <w:color w:val="333333"/>
          <w:sz w:val="20"/>
          <w:szCs w:val="20"/>
        </w:rPr>
        <w:t>See</w:t>
      </w:r>
      <w:r>
        <w:rPr>
          <w:rStyle w:val="apple-converted-space"/>
          <w:rFonts w:ascii="Georgia" w:hAnsi="Georgia"/>
          <w:i/>
          <w:iCs/>
          <w:color w:val="333333"/>
          <w:sz w:val="20"/>
          <w:szCs w:val="20"/>
        </w:rPr>
        <w:t> </w:t>
      </w:r>
      <w:r>
        <w:rPr>
          <w:rFonts w:ascii="Georgia" w:hAnsi="Georgia"/>
          <w:i/>
          <w:iCs/>
          <w:color w:val="2689C6"/>
          <w:sz w:val="20"/>
          <w:szCs w:val="20"/>
        </w:rPr>
        <w:t>Figure 5.22 "The Numbers "</w:t>
      </w:r>
      <w:r>
        <w:rPr>
          <w:rFonts w:ascii="Georgia" w:hAnsi="Georgia"/>
          <w:color w:val="333333"/>
          <w:sz w:val="21"/>
          <w:szCs w:val="21"/>
        </w:rPr>
        <w:t>.</w:t>
      </w:r>
    </w:p>
    <w:p w:rsidR="00AD77BB" w:rsidRDefault="00B45BA0">
      <w:pPr>
        <w:pStyle w:val="Title6"/>
        <w:spacing w:before="0" w:beforeAutospacing="0" w:after="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5.22</w:t>
      </w:r>
      <w:r>
        <w:rPr>
          <w:rFonts w:ascii="Georgia" w:hAnsi="Georgia"/>
          <w:i/>
          <w:iCs/>
          <w:color w:val="BB9966"/>
          <w:sz w:val="22"/>
          <w:szCs w:val="22"/>
        </w:rPr>
        <w:t>The Numbers</w:t>
      </w:r>
      <w:r>
        <w:rPr>
          <w:rStyle w:val="apple-converted-space"/>
          <w:rFonts w:ascii="Georgia" w:hAnsi="Georgia"/>
          <w:i/>
          <w:iCs/>
          <w:color w:val="BB9966"/>
          <w:sz w:val="22"/>
          <w:szCs w:val="22"/>
        </w:rPr>
        <w:t> </w:t>
      </w:r>
      <w:r>
        <w:rPr>
          <w:rStyle w:val="Emphasis"/>
          <w:rFonts w:ascii="Georgia" w:hAnsi="Georgia"/>
          <w:color w:val="BB9966"/>
          <w:sz w:val="20"/>
          <w:szCs w:val="20"/>
        </w:rPr>
        <w:t>z</w:t>
      </w:r>
      <w:r>
        <w:rPr>
          <w:rStyle w:val="Emphasis"/>
          <w:rFonts w:ascii="Georgia" w:hAnsi="Georgia"/>
          <w:color w:val="BB9966"/>
          <w:sz w:val="15"/>
          <w:szCs w:val="15"/>
          <w:vertAlign w:val="subscript"/>
        </w:rPr>
        <w:t>c</w:t>
      </w:r>
      <w:r>
        <w:rPr>
          <w:rStyle w:val="apple-converted-space"/>
          <w:rFonts w:ascii="Georgia" w:hAnsi="Georgia"/>
          <w:i/>
          <w:iCs/>
          <w:color w:val="BB9966"/>
          <w:sz w:val="22"/>
          <w:szCs w:val="22"/>
        </w:rPr>
        <w:t> </w:t>
      </w:r>
      <w:r>
        <w:rPr>
          <w:rFonts w:ascii="Georgia" w:hAnsi="Georgia"/>
          <w:i/>
          <w:iCs/>
          <w:color w:val="BB9966"/>
          <w:sz w:val="22"/>
          <w:szCs w:val="22"/>
        </w:rPr>
        <w:t>and</w:t>
      </w:r>
      <w:r>
        <w:rPr>
          <w:rStyle w:val="apple-converted-space"/>
          <w:rFonts w:ascii="Georgia" w:hAnsi="Georgia"/>
          <w:i/>
          <w:iCs/>
          <w:color w:val="BB9966"/>
          <w:sz w:val="22"/>
          <w:szCs w:val="22"/>
        </w:rPr>
        <w:t> </w:t>
      </w:r>
      <w:r>
        <w:rPr>
          <w:rStyle w:val="mtext"/>
          <w:rFonts w:ascii="MathJax_Main" w:hAnsi="MathJax_Main"/>
          <w:color w:val="BB9966"/>
          <w:sz w:val="18"/>
          <w:szCs w:val="18"/>
        </w:rPr>
        <w:t>−</w:t>
      </w:r>
      <w:r>
        <w:rPr>
          <w:rStyle w:val="mi"/>
          <w:rFonts w:ascii="MathJax_Math" w:hAnsi="MathJax_Math"/>
          <w:i/>
          <w:iCs/>
          <w:color w:val="BB9966"/>
          <w:sz w:val="18"/>
          <w:szCs w:val="18"/>
        </w:rPr>
        <w:t>z</w:t>
      </w:r>
      <w:r>
        <w:rPr>
          <w:rStyle w:val="mi"/>
          <w:rFonts w:ascii="MathJax_Math" w:hAnsi="MathJax_Math"/>
          <w:i/>
          <w:iCs/>
          <w:color w:val="BB9966"/>
          <w:sz w:val="14"/>
          <w:szCs w:val="14"/>
        </w:rPr>
        <w:t>c</w:t>
      </w:r>
    </w:p>
    <w:p w:rsidR="00AD77BB" w:rsidRDefault="00B45BA0">
      <w:pPr>
        <w:spacing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14:anchorId="16F659FD" wp14:editId="03E6EAF9">
            <wp:extent cx="5648325" cy="2905125"/>
            <wp:effectExtent l="0" t="0" r="9525" b="9525"/>
            <wp:docPr id="177" name="Picture 190" descr="http://images.flatworldknowledge.com/shafer/shafer-fig05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images.flatworldknowledge.com/shafer/shafer-fig05_024.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48325" cy="2905125"/>
                    </a:xfrm>
                    <a:prstGeom prst="rect">
                      <a:avLst/>
                    </a:prstGeom>
                    <a:noFill/>
                    <a:ln>
                      <a:noFill/>
                    </a:ln>
                  </pic:spPr>
                </pic:pic>
              </a:graphicData>
            </a:graphic>
          </wp:inline>
        </w:drawing>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EXAMPLE 14</w:t>
      </w:r>
    </w:p>
    <w:p w:rsidR="00AD77BB" w:rsidRDefault="00B45BA0">
      <w:p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Find </w:t>
      </w:r>
      <w:r>
        <w:rPr>
          <w:rFonts w:ascii="MathJax_Math" w:eastAsia="Times New Roman" w:hAnsi="MathJax_Math" w:cs="Times New Roman"/>
          <w:i/>
          <w:iCs/>
          <w:color w:val="333333"/>
          <w:sz w:val="15"/>
          <w:szCs w:val="15"/>
        </w:rPr>
        <w:t>z</w:t>
      </w:r>
      <w:r>
        <w:rPr>
          <w:rFonts w:ascii="MathJax_Main" w:eastAsia="Times New Roman" w:hAnsi="MathJax_Main" w:cs="Times New Roman"/>
          <w:color w:val="333333"/>
          <w:sz w:val="12"/>
          <w:szCs w:val="12"/>
        </w:rPr>
        <w:t>.01</w:t>
      </w:r>
      <w:r>
        <w:rPr>
          <w:rFonts w:ascii="Calibri" w:eastAsia="Times New Roman" w:hAnsi="Calibri" w:cs="Times New Roman"/>
          <w:color w:val="333333"/>
          <w:sz w:val="21"/>
          <w:szCs w:val="21"/>
        </w:rPr>
        <w:t> and </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z</w:t>
      </w:r>
      <w:r>
        <w:rPr>
          <w:rFonts w:ascii="MathJax_Main" w:eastAsia="Times New Roman" w:hAnsi="MathJax_Main" w:cs="Times New Roman"/>
          <w:color w:val="333333"/>
          <w:sz w:val="12"/>
          <w:szCs w:val="12"/>
        </w:rPr>
        <w:t>.01</w:t>
      </w:r>
      <w:r>
        <w:rPr>
          <w:rFonts w:ascii="Calibri" w:eastAsia="Times New Roman" w:hAnsi="Calibri" w:cs="Times New Roman"/>
          <w:color w:val="333333"/>
          <w:sz w:val="21"/>
          <w:szCs w:val="21"/>
        </w:rPr>
        <w:t>, the values of </w:t>
      </w:r>
      <w:r>
        <w:rPr>
          <w:rFonts w:ascii="Calibri" w:eastAsia="Times New Roman" w:hAnsi="Calibri" w:cs="Times New Roman"/>
          <w:i/>
          <w:iCs/>
          <w:color w:val="333333"/>
          <w:sz w:val="20"/>
          <w:szCs w:val="20"/>
        </w:rPr>
        <w:t>Z</w:t>
      </w:r>
      <w:r>
        <w:rPr>
          <w:rFonts w:ascii="Calibri" w:eastAsia="Times New Roman" w:hAnsi="Calibri" w:cs="Times New Roman"/>
          <w:color w:val="333333"/>
          <w:sz w:val="21"/>
          <w:szCs w:val="21"/>
        </w:rPr>
        <w:t> that cut off right and left tails of area 0.01 in the standard normal distribution.</w:t>
      </w:r>
    </w:p>
    <w:p w:rsidR="00AD77BB" w:rsidRDefault="00AD77BB">
      <w:p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1"/>
          <w:szCs w:val="21"/>
        </w:rPr>
      </w:pPr>
    </w:p>
    <w:p w:rsidR="00AD77BB" w:rsidRDefault="00B45BA0">
      <w:pPr>
        <w:shd w:val="clear" w:color="auto" w:fill="DAEEF3" w:themeFill="accent5" w:themeFillTint="33"/>
        <w:spacing w:before="150" w:after="0" w:line="360" w:lineRule="auto"/>
        <w:ind w:left="302" w:right="374"/>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Solution:</w:t>
      </w:r>
    </w:p>
    <w:p w:rsidR="00AD77BB" w:rsidRDefault="00AD77BB">
      <w:pPr>
        <w:shd w:val="clear" w:color="auto" w:fill="DAEEF3" w:themeFill="accent5" w:themeFillTint="33"/>
        <w:spacing w:before="150" w:after="0" w:line="360" w:lineRule="auto"/>
        <w:ind w:left="302" w:right="374"/>
        <w:textAlignment w:val="baseline"/>
        <w:rPr>
          <w:rFonts w:ascii="Calibri" w:eastAsia="Times New Roman" w:hAnsi="Calibri" w:cs="Times New Roman"/>
          <w:color w:val="333333"/>
          <w:sz w:val="21"/>
          <w:szCs w:val="21"/>
        </w:rPr>
      </w:pPr>
    </w:p>
    <w:p w:rsidR="00AD77BB" w:rsidRDefault="00B45BA0">
      <w:p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Since </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z</w:t>
      </w:r>
      <w:r>
        <w:rPr>
          <w:rFonts w:ascii="MathJax_Main" w:eastAsia="Times New Roman" w:hAnsi="MathJax_Main" w:cs="Times New Roman"/>
          <w:color w:val="333333"/>
          <w:sz w:val="12"/>
          <w:szCs w:val="12"/>
        </w:rPr>
        <w:t>.01</w:t>
      </w:r>
      <w:r>
        <w:rPr>
          <w:rFonts w:ascii="Calibri" w:eastAsia="Times New Roman" w:hAnsi="Calibri" w:cs="Times New Roman"/>
          <w:color w:val="333333"/>
          <w:sz w:val="21"/>
          <w:szCs w:val="21"/>
        </w:rPr>
        <w:t> cuts off a left tail of area 0.01 and </w:t>
      </w:r>
      <w:r>
        <w:rPr>
          <w:rFonts w:ascii="Calibri" w:eastAsia="Times New Roman" w:hAnsi="Calibri" w:cs="Times New Roman"/>
          <w:color w:val="2689C6"/>
          <w:sz w:val="21"/>
          <w:szCs w:val="21"/>
        </w:rPr>
        <w:t>Figure 12.2 "Cumulative Normal Probability"</w:t>
      </w:r>
      <w:r>
        <w:rPr>
          <w:rFonts w:ascii="Calibri" w:eastAsia="Times New Roman" w:hAnsi="Calibri" w:cs="Times New Roman"/>
          <w:color w:val="333333"/>
          <w:sz w:val="21"/>
          <w:szCs w:val="21"/>
        </w:rPr>
        <w:t> is a table of left tails, we look for the number 0.0100 in the interior of the table. It is not there, but falls between the two numbers 0.0102 and 0.0099 in the row with heading −2.3. The number 0.0099 is closer to 0.0100 than 0.0102 is, so for the hundredths place in </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z</w:t>
      </w:r>
      <w:r>
        <w:rPr>
          <w:rFonts w:ascii="MathJax_Main" w:eastAsia="Times New Roman" w:hAnsi="MathJax_Main" w:cs="Times New Roman"/>
          <w:color w:val="333333"/>
          <w:sz w:val="12"/>
          <w:szCs w:val="12"/>
        </w:rPr>
        <w:t>.01</w:t>
      </w:r>
      <w:r>
        <w:rPr>
          <w:rFonts w:ascii="Calibri" w:eastAsia="Times New Roman" w:hAnsi="Calibri" w:cs="Times New Roman"/>
          <w:color w:val="333333"/>
          <w:sz w:val="21"/>
          <w:szCs w:val="21"/>
        </w:rPr>
        <w:t> we use the heading of the column that contains 0.0099, namely, 0.03, and write </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z</w:t>
      </w:r>
      <w:r>
        <w:rPr>
          <w:rFonts w:ascii="MathJax_Main" w:eastAsia="Times New Roman" w:hAnsi="MathJax_Main" w:cs="Times New Roman"/>
          <w:b/>
          <w:color w:val="333333"/>
          <w:sz w:val="12"/>
          <w:szCs w:val="12"/>
        </w:rPr>
        <w:t>.</w:t>
      </w:r>
      <w:r>
        <w:rPr>
          <w:rFonts w:ascii="MathJax_Main" w:eastAsia="Times New Roman" w:hAnsi="MathJax_Main" w:cs="Times New Roman"/>
          <w:b/>
          <w:color w:val="333333"/>
          <w:sz w:val="12"/>
          <w:szCs w:val="12"/>
          <w:vertAlign w:val="subscript"/>
        </w:rPr>
        <w:t>01</w:t>
      </w:r>
      <w:r>
        <w:rPr>
          <w:rFonts w:ascii="MathJax_Main" w:eastAsia="Times New Roman" w:hAnsi="MathJax_Main" w:cs="Times New Roman"/>
          <w:b/>
          <w:color w:val="333333"/>
          <w:sz w:val="15"/>
          <w:szCs w:val="15"/>
        </w:rPr>
        <w:t>≈−2.33.</w:t>
      </w:r>
    </w:p>
    <w:p w:rsidR="00AD77BB" w:rsidRDefault="00B45BA0">
      <w:p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The answer to the second half of the problem is automatic: since </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z</w:t>
      </w:r>
      <w:r>
        <w:rPr>
          <w:rFonts w:ascii="MathJax_Main" w:eastAsia="Times New Roman" w:hAnsi="MathJax_Main" w:cs="Times New Roman"/>
          <w:b/>
          <w:color w:val="333333"/>
          <w:sz w:val="12"/>
          <w:szCs w:val="12"/>
        </w:rPr>
        <w:t>.</w:t>
      </w:r>
      <w:r>
        <w:rPr>
          <w:rFonts w:ascii="MathJax_Main" w:eastAsia="Times New Roman" w:hAnsi="MathJax_Main" w:cs="Times New Roman"/>
          <w:b/>
          <w:color w:val="333333"/>
          <w:sz w:val="12"/>
          <w:szCs w:val="12"/>
          <w:vertAlign w:val="subscript"/>
        </w:rPr>
        <w:t>01</w:t>
      </w:r>
      <w:r>
        <w:rPr>
          <w:rFonts w:ascii="MathJax_Main" w:eastAsia="Times New Roman" w:hAnsi="MathJax_Main" w:cs="Times New Roman"/>
          <w:b/>
          <w:color w:val="333333"/>
          <w:sz w:val="15"/>
          <w:szCs w:val="15"/>
        </w:rPr>
        <w:t>=−2.33</w:t>
      </w:r>
      <w:r>
        <w:rPr>
          <w:rFonts w:ascii="Calibri" w:eastAsia="Times New Roman" w:hAnsi="Calibri" w:cs="Times New Roman"/>
          <w:color w:val="333333"/>
          <w:sz w:val="21"/>
          <w:szCs w:val="21"/>
        </w:rPr>
        <w:t>, we conclude immediately that </w:t>
      </w:r>
      <w:r>
        <w:rPr>
          <w:rFonts w:ascii="MathJax_Math" w:eastAsia="Times New Roman" w:hAnsi="MathJax_Math" w:cs="Times New Roman"/>
          <w:b/>
          <w:i/>
          <w:iCs/>
          <w:color w:val="333333"/>
          <w:sz w:val="15"/>
          <w:szCs w:val="15"/>
        </w:rPr>
        <w:t>z</w:t>
      </w:r>
      <w:r>
        <w:rPr>
          <w:rFonts w:ascii="MathJax_Main" w:eastAsia="Times New Roman" w:hAnsi="MathJax_Main" w:cs="Times New Roman"/>
          <w:b/>
          <w:color w:val="333333"/>
          <w:sz w:val="12"/>
          <w:szCs w:val="12"/>
        </w:rPr>
        <w:t>.</w:t>
      </w:r>
      <w:r>
        <w:rPr>
          <w:rFonts w:ascii="MathJax_Main" w:eastAsia="Times New Roman" w:hAnsi="MathJax_Main" w:cs="Times New Roman"/>
          <w:b/>
          <w:color w:val="333333"/>
          <w:sz w:val="12"/>
          <w:szCs w:val="12"/>
          <w:vertAlign w:val="subscript"/>
        </w:rPr>
        <w:t>01</w:t>
      </w:r>
      <w:r>
        <w:rPr>
          <w:rFonts w:ascii="MathJax_Main" w:eastAsia="Times New Roman" w:hAnsi="MathJax_Main" w:cs="Times New Roman"/>
          <w:b/>
          <w:color w:val="333333"/>
          <w:sz w:val="15"/>
          <w:szCs w:val="15"/>
        </w:rPr>
        <w:t>=2.33.</w:t>
      </w:r>
    </w:p>
    <w:p w:rsidR="00AD77BB" w:rsidRDefault="00B45BA0">
      <w:pPr>
        <w:pStyle w:val="para"/>
        <w:shd w:val="clear" w:color="auto" w:fill="DAEEF3" w:themeFill="accent5" w:themeFillTint="33"/>
        <w:spacing w:before="0" w:beforeAutospacing="0" w:after="0" w:afterAutospacing="0" w:line="439" w:lineRule="atLeast"/>
        <w:ind w:left="300" w:right="375"/>
        <w:textAlignment w:val="baseline"/>
        <w:rPr>
          <w:rFonts w:ascii="Calibri" w:hAnsi="Calibri"/>
          <w:color w:val="333333"/>
          <w:sz w:val="21"/>
          <w:szCs w:val="21"/>
        </w:rPr>
      </w:pPr>
      <w:r>
        <w:rPr>
          <w:rFonts w:ascii="Calibri" w:hAnsi="Calibri"/>
          <w:color w:val="333333"/>
          <w:sz w:val="21"/>
          <w:szCs w:val="21"/>
        </w:rPr>
        <w:t>We could just as well have solved this problem by looking for </w:t>
      </w:r>
      <w:r>
        <w:rPr>
          <w:rFonts w:ascii="MathJax_Math" w:hAnsi="MathJax_Math"/>
          <w:i/>
          <w:iCs/>
          <w:color w:val="333333"/>
          <w:sz w:val="15"/>
          <w:szCs w:val="15"/>
        </w:rPr>
        <w:t>z</w:t>
      </w:r>
      <w:r>
        <w:rPr>
          <w:rFonts w:ascii="MathJax_Main" w:hAnsi="MathJax_Main"/>
          <w:color w:val="333333"/>
          <w:sz w:val="12"/>
          <w:szCs w:val="12"/>
        </w:rPr>
        <w:t>.01</w:t>
      </w:r>
      <w:r>
        <w:rPr>
          <w:rFonts w:ascii="Calibri" w:hAnsi="Calibri"/>
          <w:color w:val="333333"/>
          <w:sz w:val="21"/>
          <w:szCs w:val="21"/>
        </w:rPr>
        <w:t xml:space="preserve"> first, and it is instructive to rework the problem this way. To begin with, we must first subtract 0.01 from 1 to find the </w:t>
      </w:r>
      <w:r>
        <w:rPr>
          <w:rFonts w:ascii="Calibri" w:hAnsi="Calibri"/>
          <w:color w:val="333333"/>
          <w:sz w:val="21"/>
          <w:szCs w:val="21"/>
        </w:rPr>
        <w:lastRenderedPageBreak/>
        <w:t>area </w:t>
      </w:r>
      <w:r>
        <w:rPr>
          <w:rFonts w:ascii="MathJax_Main" w:hAnsi="MathJax_Main"/>
          <w:b/>
          <w:color w:val="333333"/>
          <w:sz w:val="15"/>
          <w:szCs w:val="15"/>
        </w:rPr>
        <w:t>1−0.0100=0.9900</w:t>
      </w:r>
      <w:r>
        <w:rPr>
          <w:rFonts w:ascii="Calibri" w:hAnsi="Calibri"/>
          <w:color w:val="333333"/>
          <w:sz w:val="21"/>
          <w:szCs w:val="21"/>
        </w:rPr>
        <w:t> of the </w:t>
      </w:r>
      <w:r>
        <w:rPr>
          <w:rFonts w:ascii="Calibri" w:hAnsi="Calibri"/>
          <w:i/>
          <w:iCs/>
          <w:color w:val="333333"/>
          <w:sz w:val="20"/>
          <w:szCs w:val="20"/>
        </w:rPr>
        <w:t>left</w:t>
      </w:r>
      <w:r>
        <w:rPr>
          <w:rFonts w:ascii="Calibri" w:hAnsi="Calibri"/>
          <w:color w:val="333333"/>
          <w:sz w:val="21"/>
          <w:szCs w:val="21"/>
        </w:rPr>
        <w:t> tail cut off by the unknown number </w:t>
      </w:r>
      <w:r>
        <w:rPr>
          <w:rFonts w:ascii="MathJax_Math" w:hAnsi="MathJax_Math"/>
          <w:i/>
          <w:iCs/>
          <w:color w:val="333333"/>
          <w:sz w:val="15"/>
          <w:szCs w:val="15"/>
        </w:rPr>
        <w:t>z</w:t>
      </w:r>
      <w:r>
        <w:rPr>
          <w:rFonts w:ascii="MathJax_Main" w:hAnsi="MathJax_Main"/>
          <w:color w:val="333333"/>
          <w:sz w:val="12"/>
          <w:szCs w:val="12"/>
        </w:rPr>
        <w:t>.01</w:t>
      </w:r>
      <w:r>
        <w:rPr>
          <w:rFonts w:ascii="MathJax_Main" w:hAnsi="MathJax_Main"/>
          <w:color w:val="333333"/>
          <w:sz w:val="15"/>
          <w:szCs w:val="15"/>
        </w:rPr>
        <w:t>.</w:t>
      </w:r>
      <w:r>
        <w:rPr>
          <w:rFonts w:ascii="Calibri" w:hAnsi="Calibri"/>
          <w:color w:val="333333"/>
          <w:sz w:val="21"/>
          <w:szCs w:val="21"/>
        </w:rPr>
        <w:t> See </w:t>
      </w:r>
      <w:r>
        <w:rPr>
          <w:rFonts w:ascii="Calibri" w:hAnsi="Calibri"/>
          <w:color w:val="2689C6"/>
          <w:sz w:val="21"/>
          <w:szCs w:val="21"/>
        </w:rPr>
        <w:t>Figure 5.23 "Computation of the Number "</w:t>
      </w:r>
      <w:r>
        <w:rPr>
          <w:rFonts w:ascii="Calibri" w:hAnsi="Calibri"/>
          <w:color w:val="333333"/>
          <w:sz w:val="21"/>
          <w:szCs w:val="21"/>
        </w:rPr>
        <w:t>. Then we search for the area 0.9900 in </w:t>
      </w:r>
      <w:r>
        <w:rPr>
          <w:rFonts w:ascii="Calibri" w:hAnsi="Calibri"/>
          <w:color w:val="2689C6"/>
          <w:sz w:val="21"/>
          <w:szCs w:val="21"/>
        </w:rPr>
        <w:t>Figure 12.2 "Cumulative Normal Probability"</w:t>
      </w:r>
      <w:r>
        <w:rPr>
          <w:rFonts w:ascii="Calibri" w:hAnsi="Calibri"/>
          <w:color w:val="333333"/>
          <w:sz w:val="21"/>
          <w:szCs w:val="21"/>
        </w:rPr>
        <w:t>. It is not there, but falls between the numbers 0.9898 and 0.9901 in the row with heading 2.3. Since 0.9901 is closer to 0.9900 than 0.9898 is, we use the column heading above it, 0.03, to obtain the approximation </w:t>
      </w:r>
      <w:r>
        <w:rPr>
          <w:rFonts w:ascii="MathJax_Math" w:hAnsi="MathJax_Math"/>
          <w:b/>
          <w:i/>
          <w:iCs/>
          <w:color w:val="333333"/>
          <w:sz w:val="15"/>
          <w:szCs w:val="15"/>
        </w:rPr>
        <w:t>z</w:t>
      </w:r>
      <w:r>
        <w:rPr>
          <w:rFonts w:ascii="MathJax_Main" w:hAnsi="MathJax_Main"/>
          <w:b/>
          <w:color w:val="333333"/>
          <w:sz w:val="12"/>
          <w:szCs w:val="12"/>
        </w:rPr>
        <w:t>.01</w:t>
      </w:r>
      <w:r>
        <w:rPr>
          <w:rFonts w:ascii="MathJax_Main" w:hAnsi="MathJax_Main"/>
          <w:b/>
          <w:color w:val="333333"/>
          <w:sz w:val="15"/>
          <w:szCs w:val="15"/>
        </w:rPr>
        <w:t>≈2.33</w:t>
      </w:r>
      <w:r>
        <w:rPr>
          <w:rFonts w:ascii="MathJax_Main" w:hAnsi="MathJax_Main"/>
          <w:color w:val="333333"/>
          <w:sz w:val="15"/>
          <w:szCs w:val="15"/>
        </w:rPr>
        <w:t>.</w:t>
      </w:r>
      <w:r>
        <w:rPr>
          <w:rFonts w:ascii="Calibri" w:hAnsi="Calibri"/>
          <w:color w:val="333333"/>
          <w:sz w:val="21"/>
          <w:szCs w:val="21"/>
        </w:rPr>
        <w:t> Then finally </w:t>
      </w:r>
      <w:r>
        <w:rPr>
          <w:rFonts w:ascii="MathJax_Main" w:hAnsi="MathJax_Main"/>
          <w:b/>
          <w:color w:val="333333"/>
          <w:sz w:val="15"/>
          <w:szCs w:val="15"/>
        </w:rPr>
        <w:t>−</w:t>
      </w:r>
      <w:r>
        <w:rPr>
          <w:rFonts w:ascii="MathJax_Math" w:hAnsi="MathJax_Math"/>
          <w:b/>
          <w:i/>
          <w:iCs/>
          <w:color w:val="333333"/>
          <w:sz w:val="15"/>
          <w:szCs w:val="15"/>
        </w:rPr>
        <w:t>z</w:t>
      </w:r>
      <w:r>
        <w:rPr>
          <w:rFonts w:ascii="MathJax_Main" w:hAnsi="MathJax_Main"/>
          <w:b/>
          <w:color w:val="333333"/>
          <w:sz w:val="12"/>
          <w:szCs w:val="12"/>
        </w:rPr>
        <w:t>.01</w:t>
      </w:r>
      <w:r>
        <w:rPr>
          <w:rFonts w:ascii="MathJax_Main" w:hAnsi="MathJax_Main"/>
          <w:b/>
          <w:color w:val="333333"/>
          <w:sz w:val="15"/>
          <w:szCs w:val="15"/>
        </w:rPr>
        <w:t>≈−2.33.</w:t>
      </w:r>
    </w:p>
    <w:p w:rsidR="00AD77BB" w:rsidRDefault="00B45BA0">
      <w:pPr>
        <w:shd w:val="clear" w:color="auto" w:fill="DAEEF3" w:themeFill="accent5" w:themeFillTint="33"/>
        <w:spacing w:after="0" w:line="439" w:lineRule="atLeast"/>
        <w:ind w:left="300" w:right="375"/>
        <w:textAlignment w:val="baseline"/>
        <w:rPr>
          <w:rFonts w:ascii="Calibri" w:eastAsia="Times New Roman" w:hAnsi="Calibri" w:cs="Times New Roman"/>
          <w:i/>
          <w:iCs/>
          <w:color w:val="BB9966"/>
        </w:rPr>
      </w:pPr>
      <w:r>
        <w:rPr>
          <w:rFonts w:ascii="Calibri" w:eastAsia="Times New Roman" w:hAnsi="Calibri" w:cs="Times New Roman"/>
          <w:i/>
          <w:iCs/>
          <w:color w:val="000000"/>
          <w:sz w:val="20"/>
          <w:szCs w:val="20"/>
        </w:rPr>
        <w:t>Figure 5.23</w:t>
      </w:r>
      <w:r>
        <w:rPr>
          <w:rFonts w:ascii="Calibri" w:eastAsia="Times New Roman" w:hAnsi="Calibri" w:cs="Times New Roman"/>
          <w:i/>
          <w:iCs/>
          <w:color w:val="BB9966"/>
        </w:rPr>
        <w:t>Computation of the Number </w:t>
      </w:r>
      <w:r>
        <w:rPr>
          <w:rFonts w:ascii="MathJax_Math" w:eastAsia="Times New Roman" w:hAnsi="MathJax_Math" w:cs="Times New Roman"/>
          <w:i/>
          <w:iCs/>
          <w:color w:val="BB9966"/>
          <w:sz w:val="15"/>
          <w:szCs w:val="15"/>
        </w:rPr>
        <w:t>z</w:t>
      </w:r>
      <w:r>
        <w:rPr>
          <w:rFonts w:ascii="MathJax_Main" w:eastAsia="Times New Roman" w:hAnsi="MathJax_Main" w:cs="Times New Roman"/>
          <w:color w:val="BB9966"/>
          <w:sz w:val="12"/>
          <w:szCs w:val="12"/>
        </w:rPr>
        <w:t>.01</w:t>
      </w:r>
    </w:p>
    <w:p w:rsidR="00AD77BB" w:rsidRDefault="00B45BA0">
      <w:pPr>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14:anchorId="4CD0FE71" wp14:editId="08BE006F">
            <wp:extent cx="4991100" cy="3181350"/>
            <wp:effectExtent l="0" t="0" r="0" b="0"/>
            <wp:docPr id="178" name="Picture 191" descr="http://images.flatworldknowledge.com/shafer/shafer-fig05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images.flatworldknowledge.com/shafer/shafer-fig05_025.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991100" cy="3181350"/>
                    </a:xfrm>
                    <a:prstGeom prst="rect">
                      <a:avLst/>
                    </a:prstGeom>
                    <a:noFill/>
                    <a:ln>
                      <a:noFill/>
                    </a:ln>
                  </pic:spPr>
                </pic:pic>
              </a:graphicData>
            </a:graphic>
          </wp:inline>
        </w:drawing>
      </w:r>
    </w:p>
    <w:p w:rsidR="00AD77BB" w:rsidRDefault="00AD77BB">
      <w:p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1"/>
          <w:szCs w:val="21"/>
        </w:rPr>
      </w:pPr>
    </w:p>
    <w:p w:rsidR="00AD77BB" w:rsidRDefault="00B45BA0">
      <w:pPr>
        <w:shd w:val="clear" w:color="auto" w:fill="FFFFFF"/>
        <w:spacing w:after="0" w:line="439" w:lineRule="atLeast"/>
        <w:textAlignment w:val="baseline"/>
        <w:outlineLvl w:val="1"/>
        <w:rPr>
          <w:rFonts w:ascii="Calibri" w:eastAsia="Times New Roman" w:hAnsi="Calibri" w:cs="Times New Roman"/>
          <w:b/>
          <w:bCs/>
          <w:color w:val="333333"/>
          <w:sz w:val="29"/>
          <w:szCs w:val="29"/>
        </w:rPr>
      </w:pPr>
      <w:r>
        <w:rPr>
          <w:rFonts w:ascii="Calibri" w:eastAsia="Times New Roman" w:hAnsi="Calibri" w:cs="Times New Roman"/>
          <w:b/>
          <w:bCs/>
          <w:color w:val="333333"/>
          <w:sz w:val="29"/>
          <w:szCs w:val="29"/>
        </w:rPr>
        <w:t>Tails of General Normal Distributions</w:t>
      </w:r>
    </w:p>
    <w:p w:rsidR="00AD77BB" w:rsidRDefault="00AD77BB">
      <w:pPr>
        <w:shd w:val="clear" w:color="auto" w:fill="FFFFFF"/>
        <w:spacing w:after="0" w:line="439" w:lineRule="atLeast"/>
        <w:textAlignment w:val="baseline"/>
        <w:outlineLvl w:val="1"/>
        <w:rPr>
          <w:rFonts w:ascii="Calibri" w:eastAsia="Times New Roman" w:hAnsi="Calibri" w:cs="Times New Roman"/>
          <w:b/>
          <w:bCs/>
          <w:color w:val="333333"/>
          <w:sz w:val="29"/>
          <w:szCs w:val="29"/>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problem of finding the value </w:t>
      </w:r>
      <w:r>
        <w:rPr>
          <w:rFonts w:ascii="MathJax_Main" w:eastAsia="Times New Roman" w:hAnsi="MathJax_Main" w:cs="Times New Roman"/>
          <w:color w:val="333333"/>
          <w:sz w:val="18"/>
          <w:szCs w:val="18"/>
        </w:rPr>
        <w:t>x*</w:t>
      </w:r>
      <w:r>
        <w:rPr>
          <w:rFonts w:ascii="Georgia" w:eastAsia="Times New Roman" w:hAnsi="Georgia" w:cs="Times New Roman"/>
          <w:color w:val="333333"/>
          <w:sz w:val="21"/>
          <w:szCs w:val="21"/>
        </w:rPr>
        <w:t> of a general normally distributed random variable </w:t>
      </w:r>
      <w:r>
        <w:rPr>
          <w:rFonts w:ascii="Georgia" w:eastAsia="Times New Roman" w:hAnsi="Georgia" w:cs="Times New Roman"/>
          <w:i/>
          <w:iCs/>
          <w:color w:val="333333"/>
          <w:sz w:val="20"/>
          <w:szCs w:val="20"/>
        </w:rPr>
        <w:t>X</w:t>
      </w:r>
      <w:r>
        <w:rPr>
          <w:rFonts w:ascii="Georgia" w:eastAsia="Times New Roman" w:hAnsi="Georgia" w:cs="Times New Roman"/>
          <w:color w:val="333333"/>
          <w:sz w:val="21"/>
          <w:szCs w:val="21"/>
        </w:rPr>
        <w:t> that cuts off a tail of a specified area also arises. This problem may be solved in two steps.</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4F4F4"/>
        <w:spacing w:after="0" w:line="360" w:lineRule="auto"/>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Suppose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is a normally distributed random variable with mean </w:t>
      </w:r>
      <w:r>
        <w:rPr>
          <w:rFonts w:ascii="Georgia" w:eastAsia="Times New Roman" w:hAnsi="Georgia" w:cs="Times New Roman"/>
          <w:i/>
          <w:iCs/>
          <w:color w:val="333333"/>
          <w:sz w:val="20"/>
          <w:szCs w:val="20"/>
        </w:rPr>
        <w:t>μ</w:t>
      </w:r>
      <w:r>
        <w:rPr>
          <w:rFonts w:ascii="Georgia" w:eastAsia="Times New Roman" w:hAnsi="Georgia" w:cs="Times New Roman"/>
          <w:color w:val="333333"/>
          <w:sz w:val="20"/>
          <w:szCs w:val="20"/>
        </w:rPr>
        <w:t> and standard deviation </w:t>
      </w:r>
      <w:r>
        <w:rPr>
          <w:rFonts w:ascii="Georgia" w:eastAsia="Times New Roman" w:hAnsi="Georgia" w:cs="Times New Roman"/>
          <w:i/>
          <w:iCs/>
          <w:color w:val="333333"/>
          <w:sz w:val="20"/>
          <w:szCs w:val="20"/>
        </w:rPr>
        <w:t>σ</w:t>
      </w:r>
      <w:r>
        <w:rPr>
          <w:rFonts w:ascii="Georgia" w:eastAsia="Times New Roman" w:hAnsi="Georgia" w:cs="Times New Roman"/>
          <w:color w:val="333333"/>
          <w:sz w:val="20"/>
          <w:szCs w:val="20"/>
        </w:rPr>
        <w:t>. To find the value </w:t>
      </w:r>
      <w:r>
        <w:rPr>
          <w:rFonts w:ascii="MathJax_Main" w:eastAsia="Times New Roman" w:hAnsi="MathJax_Main" w:cs="Times New Roman"/>
          <w:b/>
          <w:color w:val="333333"/>
          <w:sz w:val="18"/>
          <w:szCs w:val="18"/>
        </w:rPr>
        <w:t>x*</w:t>
      </w:r>
      <w:r>
        <w:rPr>
          <w:rFonts w:ascii="Georgia" w:eastAsia="Times New Roman" w:hAnsi="Georgia" w:cs="Times New Roman"/>
          <w:color w:val="333333"/>
          <w:sz w:val="20"/>
          <w:szCs w:val="20"/>
        </w:rPr>
        <w:t> of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that cuts off a left or right tail of area </w:t>
      </w:r>
      <w:r>
        <w:rPr>
          <w:rFonts w:ascii="Georgia" w:eastAsia="Times New Roman" w:hAnsi="Georgia" w:cs="Times New Roman"/>
          <w:i/>
          <w:iCs/>
          <w:color w:val="333333"/>
          <w:sz w:val="20"/>
          <w:szCs w:val="20"/>
        </w:rPr>
        <w:t>c</w:t>
      </w:r>
      <w:r>
        <w:rPr>
          <w:rFonts w:ascii="Georgia" w:eastAsia="Times New Roman" w:hAnsi="Georgia" w:cs="Times New Roman"/>
          <w:color w:val="333333"/>
          <w:sz w:val="20"/>
          <w:szCs w:val="20"/>
        </w:rPr>
        <w:t> in the distribution of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w:t>
      </w:r>
    </w:p>
    <w:p w:rsidR="00AD77BB" w:rsidRDefault="00AD77BB">
      <w:pPr>
        <w:shd w:val="clear" w:color="auto" w:fill="F4F4F4"/>
        <w:spacing w:after="0" w:line="360" w:lineRule="auto"/>
        <w:textAlignment w:val="baseline"/>
        <w:rPr>
          <w:rFonts w:ascii="Georgia" w:eastAsia="Times New Roman" w:hAnsi="Georgia" w:cs="Times New Roman"/>
          <w:color w:val="333333"/>
          <w:sz w:val="20"/>
          <w:szCs w:val="20"/>
        </w:rPr>
      </w:pPr>
    </w:p>
    <w:p w:rsidR="00AD77BB" w:rsidRDefault="00B45BA0">
      <w:pPr>
        <w:numPr>
          <w:ilvl w:val="0"/>
          <w:numId w:val="143"/>
        </w:numPr>
        <w:shd w:val="clear" w:color="auto" w:fill="F4F4F4"/>
        <w:spacing w:after="0"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find the value </w:t>
      </w:r>
      <w:r>
        <w:rPr>
          <w:rFonts w:ascii="MathJax_Main" w:eastAsia="Times New Roman" w:hAnsi="MathJax_Main" w:cs="Times New Roman"/>
          <w:b/>
          <w:color w:val="333333"/>
          <w:sz w:val="18"/>
          <w:szCs w:val="18"/>
        </w:rPr>
        <w:t>z*</w:t>
      </w:r>
      <w:r>
        <w:rPr>
          <w:rFonts w:ascii="Georgia" w:eastAsia="Times New Roman" w:hAnsi="Georgia" w:cs="Times New Roman"/>
          <w:color w:val="333333"/>
          <w:sz w:val="20"/>
          <w:szCs w:val="20"/>
        </w:rPr>
        <w:t> of </w:t>
      </w:r>
      <w:r>
        <w:rPr>
          <w:rFonts w:ascii="Georgia" w:eastAsia="Times New Roman" w:hAnsi="Georgia" w:cs="Times New Roman"/>
          <w:i/>
          <w:iCs/>
          <w:color w:val="333333"/>
          <w:sz w:val="20"/>
          <w:szCs w:val="20"/>
        </w:rPr>
        <w:t>Z</w:t>
      </w:r>
      <w:r>
        <w:rPr>
          <w:rFonts w:ascii="Georgia" w:eastAsia="Times New Roman" w:hAnsi="Georgia" w:cs="Times New Roman"/>
          <w:color w:val="333333"/>
          <w:sz w:val="20"/>
          <w:szCs w:val="20"/>
        </w:rPr>
        <w:t> that cuts off a left or right tail of area </w:t>
      </w:r>
      <w:r>
        <w:rPr>
          <w:rFonts w:ascii="Georgia" w:eastAsia="Times New Roman" w:hAnsi="Georgia" w:cs="Times New Roman"/>
          <w:i/>
          <w:iCs/>
          <w:color w:val="333333"/>
          <w:sz w:val="20"/>
          <w:szCs w:val="20"/>
        </w:rPr>
        <w:t>c</w:t>
      </w:r>
      <w:r>
        <w:rPr>
          <w:rFonts w:ascii="Georgia" w:eastAsia="Times New Roman" w:hAnsi="Georgia" w:cs="Times New Roman"/>
          <w:color w:val="333333"/>
          <w:sz w:val="20"/>
          <w:szCs w:val="20"/>
        </w:rPr>
        <w:t> in the standard normal distribution;</w:t>
      </w:r>
    </w:p>
    <w:p w:rsidR="00AD77BB" w:rsidRDefault="00B45BA0">
      <w:pPr>
        <w:numPr>
          <w:ilvl w:val="0"/>
          <w:numId w:val="143"/>
        </w:numPr>
        <w:shd w:val="clear" w:color="auto" w:fill="F4F4F4"/>
        <w:spacing w:after="0" w:line="360" w:lineRule="auto"/>
        <w:ind w:left="360"/>
        <w:textAlignment w:val="baseline"/>
        <w:rPr>
          <w:rFonts w:ascii="Georgia" w:eastAsia="Times New Roman" w:hAnsi="Georgia" w:cs="Times New Roman"/>
          <w:color w:val="333333"/>
          <w:sz w:val="20"/>
          <w:szCs w:val="20"/>
        </w:rPr>
      </w:pPr>
      <w:r>
        <w:rPr>
          <w:rFonts w:ascii="MathJax_Main" w:eastAsia="Times New Roman" w:hAnsi="MathJax_Main" w:cs="Times New Roman"/>
          <w:b/>
          <w:color w:val="333333"/>
          <w:sz w:val="18"/>
          <w:szCs w:val="18"/>
        </w:rPr>
        <w:t>z*</w:t>
      </w:r>
      <w:r>
        <w:rPr>
          <w:rFonts w:ascii="Georgia" w:eastAsia="Times New Roman" w:hAnsi="Georgia" w:cs="Times New Roman"/>
          <w:color w:val="333333"/>
          <w:sz w:val="20"/>
          <w:szCs w:val="20"/>
        </w:rPr>
        <w:t> is the </w:t>
      </w:r>
      <w:r>
        <w:rPr>
          <w:rFonts w:ascii="Georgia" w:eastAsia="Times New Roman" w:hAnsi="Georgia" w:cs="Times New Roman"/>
          <w:i/>
          <w:iCs/>
          <w:color w:val="333333"/>
          <w:sz w:val="20"/>
          <w:szCs w:val="20"/>
        </w:rPr>
        <w:t>z</w:t>
      </w:r>
      <w:r>
        <w:rPr>
          <w:rFonts w:ascii="Georgia" w:eastAsia="Times New Roman" w:hAnsi="Georgia" w:cs="Times New Roman"/>
          <w:color w:val="333333"/>
          <w:sz w:val="20"/>
          <w:szCs w:val="20"/>
        </w:rPr>
        <w:t>-score of </w:t>
      </w:r>
      <w:r>
        <w:rPr>
          <w:rFonts w:ascii="MathJax_Main" w:eastAsia="Times New Roman" w:hAnsi="MathJax_Main" w:cs="Times New Roman"/>
          <w:b/>
          <w:color w:val="333333"/>
          <w:sz w:val="18"/>
          <w:szCs w:val="18"/>
        </w:rPr>
        <w:t>x*</w:t>
      </w:r>
      <w:r>
        <w:rPr>
          <w:rFonts w:ascii="Georgia" w:eastAsia="Times New Roman" w:hAnsi="Georgia" w:cs="Times New Roman"/>
          <w:b/>
          <w:color w:val="333333"/>
          <w:sz w:val="20"/>
          <w:szCs w:val="20"/>
        </w:rPr>
        <w:t>;</w:t>
      </w:r>
      <w:r>
        <w:rPr>
          <w:rFonts w:ascii="Georgia" w:eastAsia="Times New Roman" w:hAnsi="Georgia" w:cs="Times New Roman"/>
          <w:color w:val="333333"/>
          <w:sz w:val="20"/>
          <w:szCs w:val="20"/>
        </w:rPr>
        <w:t xml:space="preserve"> compute </w:t>
      </w:r>
      <w:r>
        <w:rPr>
          <w:rFonts w:ascii="MathJax_Main" w:eastAsia="Times New Roman" w:hAnsi="MathJax_Main" w:cs="Times New Roman"/>
          <w:color w:val="333333"/>
          <w:sz w:val="18"/>
          <w:szCs w:val="18"/>
        </w:rPr>
        <w:t>x*</w:t>
      </w:r>
      <w:r>
        <w:rPr>
          <w:rFonts w:ascii="Georgia" w:eastAsia="Times New Roman" w:hAnsi="Georgia" w:cs="Times New Roman"/>
          <w:color w:val="333333"/>
          <w:sz w:val="20"/>
          <w:szCs w:val="20"/>
        </w:rPr>
        <w:t> using the destandardization formula</w:t>
      </w:r>
    </w:p>
    <w:p w:rsidR="00AD77BB" w:rsidRDefault="00AD77BB">
      <w:pPr>
        <w:shd w:val="clear" w:color="auto" w:fill="F4F4F4"/>
        <w:spacing w:after="0" w:line="360" w:lineRule="auto"/>
        <w:textAlignment w:val="baseline"/>
        <w:rPr>
          <w:rFonts w:ascii="Georgia" w:eastAsia="Times New Roman" w:hAnsi="Georgia" w:cs="Times New Roman"/>
          <w:color w:val="333333"/>
          <w:sz w:val="20"/>
          <w:szCs w:val="20"/>
        </w:rPr>
      </w:pPr>
    </w:p>
    <w:p w:rsidR="00AD77BB" w:rsidRDefault="00B45BA0">
      <w:pPr>
        <w:shd w:val="clear" w:color="auto" w:fill="F4F4F4"/>
        <w:spacing w:line="360" w:lineRule="auto"/>
        <w:jc w:val="center"/>
        <w:textAlignment w:val="baseline"/>
        <w:rPr>
          <w:rFonts w:ascii="Georgia" w:eastAsia="Times New Roman" w:hAnsi="Georgia" w:cs="Times New Roman"/>
          <w:b/>
          <w:color w:val="333333"/>
          <w:sz w:val="20"/>
          <w:szCs w:val="20"/>
        </w:rPr>
      </w:pPr>
      <w:r>
        <w:rPr>
          <w:rFonts w:ascii="MathJax_Main" w:eastAsia="Times New Roman" w:hAnsi="MathJax_Main" w:cs="Times New Roman"/>
          <w:b/>
          <w:color w:val="333333"/>
          <w:sz w:val="18"/>
          <w:szCs w:val="18"/>
        </w:rPr>
        <w:t>x*=</w:t>
      </w:r>
      <w:r>
        <w:rPr>
          <w:rFonts w:ascii="MathJax_Math" w:eastAsia="Times New Roman" w:hAnsi="MathJax_Math" w:cs="Times New Roman"/>
          <w:b/>
          <w:i/>
          <w:iCs/>
          <w:color w:val="333333"/>
          <w:sz w:val="18"/>
          <w:szCs w:val="18"/>
        </w:rPr>
        <w:t>μ</w:t>
      </w:r>
      <w:r>
        <w:rPr>
          <w:rFonts w:ascii="MathJax_Main" w:eastAsia="Times New Roman" w:hAnsi="MathJax_Main" w:cs="Times New Roman"/>
          <w:b/>
          <w:color w:val="333333"/>
          <w:sz w:val="18"/>
          <w:szCs w:val="18"/>
        </w:rPr>
        <w:t>+z*</w:t>
      </w:r>
      <w:r>
        <w:rPr>
          <w:rFonts w:ascii="MathJax_Math" w:eastAsia="Times New Roman" w:hAnsi="MathJax_Math" w:cs="Times New Roman"/>
          <w:b/>
          <w:i/>
          <w:iCs/>
          <w:color w:val="333333"/>
          <w:sz w:val="18"/>
          <w:szCs w:val="18"/>
        </w:rPr>
        <w:t>σ</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lastRenderedPageBreak/>
        <w:t>EXAMPLE 15</w:t>
      </w:r>
    </w:p>
    <w:p w:rsidR="00AD77BB" w:rsidRDefault="00B45BA0">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Find </w:t>
      </w:r>
      <w:r>
        <w:rPr>
          <w:rFonts w:ascii="MathJax_Main" w:eastAsia="Times New Roman" w:hAnsi="MathJax_Main" w:cs="Times New Roman"/>
          <w:color w:val="333333"/>
          <w:sz w:val="15"/>
          <w:szCs w:val="15"/>
        </w:rPr>
        <w:t>x*</w:t>
      </w:r>
      <w:r>
        <w:rPr>
          <w:rFonts w:ascii="Calibri" w:eastAsia="Times New Roman" w:hAnsi="Calibri" w:cs="Times New Roman"/>
          <w:color w:val="333333"/>
          <w:sz w:val="21"/>
          <w:szCs w:val="21"/>
        </w:rPr>
        <w:t> such that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&lt;x*)=0.9332</w:t>
      </w:r>
      <w:r>
        <w:rPr>
          <w:rFonts w:ascii="Calibri" w:eastAsia="Times New Roman" w:hAnsi="Calibri" w:cs="Times New Roman"/>
          <w:b/>
          <w:color w:val="333333"/>
          <w:sz w:val="21"/>
          <w:szCs w:val="21"/>
        </w:rPr>
        <w:t>,</w:t>
      </w:r>
      <w:r>
        <w:rPr>
          <w:rFonts w:ascii="Calibri" w:eastAsia="Times New Roman" w:hAnsi="Calibri" w:cs="Times New Roman"/>
          <w:color w:val="333333"/>
          <w:sz w:val="21"/>
          <w:szCs w:val="21"/>
        </w:rPr>
        <w:t xml:space="preserve"> where </w:t>
      </w:r>
      <w:r>
        <w:rPr>
          <w:rFonts w:ascii="Calibri" w:eastAsia="Times New Roman" w:hAnsi="Calibri" w:cs="Times New Roman"/>
          <w:i/>
          <w:iCs/>
          <w:color w:val="333333"/>
          <w:sz w:val="20"/>
          <w:szCs w:val="20"/>
        </w:rPr>
        <w:t>X</w:t>
      </w:r>
      <w:r>
        <w:rPr>
          <w:rFonts w:ascii="Calibri" w:eastAsia="Times New Roman" w:hAnsi="Calibri" w:cs="Times New Roman"/>
          <w:color w:val="333333"/>
          <w:sz w:val="21"/>
          <w:szCs w:val="21"/>
        </w:rPr>
        <w:t> is a normal random variable with mean </w:t>
      </w:r>
      <w:r>
        <w:rPr>
          <w:rFonts w:ascii="Calibri" w:eastAsia="Times New Roman" w:hAnsi="Calibri" w:cs="Times New Roman"/>
          <w:i/>
          <w:iCs/>
          <w:color w:val="333333"/>
          <w:sz w:val="20"/>
          <w:szCs w:val="20"/>
        </w:rPr>
        <w:t>μ</w:t>
      </w:r>
      <w:r>
        <w:rPr>
          <w:rFonts w:ascii="Calibri" w:eastAsia="Times New Roman" w:hAnsi="Calibri" w:cs="Times New Roman"/>
          <w:color w:val="333333"/>
          <w:sz w:val="21"/>
          <w:szCs w:val="21"/>
        </w:rPr>
        <w:t> = 10 and standard deviation </w:t>
      </w:r>
      <w:r>
        <w:rPr>
          <w:rFonts w:ascii="Calibri" w:eastAsia="Times New Roman" w:hAnsi="Calibri" w:cs="Times New Roman"/>
          <w:i/>
          <w:iCs/>
          <w:color w:val="333333"/>
          <w:sz w:val="20"/>
          <w:szCs w:val="20"/>
        </w:rPr>
        <w:t>σ</w:t>
      </w:r>
      <w:r>
        <w:rPr>
          <w:rFonts w:ascii="Calibri" w:eastAsia="Times New Roman" w:hAnsi="Calibri" w:cs="Times New Roman"/>
          <w:color w:val="333333"/>
          <w:sz w:val="21"/>
          <w:szCs w:val="21"/>
        </w:rPr>
        <w:t> = 2.5.</w:t>
      </w:r>
    </w:p>
    <w:p w:rsidR="00AD77BB" w:rsidRDefault="00AD77BB">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p>
    <w:p w:rsidR="00AD77BB" w:rsidRDefault="00B45BA0">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Solution:</w:t>
      </w:r>
    </w:p>
    <w:p w:rsidR="00AD77BB" w:rsidRDefault="00AD77BB">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p>
    <w:p w:rsidR="00AD77BB" w:rsidRDefault="00B45BA0">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All the ideas for the solution are illustrated in </w:t>
      </w:r>
      <w:r>
        <w:rPr>
          <w:rFonts w:ascii="Calibri" w:eastAsia="Times New Roman" w:hAnsi="Calibri" w:cs="Times New Roman"/>
          <w:color w:val="2689C6"/>
          <w:sz w:val="21"/>
          <w:szCs w:val="21"/>
        </w:rPr>
        <w:t>Figure 5.24 "Tail of a Normally Distributed Random Variable"</w:t>
      </w:r>
      <w:r>
        <w:rPr>
          <w:rFonts w:ascii="Calibri" w:eastAsia="Times New Roman" w:hAnsi="Calibri" w:cs="Times New Roman"/>
          <w:color w:val="333333"/>
          <w:sz w:val="21"/>
          <w:szCs w:val="21"/>
        </w:rPr>
        <w:t>. Since 0.9332 is the area of a left tail, we can find </w:t>
      </w:r>
      <w:r>
        <w:rPr>
          <w:rFonts w:ascii="MathJax_Main" w:eastAsia="Times New Roman" w:hAnsi="MathJax_Main" w:cs="Times New Roman"/>
          <w:color w:val="333333"/>
          <w:sz w:val="15"/>
          <w:szCs w:val="15"/>
        </w:rPr>
        <w:t>z*</w:t>
      </w:r>
      <w:r>
        <w:rPr>
          <w:rFonts w:ascii="Calibri" w:eastAsia="Times New Roman" w:hAnsi="Calibri" w:cs="Times New Roman"/>
          <w:color w:val="333333"/>
          <w:sz w:val="21"/>
          <w:szCs w:val="21"/>
        </w:rPr>
        <w:t> simply by looking for 0.9332 in the interior of </w:t>
      </w:r>
      <w:r>
        <w:rPr>
          <w:rFonts w:ascii="Calibri" w:eastAsia="Times New Roman" w:hAnsi="Calibri" w:cs="Times New Roman"/>
          <w:color w:val="2689C6"/>
          <w:sz w:val="21"/>
          <w:szCs w:val="21"/>
        </w:rPr>
        <w:t>Figure 12.2 "Cumulative Normal Probability"</w:t>
      </w:r>
      <w:r>
        <w:rPr>
          <w:rFonts w:ascii="Calibri" w:eastAsia="Times New Roman" w:hAnsi="Calibri" w:cs="Times New Roman"/>
          <w:color w:val="333333"/>
          <w:sz w:val="21"/>
          <w:szCs w:val="21"/>
        </w:rPr>
        <w:t>. It is in the row and column with headings 1.5 and 0.00, hence </w:t>
      </w:r>
      <w:r>
        <w:rPr>
          <w:rFonts w:ascii="MathJax_Main" w:eastAsia="Times New Roman" w:hAnsi="MathJax_Main" w:cs="Times New Roman"/>
          <w:b/>
          <w:color w:val="333333"/>
          <w:sz w:val="15"/>
          <w:szCs w:val="15"/>
        </w:rPr>
        <w:t>z*=1.50</w:t>
      </w:r>
      <w:r>
        <w:rPr>
          <w:rFonts w:ascii="MathJax_Main" w:eastAsia="Times New Roman" w:hAnsi="MathJax_Main" w:cs="Times New Roman"/>
          <w:color w:val="333333"/>
          <w:sz w:val="15"/>
          <w:szCs w:val="15"/>
        </w:rPr>
        <w:t>.</w:t>
      </w:r>
      <w:r>
        <w:rPr>
          <w:rFonts w:ascii="Calibri" w:eastAsia="Times New Roman" w:hAnsi="Calibri" w:cs="Times New Roman"/>
          <w:color w:val="333333"/>
          <w:sz w:val="21"/>
          <w:szCs w:val="21"/>
        </w:rPr>
        <w:t> Thus </w:t>
      </w:r>
      <w:r>
        <w:rPr>
          <w:rFonts w:ascii="MathJax_Main" w:eastAsia="Times New Roman" w:hAnsi="MathJax_Main" w:cs="Times New Roman"/>
          <w:color w:val="333333"/>
          <w:sz w:val="15"/>
          <w:szCs w:val="15"/>
        </w:rPr>
        <w:t>x*</w:t>
      </w:r>
      <w:r>
        <w:rPr>
          <w:rFonts w:ascii="Calibri" w:eastAsia="Times New Roman" w:hAnsi="Calibri" w:cs="Times New Roman"/>
          <w:color w:val="333333"/>
          <w:sz w:val="21"/>
          <w:szCs w:val="21"/>
        </w:rPr>
        <w:t> is 1.50 standard deviations above the mean, so</w:t>
      </w:r>
    </w:p>
    <w:p w:rsidR="00AD77BB" w:rsidRDefault="00AD77BB">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p>
    <w:p w:rsidR="00AD77BB" w:rsidRDefault="00B45BA0">
      <w:pPr>
        <w:shd w:val="clear" w:color="auto" w:fill="DAEEF3" w:themeFill="accent5" w:themeFillTint="33"/>
        <w:spacing w:line="360" w:lineRule="auto"/>
        <w:jc w:val="center"/>
        <w:textAlignment w:val="baseline"/>
        <w:rPr>
          <w:rFonts w:ascii="Calibri" w:eastAsia="Times New Roman" w:hAnsi="Calibri" w:cs="Times New Roman"/>
          <w:b/>
          <w:color w:val="555555"/>
          <w:sz w:val="23"/>
          <w:szCs w:val="23"/>
        </w:rPr>
      </w:pPr>
      <w:r>
        <w:rPr>
          <w:rFonts w:ascii="MathJax_Main" w:eastAsia="Times New Roman" w:hAnsi="MathJax_Main" w:cs="Times New Roman"/>
          <w:b/>
          <w:color w:val="555555"/>
          <w:sz w:val="18"/>
          <w:szCs w:val="18"/>
        </w:rPr>
        <w:t>x*=</w:t>
      </w:r>
      <w:r>
        <w:rPr>
          <w:rFonts w:ascii="MathJax_Math" w:eastAsia="Times New Roman" w:hAnsi="MathJax_Math" w:cs="Times New Roman"/>
          <w:b/>
          <w:i/>
          <w:iCs/>
          <w:color w:val="555555"/>
          <w:sz w:val="18"/>
          <w:szCs w:val="18"/>
        </w:rPr>
        <w:t>μ</w:t>
      </w:r>
      <w:r>
        <w:rPr>
          <w:rFonts w:ascii="MathJax_Main" w:eastAsia="Times New Roman" w:hAnsi="MathJax_Main" w:cs="Times New Roman"/>
          <w:b/>
          <w:color w:val="555555"/>
          <w:sz w:val="18"/>
          <w:szCs w:val="18"/>
        </w:rPr>
        <w:t>+z*</w:t>
      </w:r>
      <w:r>
        <w:rPr>
          <w:rFonts w:ascii="MathJax_Math" w:eastAsia="Times New Roman" w:hAnsi="MathJax_Math" w:cs="Times New Roman"/>
          <w:b/>
          <w:i/>
          <w:iCs/>
          <w:color w:val="555555"/>
          <w:sz w:val="18"/>
          <w:szCs w:val="18"/>
        </w:rPr>
        <w:t>σ</w:t>
      </w:r>
      <w:r>
        <w:rPr>
          <w:rFonts w:ascii="MathJax_Main" w:eastAsia="Times New Roman" w:hAnsi="MathJax_Main" w:cs="Times New Roman"/>
          <w:b/>
          <w:color w:val="555555"/>
          <w:sz w:val="18"/>
          <w:szCs w:val="18"/>
        </w:rPr>
        <w:t>=10+1.50</w:t>
      </w:r>
      <w:r>
        <w:rPr>
          <w:rFonts w:ascii="Cambria Math" w:eastAsia="Times New Roman" w:hAnsi="Cambria Math" w:cs="Cambria Math"/>
          <w:b/>
          <w:color w:val="555555"/>
          <w:sz w:val="18"/>
          <w:szCs w:val="18"/>
        </w:rPr>
        <w:t>⋅</w:t>
      </w:r>
      <w:r>
        <w:rPr>
          <w:rFonts w:ascii="MathJax_Main" w:eastAsia="Times New Roman" w:hAnsi="MathJax_Main" w:cs="Times New Roman"/>
          <w:b/>
          <w:color w:val="555555"/>
          <w:sz w:val="18"/>
          <w:szCs w:val="18"/>
        </w:rPr>
        <w:t>2.5=13.75.</w:t>
      </w:r>
    </w:p>
    <w:p w:rsidR="00AD77BB" w:rsidRDefault="00B45BA0">
      <w:pPr>
        <w:shd w:val="clear" w:color="auto" w:fill="DAEEF3" w:themeFill="accent5" w:themeFillTint="33"/>
        <w:spacing w:after="0" w:line="439" w:lineRule="atLeast"/>
        <w:ind w:left="300" w:right="375"/>
        <w:textAlignment w:val="baseline"/>
        <w:rPr>
          <w:rFonts w:ascii="Calibri" w:eastAsia="Times New Roman" w:hAnsi="Calibri" w:cs="Times New Roman"/>
          <w:i/>
          <w:iCs/>
          <w:color w:val="BB9966"/>
        </w:rPr>
      </w:pPr>
      <w:r>
        <w:rPr>
          <w:rFonts w:ascii="Calibri" w:eastAsia="Times New Roman" w:hAnsi="Calibri" w:cs="Times New Roman"/>
          <w:i/>
          <w:iCs/>
          <w:color w:val="000000"/>
          <w:sz w:val="20"/>
          <w:szCs w:val="20"/>
        </w:rPr>
        <w:t>Figure 5.24</w:t>
      </w:r>
      <w:r>
        <w:rPr>
          <w:rFonts w:ascii="Calibri" w:eastAsia="Times New Roman" w:hAnsi="Calibri" w:cs="Times New Roman"/>
          <w:i/>
          <w:iCs/>
          <w:color w:val="BB9966"/>
        </w:rPr>
        <w:t>Tail of a Normally Distributed Random Variable</w:t>
      </w:r>
    </w:p>
    <w:p w:rsidR="00AD77BB" w:rsidRDefault="00B45BA0">
      <w:pPr>
        <w:shd w:val="clear" w:color="auto" w:fill="DAEEF3" w:themeFill="accent5" w:themeFillTint="33"/>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14:anchorId="7C234B75" wp14:editId="7112BCFD">
            <wp:extent cx="4705350" cy="3076575"/>
            <wp:effectExtent l="0" t="0" r="0" b="9525"/>
            <wp:docPr id="179" name="Picture 192" descr="http://images.flatworldknowledge.com/shafer/shafer-fig05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images.flatworldknowledge.com/shafer/shafer-fig05_026.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705350" cy="3076575"/>
                    </a:xfrm>
                    <a:prstGeom prst="rect">
                      <a:avLst/>
                    </a:prstGeom>
                    <a:noFill/>
                    <a:ln>
                      <a:noFill/>
                    </a:ln>
                  </pic:spPr>
                </pic:pic>
              </a:graphicData>
            </a:graphic>
          </wp:inline>
        </w:drawing>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EXAMPLE 16</w:t>
      </w:r>
    </w:p>
    <w:p w:rsidR="00AD77BB" w:rsidRDefault="00B45BA0">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Find </w:t>
      </w:r>
      <w:r>
        <w:rPr>
          <w:rFonts w:ascii="MathJax_Main" w:eastAsia="Times New Roman" w:hAnsi="MathJax_Main" w:cs="Times New Roman"/>
          <w:color w:val="333333"/>
          <w:sz w:val="15"/>
          <w:szCs w:val="15"/>
        </w:rPr>
        <w:t>x*</w:t>
      </w:r>
      <w:r>
        <w:rPr>
          <w:rFonts w:ascii="Calibri" w:eastAsia="Times New Roman" w:hAnsi="Calibri" w:cs="Times New Roman"/>
          <w:color w:val="333333"/>
          <w:sz w:val="21"/>
          <w:szCs w:val="21"/>
        </w:rPr>
        <w:t> such that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X</w:t>
      </w:r>
      <w:r>
        <w:rPr>
          <w:rFonts w:ascii="MathJax_Main" w:eastAsia="Times New Roman" w:hAnsi="MathJax_Main" w:cs="Times New Roman"/>
          <w:b/>
          <w:color w:val="333333"/>
          <w:sz w:val="15"/>
          <w:szCs w:val="15"/>
        </w:rPr>
        <w:t>&gt;x*)=0.65</w:t>
      </w:r>
      <w:r>
        <w:rPr>
          <w:rFonts w:ascii="Calibri" w:eastAsia="Times New Roman" w:hAnsi="Calibri" w:cs="Times New Roman"/>
          <w:b/>
          <w:color w:val="333333"/>
          <w:sz w:val="21"/>
          <w:szCs w:val="21"/>
        </w:rPr>
        <w:t xml:space="preserve">, </w:t>
      </w:r>
      <w:r>
        <w:rPr>
          <w:rFonts w:ascii="Calibri" w:eastAsia="Times New Roman" w:hAnsi="Calibri" w:cs="Times New Roman"/>
          <w:color w:val="333333"/>
          <w:sz w:val="21"/>
          <w:szCs w:val="21"/>
        </w:rPr>
        <w:t>where </w:t>
      </w:r>
      <w:r>
        <w:rPr>
          <w:rFonts w:ascii="Calibri" w:eastAsia="Times New Roman" w:hAnsi="Calibri" w:cs="Times New Roman"/>
          <w:i/>
          <w:iCs/>
          <w:color w:val="333333"/>
          <w:sz w:val="20"/>
          <w:szCs w:val="20"/>
        </w:rPr>
        <w:t>X</w:t>
      </w:r>
      <w:r>
        <w:rPr>
          <w:rFonts w:ascii="Calibri" w:eastAsia="Times New Roman" w:hAnsi="Calibri" w:cs="Times New Roman"/>
          <w:color w:val="333333"/>
          <w:sz w:val="21"/>
          <w:szCs w:val="21"/>
        </w:rPr>
        <w:t> is a normal random variable with mean</w:t>
      </w:r>
      <w:r>
        <w:rPr>
          <w:rFonts w:ascii="Calibri" w:eastAsia="Times New Roman" w:hAnsi="Calibri" w:cs="Times New Roman"/>
          <w:i/>
          <w:iCs/>
          <w:color w:val="333333"/>
          <w:sz w:val="20"/>
          <w:szCs w:val="20"/>
        </w:rPr>
        <w:t>μ</w:t>
      </w:r>
      <w:r>
        <w:rPr>
          <w:rFonts w:ascii="Calibri" w:eastAsia="Times New Roman" w:hAnsi="Calibri" w:cs="Times New Roman"/>
          <w:color w:val="333333"/>
          <w:sz w:val="21"/>
          <w:szCs w:val="21"/>
        </w:rPr>
        <w:t> = 175 and standard deviation </w:t>
      </w:r>
      <w:r>
        <w:rPr>
          <w:rFonts w:ascii="Calibri" w:eastAsia="Times New Roman" w:hAnsi="Calibri" w:cs="Times New Roman"/>
          <w:i/>
          <w:iCs/>
          <w:color w:val="333333"/>
          <w:sz w:val="20"/>
          <w:szCs w:val="20"/>
        </w:rPr>
        <w:t>σ</w:t>
      </w:r>
      <w:r>
        <w:rPr>
          <w:rFonts w:ascii="Calibri" w:eastAsia="Times New Roman" w:hAnsi="Calibri" w:cs="Times New Roman"/>
          <w:color w:val="333333"/>
          <w:sz w:val="21"/>
          <w:szCs w:val="21"/>
        </w:rPr>
        <w:t> = 12.</w:t>
      </w:r>
    </w:p>
    <w:p w:rsidR="00AD77BB" w:rsidRDefault="00AD77BB">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p>
    <w:p w:rsidR="00AD77BB" w:rsidRDefault="00B45BA0">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lastRenderedPageBreak/>
        <w:t>Solution:</w:t>
      </w:r>
    </w:p>
    <w:p w:rsidR="00AD77BB" w:rsidRDefault="00AD77BB">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p>
    <w:p w:rsidR="00AD77BB" w:rsidRDefault="00B45BA0">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The situation is illustrated in </w:t>
      </w:r>
      <w:r>
        <w:rPr>
          <w:rFonts w:ascii="Calibri" w:eastAsia="Times New Roman" w:hAnsi="Calibri" w:cs="Times New Roman"/>
          <w:color w:val="2689C6"/>
          <w:sz w:val="21"/>
          <w:szCs w:val="21"/>
        </w:rPr>
        <w:t>Figure 5.25 "Tail of a Normally Distributed Random Variable"</w:t>
      </w:r>
      <w:r>
        <w:rPr>
          <w:rFonts w:ascii="Calibri" w:eastAsia="Times New Roman" w:hAnsi="Calibri" w:cs="Times New Roman"/>
          <w:color w:val="333333"/>
          <w:sz w:val="21"/>
          <w:szCs w:val="21"/>
        </w:rPr>
        <w:t>. Since 0.65 is the area of a right tail, we first subtract it from 1 to obtain </w:t>
      </w:r>
      <w:r>
        <w:rPr>
          <w:rFonts w:ascii="MathJax_Main" w:eastAsia="Times New Roman" w:hAnsi="MathJax_Main" w:cs="Times New Roman"/>
          <w:color w:val="333333"/>
          <w:sz w:val="15"/>
          <w:szCs w:val="15"/>
        </w:rPr>
        <w:t>1−0.65=0.35</w:t>
      </w:r>
      <w:r>
        <w:rPr>
          <w:rFonts w:ascii="Calibri" w:eastAsia="Times New Roman" w:hAnsi="Calibri" w:cs="Times New Roman"/>
          <w:color w:val="333333"/>
          <w:sz w:val="21"/>
          <w:szCs w:val="21"/>
        </w:rPr>
        <w:t>, the area of the complementary left tail. We find </w:t>
      </w:r>
      <w:r>
        <w:rPr>
          <w:rFonts w:ascii="MathJax_Main" w:eastAsia="Times New Roman" w:hAnsi="MathJax_Main" w:cs="Times New Roman"/>
          <w:color w:val="333333"/>
          <w:sz w:val="15"/>
          <w:szCs w:val="15"/>
        </w:rPr>
        <w:t>z*</w:t>
      </w:r>
      <w:r>
        <w:rPr>
          <w:rFonts w:ascii="Calibri" w:eastAsia="Times New Roman" w:hAnsi="Calibri" w:cs="Times New Roman"/>
          <w:color w:val="333333"/>
          <w:sz w:val="21"/>
          <w:szCs w:val="21"/>
        </w:rPr>
        <w:t> by looking for 0.3500 in the interior of </w:t>
      </w:r>
      <w:r>
        <w:rPr>
          <w:rFonts w:ascii="Calibri" w:eastAsia="Times New Roman" w:hAnsi="Calibri" w:cs="Times New Roman"/>
          <w:color w:val="2689C6"/>
          <w:sz w:val="21"/>
          <w:szCs w:val="21"/>
        </w:rPr>
        <w:t>Figure 12.2 "Cumulative Normal Probability"</w:t>
      </w:r>
      <w:r>
        <w:rPr>
          <w:rFonts w:ascii="Calibri" w:eastAsia="Times New Roman" w:hAnsi="Calibri" w:cs="Times New Roman"/>
          <w:color w:val="333333"/>
          <w:sz w:val="21"/>
          <w:szCs w:val="21"/>
        </w:rPr>
        <w:t>. It is not present, but lies between table entries 0.3520 and 0.3483. The entry 0.3483 with row and column headings −0.3 and 0.09 is closer to 0.3500 than the other entry is, so </w:t>
      </w:r>
      <w:r>
        <w:rPr>
          <w:rFonts w:ascii="MathJax_Main" w:eastAsia="Times New Roman" w:hAnsi="MathJax_Main" w:cs="Times New Roman"/>
          <w:b/>
          <w:color w:val="333333"/>
          <w:sz w:val="15"/>
          <w:szCs w:val="15"/>
        </w:rPr>
        <w:t>z*≈−0.39</w:t>
      </w:r>
      <w:r>
        <w:rPr>
          <w:rFonts w:ascii="MathJax_Main" w:eastAsia="Times New Roman" w:hAnsi="MathJax_Main" w:cs="Times New Roman"/>
          <w:color w:val="333333"/>
          <w:sz w:val="15"/>
          <w:szCs w:val="15"/>
        </w:rPr>
        <w:t>.</w:t>
      </w:r>
      <w:r>
        <w:rPr>
          <w:rFonts w:ascii="Calibri" w:eastAsia="Times New Roman" w:hAnsi="Calibri" w:cs="Times New Roman"/>
          <w:color w:val="333333"/>
          <w:sz w:val="21"/>
          <w:szCs w:val="21"/>
        </w:rPr>
        <w:t> Thus </w:t>
      </w:r>
      <w:r>
        <w:rPr>
          <w:rFonts w:ascii="MathJax_Main" w:eastAsia="Times New Roman" w:hAnsi="MathJax_Main" w:cs="Times New Roman"/>
          <w:color w:val="333333"/>
          <w:sz w:val="15"/>
          <w:szCs w:val="15"/>
        </w:rPr>
        <w:t>x*</w:t>
      </w:r>
      <w:r>
        <w:rPr>
          <w:rFonts w:ascii="Calibri" w:eastAsia="Times New Roman" w:hAnsi="Calibri" w:cs="Times New Roman"/>
          <w:color w:val="333333"/>
          <w:sz w:val="21"/>
          <w:szCs w:val="21"/>
        </w:rPr>
        <w:t> is 0.39 standard deviations below the mean, so</w:t>
      </w:r>
    </w:p>
    <w:p w:rsidR="00AD77BB" w:rsidRDefault="00AD77BB">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p>
    <w:p w:rsidR="00AD77BB" w:rsidRDefault="00B45BA0">
      <w:pPr>
        <w:shd w:val="clear" w:color="auto" w:fill="DAEEF3" w:themeFill="accent5" w:themeFillTint="33"/>
        <w:spacing w:line="270" w:lineRule="atLeast"/>
        <w:jc w:val="center"/>
        <w:textAlignment w:val="baseline"/>
        <w:rPr>
          <w:rFonts w:ascii="Calibri" w:eastAsia="Times New Roman" w:hAnsi="Calibri" w:cs="Times New Roman"/>
          <w:b/>
          <w:color w:val="555555"/>
          <w:sz w:val="23"/>
          <w:szCs w:val="23"/>
        </w:rPr>
      </w:pPr>
      <w:r>
        <w:rPr>
          <w:rFonts w:ascii="MathJax_Main" w:eastAsia="Times New Roman" w:hAnsi="MathJax_Main" w:cs="Times New Roman"/>
          <w:b/>
          <w:color w:val="555555"/>
          <w:sz w:val="18"/>
          <w:szCs w:val="18"/>
        </w:rPr>
        <w:t>x*=</w:t>
      </w:r>
      <w:r>
        <w:rPr>
          <w:rFonts w:ascii="MathJax_Math" w:eastAsia="Times New Roman" w:hAnsi="MathJax_Math" w:cs="Times New Roman"/>
          <w:b/>
          <w:i/>
          <w:iCs/>
          <w:color w:val="555555"/>
          <w:sz w:val="18"/>
          <w:szCs w:val="18"/>
        </w:rPr>
        <w:t>μ</w:t>
      </w:r>
      <w:r>
        <w:rPr>
          <w:rFonts w:ascii="MathJax_Main" w:eastAsia="Times New Roman" w:hAnsi="MathJax_Main" w:cs="Times New Roman"/>
          <w:b/>
          <w:color w:val="555555"/>
          <w:sz w:val="18"/>
          <w:szCs w:val="18"/>
        </w:rPr>
        <w:t>+z*</w:t>
      </w:r>
      <w:r>
        <w:rPr>
          <w:rFonts w:ascii="MathJax_Math" w:eastAsia="Times New Roman" w:hAnsi="MathJax_Math" w:cs="Times New Roman"/>
          <w:b/>
          <w:i/>
          <w:iCs/>
          <w:color w:val="555555"/>
          <w:sz w:val="18"/>
          <w:szCs w:val="18"/>
        </w:rPr>
        <w:t>σ</w:t>
      </w:r>
      <w:r>
        <w:rPr>
          <w:rFonts w:ascii="MathJax_Main" w:eastAsia="Times New Roman" w:hAnsi="MathJax_Main" w:cs="Times New Roman"/>
          <w:b/>
          <w:color w:val="555555"/>
          <w:sz w:val="18"/>
          <w:szCs w:val="18"/>
        </w:rPr>
        <w:t>=175+(−0.39)</w:t>
      </w:r>
      <w:r>
        <w:rPr>
          <w:rFonts w:ascii="Cambria Math" w:eastAsia="Times New Roman" w:hAnsi="Cambria Math" w:cs="Cambria Math"/>
          <w:b/>
          <w:color w:val="555555"/>
          <w:sz w:val="18"/>
          <w:szCs w:val="18"/>
        </w:rPr>
        <w:t>⋅</w:t>
      </w:r>
      <w:r>
        <w:rPr>
          <w:rFonts w:ascii="MathJax_Main" w:eastAsia="Times New Roman" w:hAnsi="MathJax_Main" w:cs="Times New Roman"/>
          <w:b/>
          <w:color w:val="555555"/>
          <w:sz w:val="18"/>
          <w:szCs w:val="18"/>
        </w:rPr>
        <w:t>12=170.32</w:t>
      </w:r>
    </w:p>
    <w:p w:rsidR="00AD77BB" w:rsidRDefault="00B45BA0">
      <w:pPr>
        <w:shd w:val="clear" w:color="auto" w:fill="DAEEF3" w:themeFill="accent5" w:themeFillTint="33"/>
        <w:spacing w:after="0" w:line="439" w:lineRule="atLeast"/>
        <w:ind w:left="300" w:right="375"/>
        <w:textAlignment w:val="baseline"/>
        <w:rPr>
          <w:rFonts w:ascii="Calibri" w:eastAsia="Times New Roman" w:hAnsi="Calibri" w:cs="Times New Roman"/>
          <w:i/>
          <w:iCs/>
          <w:color w:val="BB9966"/>
        </w:rPr>
      </w:pPr>
      <w:r>
        <w:rPr>
          <w:rFonts w:ascii="Calibri" w:eastAsia="Times New Roman" w:hAnsi="Calibri" w:cs="Times New Roman"/>
          <w:i/>
          <w:iCs/>
          <w:color w:val="000000"/>
          <w:sz w:val="20"/>
          <w:szCs w:val="20"/>
        </w:rPr>
        <w:t>Figure 5.25</w:t>
      </w:r>
      <w:r>
        <w:rPr>
          <w:rFonts w:ascii="Calibri" w:eastAsia="Times New Roman" w:hAnsi="Calibri" w:cs="Times New Roman"/>
          <w:i/>
          <w:iCs/>
          <w:color w:val="BB9966"/>
        </w:rPr>
        <w:t>Tail of a Normally Distributed Random Variable</w:t>
      </w:r>
    </w:p>
    <w:p w:rsidR="00AD77BB" w:rsidRDefault="00B45BA0">
      <w:pPr>
        <w:shd w:val="clear" w:color="auto" w:fill="DAEEF3" w:themeFill="accent5" w:themeFillTint="33"/>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14:anchorId="76E92EEB" wp14:editId="6AB9D4B2">
            <wp:extent cx="4600575" cy="3219450"/>
            <wp:effectExtent l="0" t="0" r="9525" b="0"/>
            <wp:docPr id="180" name="Picture 193" descr="http://images.flatworldknowledge.com/shafer/shafer-fig05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images.flatworldknowledge.com/shafer/shafer-fig05_027.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600575" cy="3219450"/>
                    </a:xfrm>
                    <a:prstGeom prst="rect">
                      <a:avLst/>
                    </a:prstGeom>
                    <a:noFill/>
                    <a:ln>
                      <a:noFill/>
                    </a:ln>
                  </pic:spPr>
                </pic:pic>
              </a:graphicData>
            </a:graphic>
          </wp:inline>
        </w:drawing>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EXAMPLE 17</w:t>
      </w:r>
    </w:p>
    <w:p w:rsidR="00AD77BB" w:rsidRDefault="00B45BA0">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Scores on a standardized college entrance examination (</w:t>
      </w:r>
      <w:r>
        <w:rPr>
          <w:rFonts w:ascii="Calibri" w:eastAsia="Times New Roman" w:hAnsi="Calibri" w:cs="Times New Roman"/>
          <w:i/>
          <w:iCs/>
          <w:color w:val="333333"/>
          <w:sz w:val="20"/>
          <w:szCs w:val="20"/>
        </w:rPr>
        <w:t>CEE</w:t>
      </w:r>
      <w:r>
        <w:rPr>
          <w:rFonts w:ascii="Calibri" w:eastAsia="Times New Roman" w:hAnsi="Calibri" w:cs="Times New Roman"/>
          <w:color w:val="333333"/>
          <w:sz w:val="21"/>
          <w:szCs w:val="21"/>
        </w:rPr>
        <w:t>) are normally distributed with mean 510 and standard deviation 60. A selective university decides to give serious consideration for admission to applicants whose </w:t>
      </w:r>
      <w:r>
        <w:rPr>
          <w:rFonts w:ascii="Calibri" w:eastAsia="Times New Roman" w:hAnsi="Calibri" w:cs="Times New Roman"/>
          <w:i/>
          <w:iCs/>
          <w:color w:val="333333"/>
          <w:sz w:val="20"/>
          <w:szCs w:val="20"/>
        </w:rPr>
        <w:t xml:space="preserve">CEE </w:t>
      </w:r>
      <w:r>
        <w:rPr>
          <w:rFonts w:ascii="Calibri" w:eastAsia="Times New Roman" w:hAnsi="Calibri" w:cs="Times New Roman"/>
          <w:color w:val="333333"/>
          <w:sz w:val="21"/>
          <w:szCs w:val="21"/>
        </w:rPr>
        <w:t>scores are in the top 5% of all </w:t>
      </w:r>
      <w:r>
        <w:rPr>
          <w:rFonts w:ascii="Calibri" w:eastAsia="Times New Roman" w:hAnsi="Calibri" w:cs="Times New Roman"/>
          <w:i/>
          <w:iCs/>
          <w:color w:val="333333"/>
          <w:sz w:val="20"/>
          <w:szCs w:val="20"/>
        </w:rPr>
        <w:t>CEE</w:t>
      </w:r>
      <w:r>
        <w:rPr>
          <w:rFonts w:ascii="Calibri" w:eastAsia="Times New Roman" w:hAnsi="Calibri" w:cs="Times New Roman"/>
          <w:color w:val="333333"/>
          <w:sz w:val="21"/>
          <w:szCs w:val="21"/>
        </w:rPr>
        <w:t> scores. Find the minimum score that meets this criterion for serious consideration for admission.</w:t>
      </w:r>
    </w:p>
    <w:p w:rsidR="00AD77BB" w:rsidRDefault="00B45BA0">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lastRenderedPageBreak/>
        <w:t>Solution:</w:t>
      </w:r>
    </w:p>
    <w:p w:rsidR="00AD77BB" w:rsidRDefault="00AD77BB">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p>
    <w:p w:rsidR="00AD77BB" w:rsidRDefault="00B45BA0">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Let </w:t>
      </w:r>
      <w:r>
        <w:rPr>
          <w:rFonts w:ascii="Calibri" w:eastAsia="Times New Roman" w:hAnsi="Calibri" w:cs="Times New Roman"/>
          <w:i/>
          <w:iCs/>
          <w:color w:val="333333"/>
          <w:sz w:val="20"/>
          <w:szCs w:val="20"/>
        </w:rPr>
        <w:t>X</w:t>
      </w:r>
      <w:r>
        <w:rPr>
          <w:rFonts w:ascii="Calibri" w:eastAsia="Times New Roman" w:hAnsi="Calibri" w:cs="Times New Roman"/>
          <w:color w:val="333333"/>
          <w:sz w:val="21"/>
          <w:szCs w:val="21"/>
        </w:rPr>
        <w:t> denote the score made on the </w:t>
      </w:r>
      <w:r>
        <w:rPr>
          <w:rFonts w:ascii="Calibri" w:eastAsia="Times New Roman" w:hAnsi="Calibri" w:cs="Times New Roman"/>
          <w:i/>
          <w:iCs/>
          <w:color w:val="333333"/>
          <w:sz w:val="20"/>
          <w:szCs w:val="20"/>
        </w:rPr>
        <w:t>CEE</w:t>
      </w:r>
      <w:r>
        <w:rPr>
          <w:rFonts w:ascii="Calibri" w:eastAsia="Times New Roman" w:hAnsi="Calibri" w:cs="Times New Roman"/>
          <w:color w:val="333333"/>
          <w:sz w:val="21"/>
          <w:szCs w:val="21"/>
        </w:rPr>
        <w:t> by a randomly selected individual. Then </w:t>
      </w:r>
      <w:r>
        <w:rPr>
          <w:rFonts w:ascii="Calibri" w:eastAsia="Times New Roman" w:hAnsi="Calibri" w:cs="Times New Roman"/>
          <w:i/>
          <w:iCs/>
          <w:color w:val="333333"/>
          <w:sz w:val="20"/>
          <w:szCs w:val="20"/>
        </w:rPr>
        <w:t>X</w:t>
      </w:r>
      <w:r>
        <w:rPr>
          <w:rFonts w:ascii="Calibri" w:eastAsia="Times New Roman" w:hAnsi="Calibri" w:cs="Times New Roman"/>
          <w:color w:val="333333"/>
          <w:sz w:val="21"/>
          <w:szCs w:val="21"/>
        </w:rPr>
        <w:t>is normally distributed with mean 510 and standard deviation 60. The probability that </w:t>
      </w:r>
      <w:r>
        <w:rPr>
          <w:rFonts w:ascii="Calibri" w:eastAsia="Times New Roman" w:hAnsi="Calibri" w:cs="Times New Roman"/>
          <w:i/>
          <w:iCs/>
          <w:color w:val="333333"/>
          <w:sz w:val="20"/>
          <w:szCs w:val="20"/>
        </w:rPr>
        <w:t>X</w:t>
      </w:r>
      <w:r>
        <w:rPr>
          <w:rFonts w:ascii="Calibri" w:eastAsia="Times New Roman" w:hAnsi="Calibri" w:cs="Times New Roman"/>
          <w:color w:val="333333"/>
          <w:sz w:val="21"/>
          <w:szCs w:val="21"/>
        </w:rPr>
        <w:t> lie in a particular interval is the same as the proportion of all exam scores that lie in that interval. Thus the minimum score that is in the top 5% of all </w:t>
      </w:r>
      <w:r>
        <w:rPr>
          <w:rFonts w:ascii="Calibri" w:eastAsia="Times New Roman" w:hAnsi="Calibri" w:cs="Times New Roman"/>
          <w:i/>
          <w:iCs/>
          <w:color w:val="333333"/>
          <w:sz w:val="20"/>
          <w:szCs w:val="20"/>
        </w:rPr>
        <w:t>CEE</w:t>
      </w:r>
      <w:r>
        <w:rPr>
          <w:rFonts w:ascii="Calibri" w:eastAsia="Times New Roman" w:hAnsi="Calibri" w:cs="Times New Roman"/>
          <w:color w:val="333333"/>
          <w:sz w:val="21"/>
          <w:szCs w:val="21"/>
        </w:rPr>
        <w:t> is the score </w:t>
      </w:r>
      <w:r>
        <w:rPr>
          <w:rFonts w:ascii="MathJax_Main" w:eastAsia="Times New Roman" w:hAnsi="MathJax_Main" w:cs="Times New Roman"/>
          <w:color w:val="333333"/>
          <w:sz w:val="15"/>
          <w:szCs w:val="15"/>
        </w:rPr>
        <w:t>x*</w:t>
      </w:r>
      <w:r>
        <w:rPr>
          <w:rFonts w:ascii="Calibri" w:eastAsia="Times New Roman" w:hAnsi="Calibri" w:cs="Times New Roman"/>
          <w:color w:val="333333"/>
          <w:sz w:val="21"/>
          <w:szCs w:val="21"/>
        </w:rPr>
        <w:t> that cuts off a right tail in the distribution of </w:t>
      </w:r>
      <w:r>
        <w:rPr>
          <w:rFonts w:ascii="Calibri" w:eastAsia="Times New Roman" w:hAnsi="Calibri" w:cs="Times New Roman"/>
          <w:i/>
          <w:iCs/>
          <w:color w:val="333333"/>
          <w:sz w:val="20"/>
          <w:szCs w:val="20"/>
        </w:rPr>
        <w:t>X</w:t>
      </w:r>
      <w:r>
        <w:rPr>
          <w:rFonts w:ascii="Calibri" w:eastAsia="Times New Roman" w:hAnsi="Calibri" w:cs="Times New Roman"/>
          <w:color w:val="333333"/>
          <w:sz w:val="21"/>
          <w:szCs w:val="21"/>
        </w:rPr>
        <w:t> of area 0.05 (5% expressed as a proportion). See </w:t>
      </w:r>
      <w:r>
        <w:rPr>
          <w:rFonts w:ascii="Calibri" w:eastAsia="Times New Roman" w:hAnsi="Calibri" w:cs="Times New Roman"/>
          <w:color w:val="2689C6"/>
          <w:sz w:val="21"/>
          <w:szCs w:val="21"/>
        </w:rPr>
        <w:t>Figure 5.26 "Tail of a Normally Distributed Random Variable"</w:t>
      </w:r>
      <w:r>
        <w:rPr>
          <w:rFonts w:ascii="Calibri" w:eastAsia="Times New Roman" w:hAnsi="Calibri" w:cs="Times New Roman"/>
          <w:color w:val="333333"/>
          <w:sz w:val="21"/>
          <w:szCs w:val="21"/>
        </w:rPr>
        <w:t>.</w:t>
      </w:r>
    </w:p>
    <w:p w:rsidR="00AD77BB" w:rsidRDefault="00B45BA0">
      <w:pPr>
        <w:spacing w:after="0" w:line="439" w:lineRule="atLeast"/>
        <w:ind w:left="300" w:right="375"/>
        <w:textAlignment w:val="baseline"/>
        <w:rPr>
          <w:rFonts w:ascii="Calibri" w:eastAsia="Times New Roman" w:hAnsi="Calibri" w:cs="Times New Roman"/>
          <w:i/>
          <w:iCs/>
          <w:color w:val="BB9966"/>
        </w:rPr>
      </w:pPr>
      <w:r>
        <w:rPr>
          <w:rFonts w:ascii="Calibri" w:eastAsia="Times New Roman" w:hAnsi="Calibri" w:cs="Times New Roman"/>
          <w:i/>
          <w:iCs/>
          <w:color w:val="000000"/>
          <w:sz w:val="20"/>
          <w:szCs w:val="20"/>
        </w:rPr>
        <w:t>Figure 5.26</w:t>
      </w:r>
      <w:r>
        <w:rPr>
          <w:rFonts w:ascii="Calibri" w:eastAsia="Times New Roman" w:hAnsi="Calibri" w:cs="Times New Roman"/>
          <w:i/>
          <w:iCs/>
          <w:color w:val="BB9966"/>
        </w:rPr>
        <w:t>Tail of a Normally Distributed Random Variable</w:t>
      </w:r>
    </w:p>
    <w:p w:rsidR="00AD77BB" w:rsidRDefault="00B45BA0">
      <w:pPr>
        <w:shd w:val="clear" w:color="auto" w:fill="DAEEF3" w:themeFill="accent5" w:themeFillTint="33"/>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14:anchorId="76219D15" wp14:editId="02942877">
            <wp:extent cx="4210050" cy="2781300"/>
            <wp:effectExtent l="0" t="0" r="0" b="0"/>
            <wp:docPr id="181" name="Picture 194" descr="http://images.flatworldknowledge.com/shafer/shafer-fig05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images.flatworldknowledge.com/shafer/shafer-fig05_028.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210050" cy="2781300"/>
                    </a:xfrm>
                    <a:prstGeom prst="rect">
                      <a:avLst/>
                    </a:prstGeom>
                    <a:noFill/>
                    <a:ln>
                      <a:noFill/>
                    </a:ln>
                  </pic:spPr>
                </pic:pic>
              </a:graphicData>
            </a:graphic>
          </wp:inline>
        </w:drawing>
      </w:r>
    </w:p>
    <w:p w:rsidR="00AD77BB" w:rsidRDefault="00B45BA0">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Since 0.0500 is the area of a right tail, we first subtract it from 1 to obtain </w:t>
      </w:r>
      <w:r>
        <w:rPr>
          <w:rFonts w:ascii="MathJax_Main" w:eastAsia="Times New Roman" w:hAnsi="MathJax_Main" w:cs="Times New Roman"/>
          <w:b/>
          <w:color w:val="333333"/>
          <w:sz w:val="15"/>
          <w:szCs w:val="15"/>
        </w:rPr>
        <w:t>1−0.0500=0.9500</w:t>
      </w:r>
      <w:r>
        <w:rPr>
          <w:rFonts w:ascii="Calibri" w:eastAsia="Times New Roman" w:hAnsi="Calibri" w:cs="Times New Roman"/>
          <w:color w:val="333333"/>
          <w:sz w:val="21"/>
          <w:szCs w:val="21"/>
        </w:rPr>
        <w:t>, the area of the complementary left tail. We find </w:t>
      </w:r>
      <w:r>
        <w:rPr>
          <w:rFonts w:ascii="MathJax_Main" w:eastAsia="Times New Roman" w:hAnsi="MathJax_Main" w:cs="Times New Roman"/>
          <w:color w:val="333333"/>
          <w:sz w:val="15"/>
          <w:szCs w:val="15"/>
        </w:rPr>
        <w:t>z*=</w:t>
      </w:r>
      <w:r>
        <w:rPr>
          <w:rFonts w:ascii="MathJax_Math" w:eastAsia="Times New Roman" w:hAnsi="MathJax_Math" w:cs="Times New Roman"/>
          <w:i/>
          <w:iCs/>
          <w:color w:val="333333"/>
          <w:sz w:val="15"/>
          <w:szCs w:val="15"/>
        </w:rPr>
        <w:t>z</w:t>
      </w:r>
      <w:r>
        <w:rPr>
          <w:rFonts w:ascii="MathJax_Main" w:eastAsia="Times New Roman" w:hAnsi="MathJax_Main" w:cs="Times New Roman"/>
          <w:color w:val="333333"/>
          <w:sz w:val="12"/>
          <w:szCs w:val="12"/>
        </w:rPr>
        <w:t>.05</w:t>
      </w:r>
      <w:r>
        <w:rPr>
          <w:rFonts w:ascii="Calibri" w:eastAsia="Times New Roman" w:hAnsi="Calibri" w:cs="Times New Roman"/>
          <w:color w:val="333333"/>
          <w:sz w:val="21"/>
          <w:szCs w:val="21"/>
        </w:rPr>
        <w:t> by looking for 0.9500 in the interior of </w:t>
      </w:r>
      <w:r>
        <w:rPr>
          <w:rFonts w:ascii="Calibri" w:eastAsia="Times New Roman" w:hAnsi="Calibri" w:cs="Times New Roman"/>
          <w:color w:val="2689C6"/>
          <w:sz w:val="21"/>
          <w:szCs w:val="21"/>
        </w:rPr>
        <w:t>Figure 12.2 "Cumulative Normal Probability"</w:t>
      </w:r>
      <w:r>
        <w:rPr>
          <w:rFonts w:ascii="Calibri" w:eastAsia="Times New Roman" w:hAnsi="Calibri" w:cs="Times New Roman"/>
          <w:color w:val="333333"/>
          <w:sz w:val="21"/>
          <w:szCs w:val="21"/>
        </w:rPr>
        <w:t>. It is not present, and lies exactly half-way between the two nearest entries that are, 0.9495 and 0.9505. In the case of a tie like this, we will always average the values of </w:t>
      </w:r>
      <w:r>
        <w:rPr>
          <w:rFonts w:ascii="Calibri" w:eastAsia="Times New Roman" w:hAnsi="Calibri" w:cs="Times New Roman"/>
          <w:i/>
          <w:iCs/>
          <w:color w:val="333333"/>
          <w:sz w:val="20"/>
          <w:szCs w:val="20"/>
        </w:rPr>
        <w:t>Z</w:t>
      </w:r>
      <w:r>
        <w:rPr>
          <w:rFonts w:ascii="Calibri" w:eastAsia="Times New Roman" w:hAnsi="Calibri" w:cs="Times New Roman"/>
          <w:color w:val="333333"/>
          <w:sz w:val="21"/>
          <w:szCs w:val="21"/>
        </w:rPr>
        <w:t> corresponding to the two table entries, obtaining here the value </w:t>
      </w:r>
      <w:r>
        <w:rPr>
          <w:rFonts w:ascii="MathJax_Main" w:eastAsia="Times New Roman" w:hAnsi="MathJax_Main" w:cs="Times New Roman"/>
          <w:color w:val="333333"/>
          <w:sz w:val="15"/>
          <w:szCs w:val="15"/>
        </w:rPr>
        <w:t>z*=1.645.</w:t>
      </w:r>
      <w:r>
        <w:rPr>
          <w:rFonts w:ascii="Calibri" w:eastAsia="Times New Roman" w:hAnsi="Calibri" w:cs="Times New Roman"/>
          <w:color w:val="333333"/>
          <w:sz w:val="21"/>
          <w:szCs w:val="21"/>
        </w:rPr>
        <w:t> Using this value, we conclude that </w:t>
      </w:r>
      <w:r>
        <w:rPr>
          <w:rFonts w:ascii="MathJax_Main" w:eastAsia="Times New Roman" w:hAnsi="MathJax_Main" w:cs="Times New Roman"/>
          <w:color w:val="333333"/>
          <w:sz w:val="15"/>
          <w:szCs w:val="15"/>
        </w:rPr>
        <w:t>x*</w:t>
      </w:r>
      <w:r>
        <w:rPr>
          <w:rFonts w:ascii="Calibri" w:eastAsia="Times New Roman" w:hAnsi="Calibri" w:cs="Times New Roman"/>
          <w:color w:val="333333"/>
          <w:sz w:val="21"/>
          <w:szCs w:val="21"/>
        </w:rPr>
        <w:t> is 1.645 standard deviations above the mean, so</w:t>
      </w:r>
    </w:p>
    <w:p w:rsidR="00AD77BB" w:rsidRDefault="00AD77BB">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p>
    <w:p w:rsidR="00AD77BB" w:rsidRDefault="00B45BA0">
      <w:pPr>
        <w:shd w:val="clear" w:color="auto" w:fill="DAEEF3" w:themeFill="accent5" w:themeFillTint="33"/>
        <w:spacing w:line="360" w:lineRule="auto"/>
        <w:jc w:val="center"/>
        <w:textAlignment w:val="baseline"/>
        <w:rPr>
          <w:rFonts w:ascii="Calibri" w:eastAsia="Times New Roman" w:hAnsi="Calibri" w:cs="Times New Roman"/>
          <w:b/>
          <w:color w:val="555555"/>
          <w:sz w:val="23"/>
          <w:szCs w:val="23"/>
        </w:rPr>
      </w:pPr>
      <w:r>
        <w:rPr>
          <w:rFonts w:ascii="MathJax_Main" w:eastAsia="Times New Roman" w:hAnsi="MathJax_Main" w:cs="Times New Roman"/>
          <w:b/>
          <w:color w:val="555555"/>
          <w:sz w:val="18"/>
          <w:szCs w:val="18"/>
        </w:rPr>
        <w:t>x*=</w:t>
      </w:r>
      <w:r>
        <w:rPr>
          <w:rFonts w:ascii="MathJax_Math" w:eastAsia="Times New Roman" w:hAnsi="MathJax_Math" w:cs="Times New Roman"/>
          <w:b/>
          <w:i/>
          <w:iCs/>
          <w:color w:val="555555"/>
          <w:sz w:val="18"/>
          <w:szCs w:val="18"/>
        </w:rPr>
        <w:t>μ</w:t>
      </w:r>
      <w:r>
        <w:rPr>
          <w:rFonts w:ascii="MathJax_Main" w:eastAsia="Times New Roman" w:hAnsi="MathJax_Main" w:cs="Times New Roman"/>
          <w:b/>
          <w:color w:val="555555"/>
          <w:sz w:val="18"/>
          <w:szCs w:val="18"/>
        </w:rPr>
        <w:t>+z*</w:t>
      </w:r>
      <w:r>
        <w:rPr>
          <w:rFonts w:ascii="MathJax_Math" w:eastAsia="Times New Roman" w:hAnsi="MathJax_Math" w:cs="Times New Roman"/>
          <w:b/>
          <w:i/>
          <w:iCs/>
          <w:color w:val="555555"/>
          <w:sz w:val="18"/>
          <w:szCs w:val="18"/>
        </w:rPr>
        <w:t>σ</w:t>
      </w:r>
      <w:r>
        <w:rPr>
          <w:rFonts w:ascii="MathJax_Main" w:eastAsia="Times New Roman" w:hAnsi="MathJax_Main" w:cs="Times New Roman"/>
          <w:b/>
          <w:color w:val="555555"/>
          <w:sz w:val="18"/>
          <w:szCs w:val="18"/>
        </w:rPr>
        <w:t>=510+1.645</w:t>
      </w:r>
      <w:r>
        <w:rPr>
          <w:rFonts w:ascii="Cambria Math" w:eastAsia="Times New Roman" w:hAnsi="Cambria Math" w:cs="Cambria Math"/>
          <w:b/>
          <w:color w:val="555555"/>
          <w:sz w:val="18"/>
          <w:szCs w:val="18"/>
        </w:rPr>
        <w:t>⋅</w:t>
      </w:r>
      <w:r>
        <w:rPr>
          <w:rFonts w:ascii="MathJax_Main" w:eastAsia="Times New Roman" w:hAnsi="MathJax_Main" w:cs="Times New Roman"/>
          <w:b/>
          <w:color w:val="555555"/>
          <w:sz w:val="18"/>
          <w:szCs w:val="18"/>
        </w:rPr>
        <w:t>60=608.7</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EXAMPLE 18</w:t>
      </w:r>
    </w:p>
    <w:p w:rsidR="00AD77BB" w:rsidRDefault="00B45BA0">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 xml:space="preserve">All boys at a military school must run a fixed course as fast as they can as part of a physical examination. Finishing times are normally distributed with mean 29 minutes and standard deviation 2 </w:t>
      </w:r>
      <w:r>
        <w:rPr>
          <w:rFonts w:ascii="Calibri" w:eastAsia="Times New Roman" w:hAnsi="Calibri" w:cs="Times New Roman"/>
          <w:color w:val="333333"/>
          <w:sz w:val="21"/>
          <w:szCs w:val="21"/>
        </w:rPr>
        <w:lastRenderedPageBreak/>
        <w:t>minutes. The middle 75% of all finishing times are classified as “average.” Find the range of times that are average finishing times by this definition.</w:t>
      </w:r>
    </w:p>
    <w:p w:rsidR="00AD77BB" w:rsidRDefault="00B45BA0">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Solution:</w:t>
      </w:r>
    </w:p>
    <w:p w:rsidR="00AD77BB" w:rsidRDefault="00AD77BB">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p>
    <w:p w:rsidR="00AD77BB" w:rsidRDefault="00B45BA0">
      <w:pPr>
        <w:shd w:val="clear" w:color="auto" w:fill="DAEEF3" w:themeFill="accent5" w:themeFillTint="33"/>
        <w:spacing w:after="0" w:line="360" w:lineRule="auto"/>
        <w:ind w:left="300" w:right="375"/>
        <w:textAlignment w:val="baseline"/>
        <w:rPr>
          <w:rFonts w:ascii="Calibri" w:eastAsia="Times New Roman" w:hAnsi="Calibri" w:cs="Times New Roman"/>
          <w:b/>
          <w:color w:val="333333"/>
          <w:sz w:val="21"/>
          <w:szCs w:val="21"/>
        </w:rPr>
      </w:pPr>
      <w:r>
        <w:rPr>
          <w:rFonts w:ascii="Calibri" w:eastAsia="Times New Roman" w:hAnsi="Calibri" w:cs="Times New Roman"/>
          <w:color w:val="333333"/>
          <w:sz w:val="21"/>
          <w:szCs w:val="21"/>
        </w:rPr>
        <w:t>Let </w:t>
      </w:r>
      <w:r>
        <w:rPr>
          <w:rFonts w:ascii="Calibri" w:eastAsia="Times New Roman" w:hAnsi="Calibri" w:cs="Times New Roman"/>
          <w:i/>
          <w:iCs/>
          <w:color w:val="333333"/>
          <w:sz w:val="20"/>
          <w:szCs w:val="20"/>
        </w:rPr>
        <w:t>X</w:t>
      </w:r>
      <w:r>
        <w:rPr>
          <w:rFonts w:ascii="Calibri" w:eastAsia="Times New Roman" w:hAnsi="Calibri" w:cs="Times New Roman"/>
          <w:color w:val="333333"/>
          <w:sz w:val="21"/>
          <w:szCs w:val="21"/>
        </w:rPr>
        <w:t> denote the finish time of a randomly selected boy. Then </w:t>
      </w:r>
      <w:r>
        <w:rPr>
          <w:rFonts w:ascii="Calibri" w:eastAsia="Times New Roman" w:hAnsi="Calibri" w:cs="Times New Roman"/>
          <w:i/>
          <w:iCs/>
          <w:color w:val="333333"/>
          <w:sz w:val="20"/>
          <w:szCs w:val="20"/>
        </w:rPr>
        <w:t>X</w:t>
      </w:r>
      <w:r>
        <w:rPr>
          <w:rFonts w:ascii="Calibri" w:eastAsia="Times New Roman" w:hAnsi="Calibri" w:cs="Times New Roman"/>
          <w:color w:val="333333"/>
          <w:sz w:val="21"/>
          <w:szCs w:val="21"/>
        </w:rPr>
        <w:t> is normally distributed with mean 29 and standard deviation 2. The probability that </w:t>
      </w:r>
      <w:r>
        <w:rPr>
          <w:rFonts w:ascii="Calibri" w:eastAsia="Times New Roman" w:hAnsi="Calibri" w:cs="Times New Roman"/>
          <w:i/>
          <w:iCs/>
          <w:color w:val="333333"/>
          <w:sz w:val="20"/>
          <w:szCs w:val="20"/>
        </w:rPr>
        <w:t>X</w:t>
      </w:r>
      <w:r>
        <w:rPr>
          <w:rFonts w:ascii="Calibri" w:eastAsia="Times New Roman" w:hAnsi="Calibri" w:cs="Times New Roman"/>
          <w:color w:val="333333"/>
          <w:sz w:val="21"/>
          <w:szCs w:val="21"/>
        </w:rPr>
        <w:t> lie in a particular interval is the same as the proportion of all finish times that lie in that interval. Thus the situation is as shown in </w:t>
      </w:r>
      <w:r>
        <w:rPr>
          <w:rFonts w:ascii="Calibri" w:eastAsia="Times New Roman" w:hAnsi="Calibri" w:cs="Times New Roman"/>
          <w:color w:val="2689C6"/>
          <w:sz w:val="21"/>
          <w:szCs w:val="21"/>
        </w:rPr>
        <w:t>Figure 5.27 "Distribution of Times to Run a Course"</w:t>
      </w:r>
      <w:r>
        <w:rPr>
          <w:rFonts w:ascii="Calibri" w:eastAsia="Times New Roman" w:hAnsi="Calibri" w:cs="Times New Roman"/>
          <w:color w:val="333333"/>
          <w:sz w:val="21"/>
          <w:szCs w:val="21"/>
        </w:rPr>
        <w:t>. Because the area in the middle corresponding to “average” times is 0.75, the areas of the two tails add up to 1 − 0.75 = 0.25 in all. By the symmetry of the density curve each tail must have half of this total, or area 0.125 each. Thus the fastest time that is “average” has </w:t>
      </w:r>
      <w:r>
        <w:rPr>
          <w:rFonts w:ascii="Calibri" w:eastAsia="Times New Roman" w:hAnsi="Calibri" w:cs="Times New Roman"/>
          <w:i/>
          <w:iCs/>
          <w:color w:val="333333"/>
          <w:sz w:val="20"/>
          <w:szCs w:val="20"/>
        </w:rPr>
        <w:t>z</w:t>
      </w:r>
      <w:r>
        <w:rPr>
          <w:rFonts w:ascii="Calibri" w:eastAsia="Times New Roman" w:hAnsi="Calibri" w:cs="Times New Roman"/>
          <w:color w:val="333333"/>
          <w:sz w:val="21"/>
          <w:szCs w:val="21"/>
        </w:rPr>
        <w:t>-score </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z</w:t>
      </w:r>
      <w:r>
        <w:rPr>
          <w:rFonts w:ascii="MathJax_Main" w:eastAsia="Times New Roman" w:hAnsi="MathJax_Main" w:cs="Times New Roman"/>
          <w:color w:val="333333"/>
          <w:sz w:val="12"/>
          <w:szCs w:val="12"/>
        </w:rPr>
        <w:t>.125</w:t>
      </w:r>
      <w:r>
        <w:rPr>
          <w:rFonts w:ascii="Calibri" w:eastAsia="Times New Roman" w:hAnsi="Calibri" w:cs="Times New Roman"/>
          <w:color w:val="333333"/>
          <w:sz w:val="21"/>
          <w:szCs w:val="21"/>
        </w:rPr>
        <w:t>, which by </w:t>
      </w:r>
      <w:r>
        <w:rPr>
          <w:rFonts w:ascii="Calibri" w:eastAsia="Times New Roman" w:hAnsi="Calibri" w:cs="Times New Roman"/>
          <w:color w:val="2689C6"/>
          <w:sz w:val="21"/>
          <w:szCs w:val="21"/>
        </w:rPr>
        <w:t>Figure 12.2 "Cumulative Normal Probability"</w:t>
      </w:r>
      <w:r>
        <w:rPr>
          <w:rFonts w:ascii="Calibri" w:eastAsia="Times New Roman" w:hAnsi="Calibri" w:cs="Times New Roman"/>
          <w:color w:val="333333"/>
          <w:sz w:val="21"/>
          <w:szCs w:val="21"/>
        </w:rPr>
        <w:t> is −1.15, and the slowest time that is “average” has </w:t>
      </w:r>
      <w:r>
        <w:rPr>
          <w:rFonts w:ascii="Calibri" w:eastAsia="Times New Roman" w:hAnsi="Calibri" w:cs="Times New Roman"/>
          <w:i/>
          <w:iCs/>
          <w:color w:val="333333"/>
          <w:sz w:val="20"/>
          <w:szCs w:val="20"/>
        </w:rPr>
        <w:t>z</w:t>
      </w:r>
      <w:r>
        <w:rPr>
          <w:rFonts w:ascii="Calibri" w:eastAsia="Times New Roman" w:hAnsi="Calibri" w:cs="Times New Roman"/>
          <w:color w:val="333333"/>
          <w:sz w:val="21"/>
          <w:szCs w:val="21"/>
        </w:rPr>
        <w:t>-score </w:t>
      </w:r>
      <w:r>
        <w:rPr>
          <w:rFonts w:ascii="MathJax_Math" w:eastAsia="Times New Roman" w:hAnsi="MathJax_Math" w:cs="Times New Roman"/>
          <w:i/>
          <w:iCs/>
          <w:color w:val="333333"/>
          <w:sz w:val="15"/>
          <w:szCs w:val="15"/>
        </w:rPr>
        <w:t>z</w:t>
      </w:r>
      <w:r>
        <w:rPr>
          <w:rFonts w:ascii="MathJax_Main" w:eastAsia="Times New Roman" w:hAnsi="MathJax_Main" w:cs="Times New Roman"/>
          <w:color w:val="333333"/>
          <w:sz w:val="12"/>
          <w:szCs w:val="12"/>
        </w:rPr>
        <w:t>.125</w:t>
      </w:r>
      <w:r>
        <w:rPr>
          <w:rFonts w:ascii="MathJax_Main" w:eastAsia="Times New Roman" w:hAnsi="MathJax_Main" w:cs="Times New Roman"/>
          <w:color w:val="333333"/>
          <w:sz w:val="15"/>
          <w:szCs w:val="15"/>
        </w:rPr>
        <w:t>=1.15.</w:t>
      </w:r>
      <w:r>
        <w:rPr>
          <w:rFonts w:ascii="Calibri" w:eastAsia="Times New Roman" w:hAnsi="Calibri" w:cs="Times New Roman"/>
          <w:color w:val="333333"/>
          <w:sz w:val="21"/>
          <w:szCs w:val="21"/>
        </w:rPr>
        <w:t> The fastest and slowest times that are still considered average are</w:t>
      </w:r>
    </w:p>
    <w:p w:rsidR="00AD77BB" w:rsidRDefault="00B45BA0">
      <w:pPr>
        <w:shd w:val="clear" w:color="auto" w:fill="DAEEF3" w:themeFill="accent5" w:themeFillTint="33"/>
        <w:spacing w:line="360" w:lineRule="auto"/>
        <w:jc w:val="center"/>
        <w:textAlignment w:val="baseline"/>
        <w:rPr>
          <w:rFonts w:ascii="Calibri" w:eastAsia="Times New Roman" w:hAnsi="Calibri" w:cs="Times New Roman"/>
          <w:b/>
          <w:color w:val="555555"/>
          <w:sz w:val="23"/>
          <w:szCs w:val="23"/>
        </w:rPr>
      </w:pPr>
      <w:r>
        <w:rPr>
          <w:rFonts w:ascii="MathJax_Math" w:eastAsia="Times New Roman" w:hAnsi="MathJax_Math" w:cs="Times New Roman"/>
          <w:b/>
          <w:i/>
          <w:iCs/>
          <w:color w:val="555555"/>
          <w:sz w:val="18"/>
          <w:szCs w:val="18"/>
        </w:rPr>
        <w:t>x</w:t>
      </w:r>
      <w:r>
        <w:rPr>
          <w:rFonts w:ascii="MathJax_Main" w:eastAsia="Times New Roman" w:hAnsi="MathJax_Main" w:cs="Times New Roman"/>
          <w:b/>
          <w:color w:val="555555"/>
          <w:sz w:val="14"/>
          <w:szCs w:val="14"/>
        </w:rPr>
        <w:t> fast</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μ</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z</w:t>
      </w:r>
      <w:r>
        <w:rPr>
          <w:rFonts w:ascii="MathJax_Main" w:eastAsia="Times New Roman" w:hAnsi="MathJax_Main" w:cs="Times New Roman"/>
          <w:b/>
          <w:color w:val="555555"/>
          <w:sz w:val="14"/>
          <w:szCs w:val="14"/>
        </w:rPr>
        <w:t>.125</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σ</w:t>
      </w:r>
      <w:r>
        <w:rPr>
          <w:rFonts w:ascii="MathJax_Main" w:eastAsia="Times New Roman" w:hAnsi="MathJax_Main" w:cs="Times New Roman"/>
          <w:b/>
          <w:color w:val="555555"/>
          <w:sz w:val="18"/>
          <w:szCs w:val="18"/>
        </w:rPr>
        <w:t>=29+(−1.15)</w:t>
      </w:r>
      <w:r>
        <w:rPr>
          <w:rFonts w:ascii="Cambria Math" w:eastAsia="Times New Roman" w:hAnsi="Cambria Math" w:cs="Cambria Math"/>
          <w:b/>
          <w:color w:val="555555"/>
          <w:sz w:val="18"/>
          <w:szCs w:val="18"/>
        </w:rPr>
        <w:t>⋅</w:t>
      </w:r>
      <w:r>
        <w:rPr>
          <w:rFonts w:ascii="MathJax_Main" w:eastAsia="Times New Roman" w:hAnsi="MathJax_Main" w:cs="Times New Roman"/>
          <w:b/>
          <w:color w:val="555555"/>
          <w:sz w:val="18"/>
          <w:szCs w:val="18"/>
        </w:rPr>
        <w:t>2=26.7</w:t>
      </w:r>
    </w:p>
    <w:p w:rsidR="00AD77BB" w:rsidRDefault="00B45BA0">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and</w:t>
      </w:r>
    </w:p>
    <w:p w:rsidR="00AD77BB" w:rsidRDefault="00B45BA0">
      <w:pPr>
        <w:shd w:val="clear" w:color="auto" w:fill="DAEEF3" w:themeFill="accent5" w:themeFillTint="33"/>
        <w:spacing w:line="360" w:lineRule="auto"/>
        <w:jc w:val="center"/>
        <w:textAlignment w:val="baseline"/>
        <w:rPr>
          <w:rFonts w:ascii="Calibri" w:eastAsia="Times New Roman" w:hAnsi="Calibri" w:cs="Times New Roman"/>
          <w:b/>
          <w:color w:val="555555"/>
          <w:sz w:val="23"/>
          <w:szCs w:val="23"/>
        </w:rPr>
      </w:pPr>
      <w:r>
        <w:rPr>
          <w:rFonts w:ascii="MathJax_Math" w:eastAsia="Times New Roman" w:hAnsi="MathJax_Math" w:cs="Times New Roman"/>
          <w:b/>
          <w:i/>
          <w:iCs/>
          <w:color w:val="555555"/>
          <w:sz w:val="18"/>
          <w:szCs w:val="18"/>
        </w:rPr>
        <w:t>x</w:t>
      </w:r>
      <w:r>
        <w:rPr>
          <w:rFonts w:ascii="MathJax_Main" w:eastAsia="Times New Roman" w:hAnsi="MathJax_Main" w:cs="Times New Roman"/>
          <w:b/>
          <w:color w:val="555555"/>
          <w:sz w:val="14"/>
          <w:szCs w:val="14"/>
        </w:rPr>
        <w:t> slow</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μ</w:t>
      </w:r>
      <w:r>
        <w:rPr>
          <w:rFonts w:ascii="MathJax_Main" w:eastAsia="Times New Roman" w:hAnsi="MathJax_Main" w:cs="Times New Roman"/>
          <w:b/>
          <w:color w:val="555555"/>
          <w:sz w:val="18"/>
          <w:szCs w:val="18"/>
        </w:rPr>
        <w:t>+</w:t>
      </w:r>
      <w:r>
        <w:rPr>
          <w:rFonts w:ascii="MathJax_Math" w:eastAsia="Times New Roman" w:hAnsi="MathJax_Math" w:cs="Times New Roman"/>
          <w:b/>
          <w:i/>
          <w:iCs/>
          <w:color w:val="555555"/>
          <w:sz w:val="18"/>
          <w:szCs w:val="18"/>
        </w:rPr>
        <w:t>z</w:t>
      </w:r>
      <w:r>
        <w:rPr>
          <w:rFonts w:ascii="MathJax_Main" w:eastAsia="Times New Roman" w:hAnsi="MathJax_Main" w:cs="Times New Roman"/>
          <w:b/>
          <w:color w:val="555555"/>
          <w:sz w:val="14"/>
          <w:szCs w:val="14"/>
        </w:rPr>
        <w:t>.125</w:t>
      </w:r>
      <w:r>
        <w:rPr>
          <w:rFonts w:ascii="MathJax_Math" w:eastAsia="Times New Roman" w:hAnsi="MathJax_Math" w:cs="Times New Roman"/>
          <w:b/>
          <w:i/>
          <w:iCs/>
          <w:color w:val="555555"/>
          <w:sz w:val="18"/>
          <w:szCs w:val="18"/>
        </w:rPr>
        <w:t>σ</w:t>
      </w:r>
      <w:r>
        <w:rPr>
          <w:rFonts w:ascii="MathJax_Main" w:eastAsia="Times New Roman" w:hAnsi="MathJax_Main" w:cs="Times New Roman"/>
          <w:b/>
          <w:color w:val="555555"/>
          <w:sz w:val="18"/>
          <w:szCs w:val="18"/>
        </w:rPr>
        <w:t>=29+(1.15)</w:t>
      </w:r>
      <w:r>
        <w:rPr>
          <w:rFonts w:ascii="Cambria Math" w:eastAsia="Times New Roman" w:hAnsi="Cambria Math" w:cs="Cambria Math"/>
          <w:b/>
          <w:color w:val="555555"/>
          <w:sz w:val="18"/>
          <w:szCs w:val="18"/>
        </w:rPr>
        <w:t>⋅</w:t>
      </w:r>
      <w:r>
        <w:rPr>
          <w:rFonts w:ascii="MathJax_Main" w:eastAsia="Times New Roman" w:hAnsi="MathJax_Main" w:cs="Times New Roman"/>
          <w:b/>
          <w:color w:val="555555"/>
          <w:sz w:val="18"/>
          <w:szCs w:val="18"/>
        </w:rPr>
        <w:t>2=31.3</w:t>
      </w:r>
    </w:p>
    <w:p w:rsidR="00AD77BB" w:rsidRDefault="00B45BA0">
      <w:pPr>
        <w:shd w:val="clear" w:color="auto" w:fill="DAEEF3" w:themeFill="accent5" w:themeFillTint="33"/>
        <w:spacing w:after="0" w:line="439" w:lineRule="atLeast"/>
        <w:ind w:left="300" w:right="375"/>
        <w:textAlignment w:val="baseline"/>
        <w:rPr>
          <w:rFonts w:ascii="Calibri" w:eastAsia="Times New Roman" w:hAnsi="Calibri" w:cs="Times New Roman"/>
          <w:i/>
          <w:iCs/>
          <w:color w:val="BB9966"/>
        </w:rPr>
      </w:pPr>
      <w:r>
        <w:rPr>
          <w:rFonts w:ascii="Calibri" w:eastAsia="Times New Roman" w:hAnsi="Calibri" w:cs="Times New Roman"/>
          <w:i/>
          <w:iCs/>
          <w:color w:val="000000"/>
          <w:sz w:val="20"/>
          <w:szCs w:val="20"/>
        </w:rPr>
        <w:t>Figure 5.27</w:t>
      </w:r>
      <w:r>
        <w:rPr>
          <w:rFonts w:ascii="Calibri" w:eastAsia="Times New Roman" w:hAnsi="Calibri" w:cs="Times New Roman"/>
          <w:i/>
          <w:iCs/>
          <w:color w:val="BB9966"/>
        </w:rPr>
        <w:t>Distribution of Times to Run a Course</w:t>
      </w:r>
    </w:p>
    <w:p w:rsidR="00AD77BB" w:rsidRDefault="00B45BA0">
      <w:pPr>
        <w:shd w:val="clear" w:color="auto" w:fill="DAEEF3" w:themeFill="accent5" w:themeFillTint="33"/>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14:anchorId="08E11E0C" wp14:editId="3F4A6A69">
            <wp:extent cx="4905375" cy="3200400"/>
            <wp:effectExtent l="0" t="0" r="9525" b="0"/>
            <wp:docPr id="182" name="Picture 195" descr="http://images.flatworldknowledge.com/shafer/shafer-fig05_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images.flatworldknowledge.com/shafer/shafer-fig05_029.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905375" cy="3200400"/>
                    </a:xfrm>
                    <a:prstGeom prst="rect">
                      <a:avLst/>
                    </a:prstGeom>
                    <a:noFill/>
                    <a:ln>
                      <a:noFill/>
                    </a:ln>
                  </pic:spPr>
                </pic:pic>
              </a:graphicData>
            </a:graphic>
          </wp:inline>
        </w:drawing>
      </w:r>
    </w:p>
    <w:p w:rsidR="00AD77BB" w:rsidRDefault="00B45BA0">
      <w:pPr>
        <w:shd w:val="clear" w:color="auto" w:fill="DAEEF3" w:themeFill="accent5" w:themeFillTint="33"/>
        <w:spacing w:before="150" w:after="0" w:line="360" w:lineRule="auto"/>
        <w:ind w:left="302" w:right="374"/>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lastRenderedPageBreak/>
        <w:t>A boy has an average finishing time if he runs the course with a time between 26.7 and 31.3 minutes, or equivalently between 26 minutes 42 seconds and 31 minutes 18 seconds.</w:t>
      </w: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KEY TAKEAWAYS</w:t>
      </w:r>
    </w:p>
    <w:p w:rsidR="00AD77BB" w:rsidRDefault="00B45BA0">
      <w:pPr>
        <w:numPr>
          <w:ilvl w:val="0"/>
          <w:numId w:val="144"/>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problem of finding the number </w:t>
      </w:r>
      <w:r>
        <w:rPr>
          <w:rFonts w:ascii="MathJax_Main" w:eastAsia="Times New Roman" w:hAnsi="MathJax_Main" w:cs="Times New Roman"/>
          <w:color w:val="333333"/>
          <w:sz w:val="15"/>
          <w:szCs w:val="15"/>
        </w:rPr>
        <w:t>z*</w:t>
      </w:r>
      <w:r>
        <w:rPr>
          <w:rFonts w:ascii="Calibri" w:eastAsia="Times New Roman" w:hAnsi="Calibri" w:cs="Times New Roman"/>
          <w:color w:val="333333"/>
          <w:sz w:val="20"/>
          <w:szCs w:val="20"/>
        </w:rPr>
        <w:t> so that the probability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Z</w:t>
      </w:r>
      <w:r>
        <w:rPr>
          <w:rFonts w:ascii="MathJax_Main" w:eastAsia="Times New Roman" w:hAnsi="MathJax_Main" w:cs="Times New Roman"/>
          <w:color w:val="333333"/>
          <w:sz w:val="15"/>
          <w:szCs w:val="15"/>
        </w:rPr>
        <w:t>&lt;z*)</w:t>
      </w:r>
      <w:r>
        <w:rPr>
          <w:rFonts w:ascii="Calibri" w:eastAsia="Times New Roman" w:hAnsi="Calibri" w:cs="Times New Roman"/>
          <w:color w:val="333333"/>
          <w:sz w:val="20"/>
          <w:szCs w:val="20"/>
        </w:rPr>
        <w:t> is a specified value </w:t>
      </w:r>
      <w:r>
        <w:rPr>
          <w:rFonts w:ascii="Calibri" w:eastAsia="Times New Roman" w:hAnsi="Calibri" w:cs="Times New Roman"/>
          <w:i/>
          <w:iCs/>
          <w:color w:val="333333"/>
          <w:sz w:val="20"/>
          <w:szCs w:val="20"/>
        </w:rPr>
        <w:t>c</w:t>
      </w:r>
      <w:r>
        <w:rPr>
          <w:rFonts w:ascii="Calibri" w:eastAsia="Times New Roman" w:hAnsi="Calibri" w:cs="Times New Roman"/>
          <w:color w:val="333333"/>
          <w:sz w:val="20"/>
          <w:szCs w:val="20"/>
        </w:rPr>
        <w:t> is solved by looking for the number </w:t>
      </w:r>
      <w:r>
        <w:rPr>
          <w:rFonts w:ascii="Calibri" w:eastAsia="Times New Roman" w:hAnsi="Calibri" w:cs="Times New Roman"/>
          <w:i/>
          <w:iCs/>
          <w:color w:val="333333"/>
          <w:sz w:val="20"/>
          <w:szCs w:val="20"/>
        </w:rPr>
        <w:t>c</w:t>
      </w:r>
      <w:r>
        <w:rPr>
          <w:rFonts w:ascii="Calibri" w:eastAsia="Times New Roman" w:hAnsi="Calibri" w:cs="Times New Roman"/>
          <w:color w:val="333333"/>
          <w:sz w:val="20"/>
          <w:szCs w:val="20"/>
        </w:rPr>
        <w:t xml:space="preserve"> in the interior of </w:t>
      </w:r>
      <w:r>
        <w:rPr>
          <w:rFonts w:ascii="Calibri" w:eastAsia="Times New Roman" w:hAnsi="Calibri" w:cs="Times New Roman"/>
          <w:color w:val="2689C6"/>
          <w:sz w:val="20"/>
          <w:szCs w:val="20"/>
        </w:rPr>
        <w:t>Figure 12.2 "Cumulative Normal Probability"</w:t>
      </w:r>
      <w:r>
        <w:rPr>
          <w:rFonts w:ascii="Calibri" w:eastAsia="Times New Roman" w:hAnsi="Calibri" w:cs="Times New Roman"/>
          <w:color w:val="333333"/>
          <w:sz w:val="20"/>
          <w:szCs w:val="20"/>
        </w:rPr>
        <w:t> and reading </w:t>
      </w:r>
      <w:r>
        <w:rPr>
          <w:rFonts w:ascii="MathJax_Main" w:eastAsia="Times New Roman" w:hAnsi="MathJax_Main" w:cs="Times New Roman"/>
          <w:color w:val="333333"/>
          <w:sz w:val="15"/>
          <w:szCs w:val="15"/>
        </w:rPr>
        <w:t>z*</w:t>
      </w:r>
      <w:r>
        <w:rPr>
          <w:rFonts w:ascii="Calibri" w:eastAsia="Times New Roman" w:hAnsi="Calibri" w:cs="Times New Roman"/>
          <w:color w:val="333333"/>
          <w:sz w:val="20"/>
          <w:szCs w:val="20"/>
        </w:rPr>
        <w:t> from the margins.</w:t>
      </w:r>
    </w:p>
    <w:p w:rsidR="00AD77BB" w:rsidRDefault="00B45BA0">
      <w:pPr>
        <w:numPr>
          <w:ilvl w:val="0"/>
          <w:numId w:val="144"/>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problem of finding the number </w:t>
      </w:r>
      <w:r>
        <w:rPr>
          <w:rFonts w:ascii="MathJax_Main" w:eastAsia="Times New Roman" w:hAnsi="MathJax_Main" w:cs="Times New Roman"/>
          <w:color w:val="333333"/>
          <w:sz w:val="15"/>
          <w:szCs w:val="15"/>
        </w:rPr>
        <w:t>z*</w:t>
      </w:r>
      <w:r>
        <w:rPr>
          <w:rFonts w:ascii="Calibri" w:eastAsia="Times New Roman" w:hAnsi="Calibri" w:cs="Times New Roman"/>
          <w:color w:val="333333"/>
          <w:sz w:val="20"/>
          <w:szCs w:val="20"/>
        </w:rPr>
        <w:t> so that the probability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Z</w:t>
      </w:r>
      <w:r>
        <w:rPr>
          <w:rFonts w:ascii="MathJax_Main" w:eastAsia="Times New Roman" w:hAnsi="MathJax_Main" w:cs="Times New Roman"/>
          <w:color w:val="333333"/>
          <w:sz w:val="15"/>
          <w:szCs w:val="15"/>
        </w:rPr>
        <w:t>&gt;z*)</w:t>
      </w:r>
      <w:r>
        <w:rPr>
          <w:rFonts w:ascii="Calibri" w:eastAsia="Times New Roman" w:hAnsi="Calibri" w:cs="Times New Roman"/>
          <w:color w:val="333333"/>
          <w:sz w:val="20"/>
          <w:szCs w:val="20"/>
        </w:rPr>
        <w:t> is a specified value </w:t>
      </w:r>
      <w:r>
        <w:rPr>
          <w:rFonts w:ascii="Calibri" w:eastAsia="Times New Roman" w:hAnsi="Calibri" w:cs="Times New Roman"/>
          <w:i/>
          <w:iCs/>
          <w:color w:val="333333"/>
          <w:sz w:val="20"/>
          <w:szCs w:val="20"/>
        </w:rPr>
        <w:t>c</w:t>
      </w:r>
      <w:r>
        <w:rPr>
          <w:rFonts w:ascii="Calibri" w:eastAsia="Times New Roman" w:hAnsi="Calibri" w:cs="Times New Roman"/>
          <w:color w:val="333333"/>
          <w:sz w:val="20"/>
          <w:szCs w:val="20"/>
        </w:rPr>
        <w:t> is solved by looking for the complementary probability </w:t>
      </w:r>
      <w:r>
        <w:rPr>
          <w:rFonts w:ascii="MathJax_Main" w:eastAsia="Times New Roman" w:hAnsi="MathJax_Main" w:cs="Times New Roman"/>
          <w:color w:val="333333"/>
          <w:sz w:val="15"/>
          <w:szCs w:val="15"/>
        </w:rPr>
        <w:t>1−</w:t>
      </w:r>
      <w:r>
        <w:rPr>
          <w:rFonts w:ascii="MathJax_Math" w:eastAsia="Times New Roman" w:hAnsi="MathJax_Math" w:cs="Times New Roman"/>
          <w:i/>
          <w:iCs/>
          <w:color w:val="333333"/>
          <w:sz w:val="15"/>
          <w:szCs w:val="15"/>
        </w:rPr>
        <w:t>c</w:t>
      </w:r>
      <w:r>
        <w:rPr>
          <w:rFonts w:ascii="Calibri" w:eastAsia="Times New Roman" w:hAnsi="Calibri" w:cs="Times New Roman"/>
          <w:color w:val="333333"/>
          <w:sz w:val="20"/>
          <w:szCs w:val="20"/>
        </w:rPr>
        <w:t>in the interior of </w:t>
      </w:r>
      <w:r>
        <w:rPr>
          <w:rFonts w:ascii="Calibri" w:eastAsia="Times New Roman" w:hAnsi="Calibri" w:cs="Times New Roman"/>
          <w:color w:val="2689C6"/>
          <w:sz w:val="20"/>
          <w:szCs w:val="20"/>
        </w:rPr>
        <w:t>Figure 12.2 "Cumulative Normal Probability"</w:t>
      </w:r>
      <w:r>
        <w:rPr>
          <w:rFonts w:ascii="Calibri" w:eastAsia="Times New Roman" w:hAnsi="Calibri" w:cs="Times New Roman"/>
          <w:color w:val="333333"/>
          <w:sz w:val="20"/>
          <w:szCs w:val="20"/>
        </w:rPr>
        <w:t> and reading </w:t>
      </w:r>
      <w:r>
        <w:rPr>
          <w:rFonts w:ascii="MathJax_Main" w:eastAsia="Times New Roman" w:hAnsi="MathJax_Main" w:cs="Times New Roman"/>
          <w:color w:val="333333"/>
          <w:sz w:val="15"/>
          <w:szCs w:val="15"/>
        </w:rPr>
        <w:t>z*</w:t>
      </w:r>
      <w:r>
        <w:rPr>
          <w:rFonts w:ascii="Calibri" w:eastAsia="Times New Roman" w:hAnsi="Calibri" w:cs="Times New Roman"/>
          <w:color w:val="333333"/>
          <w:sz w:val="20"/>
          <w:szCs w:val="20"/>
        </w:rPr>
        <w:t>from the margins.</w:t>
      </w:r>
    </w:p>
    <w:p w:rsidR="00AD77BB" w:rsidRDefault="00B45BA0">
      <w:pPr>
        <w:numPr>
          <w:ilvl w:val="0"/>
          <w:numId w:val="144"/>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 a normal random variable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with mean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 and standard deviation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the problem of finding the number </w:t>
      </w:r>
      <w:r>
        <w:rPr>
          <w:rFonts w:ascii="MathJax_Main" w:eastAsia="Times New Roman" w:hAnsi="MathJax_Main" w:cs="Times New Roman"/>
          <w:color w:val="333333"/>
          <w:sz w:val="15"/>
          <w:szCs w:val="15"/>
        </w:rPr>
        <w:t>x*</w:t>
      </w:r>
      <w:r>
        <w:rPr>
          <w:rFonts w:ascii="Calibri" w:eastAsia="Times New Roman" w:hAnsi="Calibri" w:cs="Times New Roman"/>
          <w:color w:val="333333"/>
          <w:sz w:val="20"/>
          <w:szCs w:val="20"/>
        </w:rPr>
        <w:t> so that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&lt;x*)</w:t>
      </w:r>
      <w:r>
        <w:rPr>
          <w:rFonts w:ascii="Calibri" w:eastAsia="Times New Roman" w:hAnsi="Calibri" w:cs="Times New Roman"/>
          <w:color w:val="333333"/>
          <w:sz w:val="20"/>
          <w:szCs w:val="20"/>
        </w:rPr>
        <w:t> is a specified value </w:t>
      </w:r>
      <w:r>
        <w:rPr>
          <w:rFonts w:ascii="Calibri" w:eastAsia="Times New Roman" w:hAnsi="Calibri" w:cs="Times New Roman"/>
          <w:i/>
          <w:iCs/>
          <w:color w:val="333333"/>
          <w:sz w:val="20"/>
          <w:szCs w:val="20"/>
        </w:rPr>
        <w:t>c</w:t>
      </w:r>
      <w:r>
        <w:rPr>
          <w:rFonts w:ascii="Calibri" w:eastAsia="Times New Roman" w:hAnsi="Calibri" w:cs="Times New Roman"/>
          <w:color w:val="333333"/>
          <w:sz w:val="20"/>
          <w:szCs w:val="20"/>
        </w:rPr>
        <w:t> (or so that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&gt;x*)</w:t>
      </w:r>
      <w:r>
        <w:rPr>
          <w:rFonts w:ascii="Calibri" w:eastAsia="Times New Roman" w:hAnsi="Calibri" w:cs="Times New Roman"/>
          <w:color w:val="333333"/>
          <w:sz w:val="20"/>
          <w:szCs w:val="20"/>
        </w:rPr>
        <w:t> is a specified value </w:t>
      </w:r>
      <w:r>
        <w:rPr>
          <w:rFonts w:ascii="Calibri" w:eastAsia="Times New Roman" w:hAnsi="Calibri" w:cs="Times New Roman"/>
          <w:i/>
          <w:iCs/>
          <w:color w:val="333333"/>
          <w:sz w:val="20"/>
          <w:szCs w:val="20"/>
        </w:rPr>
        <w:t>c</w:t>
      </w:r>
      <w:r>
        <w:rPr>
          <w:rFonts w:ascii="Calibri" w:eastAsia="Times New Roman" w:hAnsi="Calibri" w:cs="Times New Roman"/>
          <w:color w:val="333333"/>
          <w:sz w:val="20"/>
          <w:szCs w:val="20"/>
        </w:rPr>
        <w:t>) is solved in two steps: (1) solve the corresponding problem for </w:t>
      </w:r>
      <w:r>
        <w:rPr>
          <w:rFonts w:ascii="Calibri" w:eastAsia="Times New Roman" w:hAnsi="Calibri" w:cs="Times New Roman"/>
          <w:i/>
          <w:iCs/>
          <w:color w:val="333333"/>
          <w:sz w:val="20"/>
          <w:szCs w:val="20"/>
        </w:rPr>
        <w:t>Z</w:t>
      </w:r>
      <w:r>
        <w:rPr>
          <w:rFonts w:ascii="Calibri" w:eastAsia="Times New Roman" w:hAnsi="Calibri" w:cs="Times New Roman"/>
          <w:color w:val="333333"/>
          <w:sz w:val="20"/>
          <w:szCs w:val="20"/>
        </w:rPr>
        <w:t> with the same value of </w:t>
      </w:r>
      <w:r>
        <w:rPr>
          <w:rFonts w:ascii="Calibri" w:eastAsia="Times New Roman" w:hAnsi="Calibri" w:cs="Times New Roman"/>
          <w:i/>
          <w:iCs/>
          <w:color w:val="333333"/>
          <w:sz w:val="20"/>
          <w:szCs w:val="20"/>
        </w:rPr>
        <w:t>c</w:t>
      </w:r>
      <w:r>
        <w:rPr>
          <w:rFonts w:ascii="Calibri" w:eastAsia="Times New Roman" w:hAnsi="Calibri" w:cs="Times New Roman"/>
          <w:color w:val="333333"/>
          <w:sz w:val="20"/>
          <w:szCs w:val="20"/>
        </w:rPr>
        <w:t xml:space="preserve">, thereby obtaining the </w:t>
      </w:r>
      <w:r>
        <w:rPr>
          <w:rFonts w:ascii="Calibri" w:eastAsia="Times New Roman" w:hAnsi="Calibri" w:cs="Times New Roman"/>
          <w:i/>
          <w:iCs/>
          <w:color w:val="333333"/>
          <w:sz w:val="20"/>
          <w:szCs w:val="20"/>
        </w:rPr>
        <w:t>z</w:t>
      </w:r>
      <w:r>
        <w:rPr>
          <w:rFonts w:ascii="Calibri" w:eastAsia="Times New Roman" w:hAnsi="Calibri" w:cs="Times New Roman"/>
          <w:color w:val="333333"/>
          <w:sz w:val="20"/>
          <w:szCs w:val="20"/>
        </w:rPr>
        <w:t>-score, </w:t>
      </w:r>
      <w:r>
        <w:rPr>
          <w:rFonts w:ascii="MathJax_Main" w:eastAsia="Times New Roman" w:hAnsi="MathJax_Main" w:cs="Times New Roman"/>
          <w:color w:val="333333"/>
          <w:sz w:val="15"/>
          <w:szCs w:val="15"/>
        </w:rPr>
        <w:t>z*</w:t>
      </w:r>
      <w:r>
        <w:rPr>
          <w:rFonts w:ascii="Calibri" w:eastAsia="Times New Roman" w:hAnsi="Calibri" w:cs="Times New Roman"/>
          <w:color w:val="333333"/>
          <w:sz w:val="20"/>
          <w:szCs w:val="20"/>
        </w:rPr>
        <w:t>, of </w:t>
      </w:r>
      <w:r>
        <w:rPr>
          <w:rFonts w:ascii="MathJax_Main" w:eastAsia="Times New Roman" w:hAnsi="MathJax_Main" w:cs="Times New Roman"/>
          <w:color w:val="333333"/>
          <w:sz w:val="15"/>
          <w:szCs w:val="15"/>
        </w:rPr>
        <w:t>x*</w:t>
      </w:r>
      <w:r>
        <w:rPr>
          <w:rFonts w:ascii="Calibri" w:eastAsia="Times New Roman" w:hAnsi="Calibri" w:cs="Times New Roman"/>
          <w:color w:val="333333"/>
          <w:sz w:val="20"/>
          <w:szCs w:val="20"/>
        </w:rPr>
        <w:t>; (2) find </w:t>
      </w:r>
      <w:r>
        <w:rPr>
          <w:rFonts w:ascii="MathJax_Main" w:eastAsia="Times New Roman" w:hAnsi="MathJax_Main" w:cs="Times New Roman"/>
          <w:color w:val="333333"/>
          <w:sz w:val="15"/>
          <w:szCs w:val="15"/>
        </w:rPr>
        <w:t>x*</w:t>
      </w:r>
      <w:r>
        <w:rPr>
          <w:rFonts w:ascii="Calibri" w:eastAsia="Times New Roman" w:hAnsi="Calibri" w:cs="Times New Roman"/>
          <w:color w:val="333333"/>
          <w:sz w:val="20"/>
          <w:szCs w:val="20"/>
        </w:rPr>
        <w:t> using </w:t>
      </w:r>
      <w:r>
        <w:rPr>
          <w:rFonts w:ascii="MathJax_Main" w:eastAsia="Times New Roman" w:hAnsi="MathJax_Main" w:cs="Times New Roman"/>
          <w:color w:val="333333"/>
          <w:sz w:val="15"/>
          <w:szCs w:val="15"/>
        </w:rPr>
        <w:t>x*=</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+z*</w:t>
      </w:r>
      <w:r>
        <w:rPr>
          <w:rFonts w:ascii="Cambria Math" w:eastAsia="Times New Roman" w:hAnsi="Cambria Math" w:cs="Cambria Math"/>
          <w:color w:val="333333"/>
          <w:sz w:val="15"/>
          <w:szCs w:val="15"/>
        </w:rPr>
        <w:t>⋅</w:t>
      </w:r>
      <w:r>
        <w:rPr>
          <w:rFonts w:ascii="MathJax_Math" w:eastAsia="Times New Roman" w:hAnsi="MathJax_Math" w:cs="Times New Roman"/>
          <w:i/>
          <w:iCs/>
          <w:color w:val="333333"/>
          <w:sz w:val="15"/>
          <w:szCs w:val="15"/>
        </w:rPr>
        <w:t>σ</w:t>
      </w:r>
      <w:r>
        <w:rPr>
          <w:rFonts w:ascii="MathJax_Main" w:eastAsia="Times New Roman" w:hAnsi="MathJax_Main" w:cs="Times New Roman"/>
          <w:color w:val="333333"/>
          <w:sz w:val="15"/>
          <w:szCs w:val="15"/>
        </w:rPr>
        <w:t>.</w:t>
      </w:r>
    </w:p>
    <w:p w:rsidR="00AD77BB" w:rsidRDefault="00B45BA0">
      <w:pPr>
        <w:numPr>
          <w:ilvl w:val="0"/>
          <w:numId w:val="144"/>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value of </w:t>
      </w:r>
      <w:r>
        <w:rPr>
          <w:rFonts w:ascii="Calibri" w:eastAsia="Times New Roman" w:hAnsi="Calibri" w:cs="Times New Roman"/>
          <w:i/>
          <w:iCs/>
          <w:color w:val="333333"/>
          <w:sz w:val="20"/>
          <w:szCs w:val="20"/>
        </w:rPr>
        <w:t>Z</w:t>
      </w:r>
      <w:r>
        <w:rPr>
          <w:rFonts w:ascii="Calibri" w:eastAsia="Times New Roman" w:hAnsi="Calibri" w:cs="Times New Roman"/>
          <w:color w:val="333333"/>
          <w:sz w:val="20"/>
          <w:szCs w:val="20"/>
        </w:rPr>
        <w:t> that cuts off a right tail of area </w:t>
      </w:r>
      <w:r>
        <w:rPr>
          <w:rFonts w:ascii="Calibri" w:eastAsia="Times New Roman" w:hAnsi="Calibri" w:cs="Times New Roman"/>
          <w:i/>
          <w:iCs/>
          <w:color w:val="333333"/>
          <w:sz w:val="20"/>
          <w:szCs w:val="20"/>
        </w:rPr>
        <w:t>c</w:t>
      </w:r>
      <w:r>
        <w:rPr>
          <w:rFonts w:ascii="Calibri" w:eastAsia="Times New Roman" w:hAnsi="Calibri" w:cs="Times New Roman"/>
          <w:color w:val="333333"/>
          <w:sz w:val="20"/>
          <w:szCs w:val="20"/>
        </w:rPr>
        <w:t> in the standard normal distribution is denoted </w:t>
      </w:r>
      <w:r>
        <w:rPr>
          <w:rFonts w:ascii="Calibri" w:eastAsia="Times New Roman" w:hAnsi="Calibri" w:cs="Times New Roman"/>
          <w:i/>
          <w:iCs/>
          <w:color w:val="333333"/>
          <w:sz w:val="20"/>
          <w:szCs w:val="20"/>
        </w:rPr>
        <w:t>z</w:t>
      </w:r>
      <w:r>
        <w:rPr>
          <w:rFonts w:ascii="Calibri" w:eastAsia="Times New Roman" w:hAnsi="Calibri" w:cs="Times New Roman"/>
          <w:i/>
          <w:iCs/>
          <w:color w:val="333333"/>
          <w:sz w:val="15"/>
          <w:szCs w:val="15"/>
          <w:vertAlign w:val="subscript"/>
        </w:rPr>
        <w:t>c</w:t>
      </w:r>
      <w:r>
        <w:rPr>
          <w:rFonts w:ascii="Calibri" w:eastAsia="Times New Roman" w:hAnsi="Calibri" w:cs="Times New Roman"/>
          <w:color w:val="333333"/>
          <w:sz w:val="20"/>
          <w:szCs w:val="20"/>
        </w:rPr>
        <w:t>.</w:t>
      </w:r>
    </w:p>
    <w:p w:rsidR="00AD77BB" w:rsidRDefault="00B45BA0">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24E10385" wp14:editId="6750D783">
            <wp:extent cx="4914900" cy="6048375"/>
            <wp:effectExtent l="0" t="0" r="0" b="9525"/>
            <wp:docPr id="183"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914900" cy="604837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2368A065" wp14:editId="7FDE1A6E">
            <wp:extent cx="4810125" cy="4752975"/>
            <wp:effectExtent l="0" t="0" r="9525" b="9525"/>
            <wp:docPr id="184"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810125" cy="4752975"/>
                    </a:xfrm>
                    <a:prstGeom prst="rect">
                      <a:avLst/>
                    </a:prstGeom>
                    <a:noFill/>
                    <a:ln>
                      <a:noFill/>
                    </a:ln>
                  </pic:spPr>
                </pic:pic>
              </a:graphicData>
            </a:graphic>
          </wp:inline>
        </w:drawing>
      </w:r>
    </w:p>
    <w:p w:rsidR="00AD77BB" w:rsidRDefault="00B45BA0">
      <w:pPr>
        <w:numPr>
          <w:ilvl w:val="0"/>
          <w:numId w:val="14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a normally distributed random variable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with mean 15 and standard deviation 0.25. Find the values </w:t>
      </w:r>
      <w:r>
        <w:rPr>
          <w:rFonts w:ascii="Calibri" w:eastAsia="Times New Roman" w:hAnsi="Calibri" w:cs="Times New Roman"/>
          <w:i/>
          <w:iCs/>
          <w:color w:val="333333"/>
          <w:sz w:val="20"/>
          <w:szCs w:val="20"/>
        </w:rPr>
        <w:t>x</w:t>
      </w:r>
      <w:r>
        <w:rPr>
          <w:rFonts w:ascii="Calibri" w:eastAsia="Times New Roman" w:hAnsi="Calibri" w:cs="Times New Roman"/>
          <w:i/>
          <w:iCs/>
          <w:color w:val="333333"/>
          <w:sz w:val="20"/>
          <w:szCs w:val="20"/>
          <w:vertAlign w:val="subscript"/>
        </w:rPr>
        <w:t>L</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x</w:t>
      </w:r>
      <w:r>
        <w:rPr>
          <w:rFonts w:ascii="Calibri" w:eastAsia="Times New Roman" w:hAnsi="Calibri" w:cs="Times New Roman"/>
          <w:i/>
          <w:iCs/>
          <w:color w:val="333333"/>
          <w:sz w:val="20"/>
          <w:szCs w:val="20"/>
          <w:vertAlign w:val="subscript"/>
        </w:rPr>
        <w:t>R</w:t>
      </w:r>
      <w:r>
        <w:rPr>
          <w:rFonts w:ascii="Calibri" w:eastAsia="Times New Roman" w:hAnsi="Calibri" w:cs="Times New Roman"/>
          <w:color w:val="333333"/>
          <w:sz w:val="20"/>
          <w:szCs w:val="20"/>
        </w:rPr>
        <w:t>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that are symmetrically located with respect to the mean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and satisfy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w:t>
      </w:r>
      <w:r>
        <w:rPr>
          <w:rFonts w:ascii="Calibri" w:eastAsia="Times New Roman" w:hAnsi="Calibri" w:cs="Times New Roman"/>
          <w:i/>
          <w:iCs/>
          <w:color w:val="333333"/>
          <w:sz w:val="20"/>
          <w:szCs w:val="20"/>
        </w:rPr>
        <w:t>x</w:t>
      </w:r>
      <w:r>
        <w:rPr>
          <w:rFonts w:ascii="Calibri" w:eastAsia="Times New Roman" w:hAnsi="Calibri" w:cs="Times New Roman"/>
          <w:i/>
          <w:iCs/>
          <w:color w:val="333333"/>
          <w:sz w:val="20"/>
          <w:szCs w:val="20"/>
          <w:vertAlign w:val="subscript"/>
        </w:rPr>
        <w:t>L</w:t>
      </w:r>
      <w:r>
        <w:rPr>
          <w:rFonts w:ascii="Calibri" w:eastAsia="Times New Roman" w:hAnsi="Calibri" w:cs="Times New Roman"/>
          <w:color w:val="333333"/>
          <w:sz w:val="20"/>
          <w:szCs w:val="20"/>
        </w:rPr>
        <w:t> &lt;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&lt; </w:t>
      </w:r>
      <w:r>
        <w:rPr>
          <w:rFonts w:ascii="Calibri" w:eastAsia="Times New Roman" w:hAnsi="Calibri" w:cs="Times New Roman"/>
          <w:i/>
          <w:iCs/>
          <w:color w:val="333333"/>
          <w:sz w:val="20"/>
          <w:szCs w:val="20"/>
        </w:rPr>
        <w:t>x</w:t>
      </w:r>
      <w:r>
        <w:rPr>
          <w:rFonts w:ascii="Calibri" w:eastAsia="Times New Roman" w:hAnsi="Calibri" w:cs="Times New Roman"/>
          <w:i/>
          <w:iCs/>
          <w:color w:val="333333"/>
          <w:sz w:val="20"/>
          <w:szCs w:val="20"/>
          <w:vertAlign w:val="subscript"/>
        </w:rPr>
        <w:t>R</w:t>
      </w:r>
      <w:r>
        <w:rPr>
          <w:rFonts w:ascii="Calibri" w:eastAsia="Times New Roman" w:hAnsi="Calibri" w:cs="Times New Roman"/>
          <w:color w:val="333333"/>
          <w:sz w:val="20"/>
          <w:szCs w:val="20"/>
        </w:rPr>
        <w:t>) = 0.80. (Hint. First solve the corresponding problem for </w:t>
      </w:r>
      <w:r>
        <w:rPr>
          <w:rFonts w:ascii="Calibri" w:eastAsia="Times New Roman" w:hAnsi="Calibri" w:cs="Times New Roman"/>
          <w:i/>
          <w:iCs/>
          <w:color w:val="333333"/>
          <w:sz w:val="20"/>
          <w:szCs w:val="20"/>
        </w:rPr>
        <w:t>Z</w:t>
      </w:r>
      <w:r>
        <w:rPr>
          <w:rFonts w:ascii="Calibri" w:eastAsia="Times New Roman" w:hAnsi="Calibri" w:cs="Times New Roman"/>
          <w:color w:val="333333"/>
          <w:sz w:val="20"/>
          <w:szCs w:val="20"/>
        </w:rPr>
        <w:t>.)</w:t>
      </w:r>
    </w:p>
    <w:p w:rsidR="00AD77BB" w:rsidRDefault="00B45BA0">
      <w:pPr>
        <w:numPr>
          <w:ilvl w:val="0"/>
          <w:numId w:val="145"/>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a normally distributed random variable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with mean 28 and standard deviation 3.7. Find the values </w:t>
      </w:r>
      <w:r>
        <w:rPr>
          <w:rFonts w:ascii="Calibri" w:eastAsia="Times New Roman" w:hAnsi="Calibri" w:cs="Times New Roman"/>
          <w:i/>
          <w:iCs/>
          <w:color w:val="333333"/>
          <w:sz w:val="20"/>
          <w:szCs w:val="20"/>
        </w:rPr>
        <w:t>x</w:t>
      </w:r>
      <w:r>
        <w:rPr>
          <w:rFonts w:ascii="Calibri" w:eastAsia="Times New Roman" w:hAnsi="Calibri" w:cs="Times New Roman"/>
          <w:i/>
          <w:iCs/>
          <w:color w:val="333333"/>
          <w:sz w:val="20"/>
          <w:szCs w:val="20"/>
          <w:vertAlign w:val="subscript"/>
        </w:rPr>
        <w:t>L</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x</w:t>
      </w:r>
      <w:r>
        <w:rPr>
          <w:rFonts w:ascii="Calibri" w:eastAsia="Times New Roman" w:hAnsi="Calibri" w:cs="Times New Roman"/>
          <w:i/>
          <w:iCs/>
          <w:color w:val="333333"/>
          <w:sz w:val="20"/>
          <w:szCs w:val="20"/>
          <w:vertAlign w:val="subscript"/>
        </w:rPr>
        <w:t>R</w:t>
      </w:r>
      <w:r>
        <w:rPr>
          <w:rFonts w:ascii="Calibri" w:eastAsia="Times New Roman" w:hAnsi="Calibri" w:cs="Times New Roman"/>
          <w:color w:val="333333"/>
          <w:sz w:val="20"/>
          <w:szCs w:val="20"/>
        </w:rPr>
        <w:t>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that are symmetrically located with respect to the mean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and satisfy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w:t>
      </w:r>
      <w:r>
        <w:rPr>
          <w:rFonts w:ascii="Calibri" w:eastAsia="Times New Roman" w:hAnsi="Calibri" w:cs="Times New Roman"/>
          <w:i/>
          <w:iCs/>
          <w:color w:val="333333"/>
          <w:sz w:val="20"/>
          <w:szCs w:val="20"/>
        </w:rPr>
        <w:t>x</w:t>
      </w:r>
      <w:r>
        <w:rPr>
          <w:rFonts w:ascii="Calibri" w:eastAsia="Times New Roman" w:hAnsi="Calibri" w:cs="Times New Roman"/>
          <w:i/>
          <w:iCs/>
          <w:color w:val="333333"/>
          <w:sz w:val="20"/>
          <w:szCs w:val="20"/>
          <w:vertAlign w:val="subscript"/>
        </w:rPr>
        <w:t>L</w:t>
      </w:r>
      <w:r>
        <w:rPr>
          <w:rFonts w:ascii="Calibri" w:eastAsia="Times New Roman" w:hAnsi="Calibri" w:cs="Times New Roman"/>
          <w:color w:val="333333"/>
          <w:sz w:val="20"/>
          <w:szCs w:val="20"/>
        </w:rPr>
        <w:t> &lt;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&lt; </w:t>
      </w:r>
      <w:r>
        <w:rPr>
          <w:rFonts w:ascii="Calibri" w:eastAsia="Times New Roman" w:hAnsi="Calibri" w:cs="Times New Roman"/>
          <w:i/>
          <w:iCs/>
          <w:color w:val="333333"/>
          <w:sz w:val="20"/>
          <w:szCs w:val="20"/>
        </w:rPr>
        <w:t>x</w:t>
      </w:r>
      <w:r>
        <w:rPr>
          <w:rFonts w:ascii="Calibri" w:eastAsia="Times New Roman" w:hAnsi="Calibri" w:cs="Times New Roman"/>
          <w:i/>
          <w:iCs/>
          <w:color w:val="333333"/>
          <w:sz w:val="20"/>
          <w:szCs w:val="20"/>
          <w:vertAlign w:val="subscript"/>
        </w:rPr>
        <w:t>R</w:t>
      </w:r>
      <w:r>
        <w:rPr>
          <w:rFonts w:ascii="Calibri" w:eastAsia="Times New Roman" w:hAnsi="Calibri" w:cs="Times New Roman"/>
          <w:color w:val="333333"/>
          <w:sz w:val="20"/>
          <w:szCs w:val="20"/>
        </w:rPr>
        <w:t>) = 0.65. (Hint. First solve the corresponding problem for </w:t>
      </w:r>
      <w:r>
        <w:rPr>
          <w:rFonts w:ascii="Calibri" w:eastAsia="Times New Roman" w:hAnsi="Calibri" w:cs="Times New Roman"/>
          <w:i/>
          <w:iCs/>
          <w:color w:val="333333"/>
          <w:sz w:val="20"/>
          <w:szCs w:val="20"/>
        </w:rPr>
        <w:t>Z</w:t>
      </w:r>
      <w:r>
        <w:rPr>
          <w:rFonts w:ascii="Calibri" w:eastAsia="Times New Roman" w:hAnsi="Calibri" w:cs="Times New Roman"/>
          <w:color w:val="333333"/>
          <w:sz w:val="20"/>
          <w:szCs w:val="20"/>
        </w:rPr>
        <w:t>.)</w:t>
      </w:r>
    </w:p>
    <w:p w:rsidR="00AD77BB" w:rsidRDefault="00B45BA0">
      <w:pPr>
        <w:shd w:val="clear" w:color="auto" w:fill="DAEEF3" w:themeFill="accent5" w:themeFillTint="33"/>
        <w:spacing w:after="150" w:line="360" w:lineRule="auto"/>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APPLICATIONS</w:t>
      </w:r>
    </w:p>
    <w:p w:rsidR="00AD77BB" w:rsidRDefault="00B45BA0">
      <w:pPr>
        <w:numPr>
          <w:ilvl w:val="0"/>
          <w:numId w:val="14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Scores on a national exam are normally distributed with mean 382 and standard deviation 26.</w:t>
      </w:r>
    </w:p>
    <w:p w:rsidR="00AD77BB" w:rsidRDefault="00B45BA0">
      <w:pPr>
        <w:pStyle w:val="ListParagraph"/>
        <w:numPr>
          <w:ilvl w:val="1"/>
          <w:numId w:val="14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Find the score that is the 50th percentile.</w:t>
      </w:r>
    </w:p>
    <w:p w:rsidR="00AD77BB" w:rsidRDefault="00B45BA0">
      <w:pPr>
        <w:numPr>
          <w:ilvl w:val="1"/>
          <w:numId w:val="14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score that is the 90th percentile.</w:t>
      </w:r>
    </w:p>
    <w:p w:rsidR="00AD77BB" w:rsidRDefault="00B45BA0">
      <w:pPr>
        <w:numPr>
          <w:ilvl w:val="0"/>
          <w:numId w:val="14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Heights of women are normally distributed with mean 63.7 inches and standard deviation 2.47 inches.</w:t>
      </w:r>
    </w:p>
    <w:p w:rsidR="00AD77BB" w:rsidRDefault="00B45BA0">
      <w:pPr>
        <w:pStyle w:val="ListParagraph"/>
        <w:numPr>
          <w:ilvl w:val="1"/>
          <w:numId w:val="14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Find the height that is the 10th percentile.</w:t>
      </w:r>
    </w:p>
    <w:p w:rsidR="00AD77BB" w:rsidRDefault="00B45BA0">
      <w:pPr>
        <w:numPr>
          <w:ilvl w:val="1"/>
          <w:numId w:val="14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height that is the 80th percentile.</w:t>
      </w:r>
    </w:p>
    <w:p w:rsidR="00AD77BB" w:rsidRDefault="00B45BA0">
      <w:pPr>
        <w:numPr>
          <w:ilvl w:val="0"/>
          <w:numId w:val="14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The monthly amount of water used per household in a small community is normally distributed with mean 7,069 gallons and standard deviation 58 gallons. Find the three quartiles for the amount of water used.</w:t>
      </w:r>
    </w:p>
    <w:p w:rsidR="00AD77BB" w:rsidRDefault="00B45BA0">
      <w:pPr>
        <w:numPr>
          <w:ilvl w:val="0"/>
          <w:numId w:val="146"/>
        </w:numPr>
        <w:shd w:val="clear" w:color="auto" w:fill="DAEEF3" w:themeFill="accent5" w:themeFillTint="33"/>
        <w:spacing w:after="0" w:line="360" w:lineRule="auto"/>
        <w:ind w:left="328" w:hangingChars="164" w:hanging="328"/>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quantity of gasoline purchased in a single sale at a chain of filling stations in a certain region is normally distributed with mean 11.6 gallons and standard deviation 2.78 gallons. Find the three quartiles for the quantity of gasoline purchased in a single sale.</w:t>
      </w:r>
    </w:p>
    <w:p w:rsidR="00AD77BB" w:rsidRDefault="00B45BA0">
      <w:pPr>
        <w:numPr>
          <w:ilvl w:val="0"/>
          <w:numId w:val="146"/>
        </w:numPr>
        <w:shd w:val="clear" w:color="auto" w:fill="DAEEF3" w:themeFill="accent5" w:themeFillTint="33"/>
        <w:spacing w:after="0" w:line="360" w:lineRule="auto"/>
        <w:ind w:left="328" w:hangingChars="164" w:hanging="328"/>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Scores on the common final exam given in a large enrollment multiple section course were normally distributed with mean 69.35 and standard deviation 12.93. The department has the rule that in order to receive an A in the course his score must be in the top 10% of all exam scores. Find the minimum exam score that meets this requirement.</w:t>
      </w:r>
    </w:p>
    <w:p w:rsidR="00AD77BB" w:rsidRDefault="00B45BA0">
      <w:pPr>
        <w:numPr>
          <w:ilvl w:val="0"/>
          <w:numId w:val="146"/>
        </w:numPr>
        <w:shd w:val="clear" w:color="auto" w:fill="DAEEF3" w:themeFill="accent5" w:themeFillTint="33"/>
        <w:spacing w:after="0" w:line="360" w:lineRule="auto"/>
        <w:ind w:left="328" w:hangingChars="164" w:hanging="328"/>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average finishing time among all high school boys in a particular track event in a certain state is 5 minutes 17 seconds. Times are normally distributed with standard deviation 12 seconds.</w:t>
      </w:r>
    </w:p>
    <w:p w:rsidR="00AD77BB" w:rsidRDefault="00B45BA0">
      <w:pPr>
        <w:numPr>
          <w:ilvl w:val="1"/>
          <w:numId w:val="14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qualifying time in this event for participation in the state meet is to be set so that only the fastest 5% of all runners qualify. Find the qualifying time. (Hint: Convert seconds to minutes.)</w:t>
      </w:r>
    </w:p>
    <w:p w:rsidR="00AD77BB" w:rsidRDefault="00B45BA0">
      <w:pPr>
        <w:numPr>
          <w:ilvl w:val="1"/>
          <w:numId w:val="14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the western region of the state the times of all boys running in this event are normally distributed with standard deviation 12 seconds, but with mean 5 minutes 22 seconds. Find the proportion of boys from this region who qualify to run in this event in the state meet.</w:t>
      </w:r>
    </w:p>
    <w:p w:rsidR="00AD77BB" w:rsidRDefault="00B45BA0">
      <w:pPr>
        <w:pStyle w:val="para"/>
        <w:numPr>
          <w:ilvl w:val="0"/>
          <w:numId w:val="146"/>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Tests of a new tire developed by a tire manufacturer led to an estimated mean tread life of 67,350 miles and standard deviation of 1,120 miles. The manufacturer will advertise the lifetime of the tire (for example, a “50,000 mile tire”) using the largest value for which it is expected that 98% of the tires will last at least that long. Assuming tire life is normally distributed, find that advertised value.</w:t>
      </w:r>
    </w:p>
    <w:p w:rsidR="00AD77BB" w:rsidRDefault="00B45BA0">
      <w:pPr>
        <w:pStyle w:val="para"/>
        <w:numPr>
          <w:ilvl w:val="0"/>
          <w:numId w:val="146"/>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Tests of a new light led to an estimated mean life of 1,321 hours and standard deviation of 106 hours. The manufacturer will advertise the lifetime of the bulb using the largest value for which it is expected that 90% of the bulbs will last at least that long. Assuming bulb life is normally distributed, find that advertised value.</w:t>
      </w:r>
    </w:p>
    <w:p w:rsidR="00AD77BB" w:rsidRDefault="00B45BA0">
      <w:pPr>
        <w:pStyle w:val="para"/>
        <w:numPr>
          <w:ilvl w:val="0"/>
          <w:numId w:val="146"/>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The weights</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of eggs produced at a particular farm are normally distributed with mean 1.72 ounces and standard deviation 0.12 ounce. Eggs whose weights lie in the middle 75% of the distribution of weights of all eggs are classified as “medium.” Find the maximum and minimum weights of such eggs. (These weights are endpoints of an interval that is symmetric about the mean and in which the weights of 75% of the eggs produced at this farm lie.)</w:t>
      </w:r>
    </w:p>
    <w:p w:rsidR="00AD77BB" w:rsidRDefault="00B45BA0">
      <w:pPr>
        <w:pStyle w:val="para"/>
        <w:numPr>
          <w:ilvl w:val="0"/>
          <w:numId w:val="146"/>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The lengths</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of hardwood flooring strips are normally distributed with mean 28.9 inches and standard deviation 6.12 inches. Strips whose lengths lie in the middle 80% of the distribution of lengths of all strips are classified as “average-length strips.” Find the maximum and minimum lengths of such strips. (These lengths are endpoints of an interval that is symmetric about the mean and in which the lengths of 80% of the hardwood strips lie.)</w:t>
      </w:r>
    </w:p>
    <w:p w:rsidR="00AD77BB" w:rsidRDefault="00B45BA0">
      <w:pPr>
        <w:pStyle w:val="para"/>
        <w:numPr>
          <w:ilvl w:val="0"/>
          <w:numId w:val="146"/>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lastRenderedPageBreak/>
        <w:t>All students in a large enrollment multiple section course take common in-class exams and a common final, and submit common homework assignments. Course grades are assigned based on students' final overall scores, which are approximately normally distributed. The department assigns a C to students whose scores constitute the middle 2/3 of all scores. If scores this semester had mean 72.5 and standard deviation 6.14, find the interval of scores that will be assigned a C.</w:t>
      </w:r>
    </w:p>
    <w:p w:rsidR="00AD77BB" w:rsidRDefault="00B45BA0">
      <w:pPr>
        <w:pStyle w:val="para"/>
        <w:numPr>
          <w:ilvl w:val="0"/>
          <w:numId w:val="146"/>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Researchers wish to investigate the overall health of individuals with abnormally high or low levels of glucose in the blood stream. Suppose glucose levels are normally distributed with mean 96 and standard deviation 8.5 mg/d</w:t>
      </w:r>
      <w:r>
        <w:rPr>
          <w:rStyle w:val="apple-converted-space"/>
          <w:rFonts w:ascii="Calibri" w:hAnsi="Calibri"/>
          <w:color w:val="333333"/>
          <w:sz w:val="20"/>
          <w:szCs w:val="20"/>
        </w:rPr>
        <w:t> </w:t>
      </w:r>
      <w:r>
        <w:rPr>
          <w:rStyle w:val="mi"/>
          <w:rFonts w:ascii="MathJax_Main" w:hAnsi="MathJax_Main"/>
          <w:color w:val="333333"/>
          <w:sz w:val="15"/>
          <w:szCs w:val="15"/>
        </w:rPr>
        <w:t>ℓ</w:t>
      </w:r>
      <w:r>
        <w:rPr>
          <w:rFonts w:ascii="Calibri" w:hAnsi="Calibri"/>
          <w:color w:val="333333"/>
          <w:sz w:val="20"/>
          <w:szCs w:val="20"/>
        </w:rPr>
        <w:t>, and that “normal” is defined as the middle 90% of the population. Find the interval of normal glucose levels, that is, the interval centered at 96 that contains 90% of all glucose levels in the population.</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ADDITIONAL EXERCISES</w:t>
      </w:r>
    </w:p>
    <w:p w:rsidR="00AD77BB" w:rsidRDefault="00B45BA0">
      <w:pPr>
        <w:numPr>
          <w:ilvl w:val="0"/>
          <w:numId w:val="147"/>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machine for filling 2-liter bottles of soft drink delivers an amount to each bottle that varies from bottle to bottle according to a normal distribution with standard deviation 0.002 liter and mean whatever amount the machine is set to deliver.</w:t>
      </w:r>
    </w:p>
    <w:p w:rsidR="00AD77BB" w:rsidRDefault="00B45BA0">
      <w:pPr>
        <w:numPr>
          <w:ilvl w:val="1"/>
          <w:numId w:val="14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 the machine is set to deliver 2 liters (so the mean amount delivered is 2 liters) what proportion of the bottles will contain at least 2 liters of soft drink?</w:t>
      </w:r>
    </w:p>
    <w:p w:rsidR="00AD77BB" w:rsidRDefault="00B45BA0">
      <w:pPr>
        <w:numPr>
          <w:ilvl w:val="1"/>
          <w:numId w:val="14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minimum setting of the mean amount delivered by the machine so that at least 99% of all bottles will contain at least 2 liters.</w:t>
      </w:r>
    </w:p>
    <w:p w:rsidR="00AD77BB" w:rsidRDefault="00B45BA0">
      <w:pPr>
        <w:numPr>
          <w:ilvl w:val="0"/>
          <w:numId w:val="147"/>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nursery has observed that the mean number of days it must darken the environment of a species poinsettia plant daily in order to have it ready for market is 71 days. Suppose the lengths of such periods of darkening are normally distributed with standard deviation 2 days. Find the number of days in advance of the projected delivery dates of the plants to market that the nursery must begin the daily darkening process in order that at least 95% of the plants will be ready on time. (Poinsettias are so long-lived that once ready for market the plant remains salable indefinitely.)</w:t>
      </w:r>
    </w:p>
    <w:p w:rsidR="00AD77BB" w:rsidRDefault="00B45BA0">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6A8E2B4" wp14:editId="180DC6B8">
            <wp:extent cx="5086350" cy="5857875"/>
            <wp:effectExtent l="0" t="0" r="0" b="9525"/>
            <wp:docPr id="185"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086350" cy="585787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638D4494" wp14:editId="3D8CC366">
            <wp:extent cx="5086350" cy="1447800"/>
            <wp:effectExtent l="0" t="0" r="0" b="0"/>
            <wp:docPr id="186"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086350" cy="1447800"/>
                    </a:xfrm>
                    <a:prstGeom prst="rect">
                      <a:avLst/>
                    </a:prstGeom>
                    <a:noFill/>
                    <a:ln>
                      <a:noFill/>
                    </a:ln>
                  </pic:spPr>
                </pic:pic>
              </a:graphicData>
            </a:graphic>
          </wp:inline>
        </w:drawing>
      </w:r>
    </w:p>
    <w:p w:rsidR="00AD77BB" w:rsidRDefault="00B45BA0">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6</w:t>
      </w:r>
    </w:p>
    <w:p w:rsidR="00AD77BB" w:rsidRDefault="00B45BA0">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Sampling Distributions</w:t>
      </w:r>
    </w:p>
    <w:p w:rsidR="00AD77BB" w:rsidRDefault="00B45BA0">
      <w:pPr>
        <w:pStyle w:val="para"/>
        <w:shd w:val="clear" w:color="auto" w:fill="FFFFFF" w:themeFill="background1"/>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 statistic, such as the sample mean or the sample standard deviation, is a number computed from a sample. Since a sample is random, every statistic is a random variable: it varies from sample to sample in a way that cannot be predicted with certainty. As a random variable it has a mean, a standard deviation, and a probability distribution. The probability distribution of a statistic is called its</w:t>
      </w:r>
      <w:r>
        <w:rPr>
          <w:rStyle w:val="marginterm"/>
          <w:rFonts w:ascii="Georgia" w:hAnsi="Georgia"/>
          <w:color w:val="333333"/>
          <w:sz w:val="20"/>
          <w:szCs w:val="20"/>
        </w:rPr>
        <w:t>sampling distribution</w:t>
      </w:r>
      <w:r>
        <w:rPr>
          <w:rFonts w:ascii="Georgia" w:hAnsi="Georgia"/>
          <w:color w:val="333333"/>
          <w:sz w:val="21"/>
          <w:szCs w:val="21"/>
        </w:rPr>
        <w:t>. Typically sample statistics are not ends in themselves, but are computed in order to estimate the corresponding population parameters, as illustrated in the grand picture of statistics presented in</w:t>
      </w:r>
      <w:r>
        <w:rPr>
          <w:rStyle w:val="apple-converted-space"/>
          <w:rFonts w:ascii="Georgia" w:eastAsiaTheme="majorEastAsia" w:hAnsi="Georgia"/>
          <w:color w:val="333333"/>
          <w:sz w:val="21"/>
          <w:szCs w:val="21"/>
        </w:rPr>
        <w:t> </w:t>
      </w:r>
      <w:r>
        <w:rPr>
          <w:rFonts w:ascii="Georgia" w:hAnsi="Georgia"/>
          <w:color w:val="2689C6"/>
          <w:sz w:val="21"/>
          <w:szCs w:val="21"/>
        </w:rPr>
        <w:t>Figure 1.1 "The Grand Picture of Statistics"</w:t>
      </w:r>
      <w:r>
        <w:rPr>
          <w:rStyle w:val="apple-converted-space"/>
          <w:rFonts w:ascii="Georgia" w:eastAsiaTheme="majorEastAsia" w:hAnsi="Georgia"/>
          <w:color w:val="333333"/>
          <w:sz w:val="21"/>
          <w:szCs w:val="21"/>
        </w:rPr>
        <w:t> </w:t>
      </w:r>
      <w:r>
        <w:rPr>
          <w:rFonts w:ascii="Georgia" w:hAnsi="Georgia"/>
          <w:color w:val="333333"/>
          <w:sz w:val="21"/>
          <w:szCs w:val="21"/>
        </w:rPr>
        <w:t>in</w:t>
      </w:r>
      <w:r>
        <w:rPr>
          <w:rStyle w:val="apple-converted-space"/>
          <w:rFonts w:ascii="Georgia" w:eastAsiaTheme="majorEastAsia" w:hAnsi="Georgia"/>
          <w:color w:val="333333"/>
          <w:sz w:val="21"/>
          <w:szCs w:val="21"/>
        </w:rPr>
        <w:t> </w:t>
      </w:r>
      <w:r>
        <w:rPr>
          <w:rFonts w:ascii="Georgia" w:hAnsi="Georgia"/>
          <w:color w:val="2689C6"/>
          <w:sz w:val="21"/>
          <w:szCs w:val="21"/>
        </w:rPr>
        <w:t>Chapter 1 "Introduction"</w:t>
      </w:r>
      <w:r>
        <w:rPr>
          <w:rFonts w:ascii="Georgia" w:hAnsi="Georgia"/>
          <w:color w:val="333333"/>
          <w:sz w:val="21"/>
          <w:szCs w:val="21"/>
        </w:rPr>
        <w:t>.</w:t>
      </w:r>
    </w:p>
    <w:p w:rsidR="00AD77BB" w:rsidRDefault="00AD77BB">
      <w:pPr>
        <w:pStyle w:val="para"/>
        <w:shd w:val="clear" w:color="auto" w:fill="FFFFFF" w:themeFill="background1"/>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themeFill="background1"/>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This chapter introduces the concepts of the mean, the standard deviation, and the sampling distribution of a sample statistic, with an emphasis on the sample mean</w:t>
      </w:r>
      <w:r>
        <w:rPr>
          <w:rStyle w:val="apple-converted-space"/>
          <w:rFonts w:ascii="Georgia" w:eastAsiaTheme="majorEastAsia" w:hAnsi="Georgia"/>
          <w:color w:val="333333"/>
          <w:sz w:val="21"/>
          <w:szCs w:val="21"/>
        </w:rPr>
        <w:t> </w:t>
      </w:r>
      <w:r>
        <w:rPr>
          <w:rStyle w:val="mi"/>
          <w:rFonts w:ascii="MathJax_Math" w:hAnsi="MathJax_Math"/>
          <w:i/>
          <w:iCs/>
          <w:color w:val="333333"/>
          <w:sz w:val="18"/>
          <w:szCs w:val="18"/>
        </w:rPr>
        <w:t>x</w:t>
      </w:r>
      <w:r>
        <w:rPr>
          <w:rStyle w:val="mi"/>
          <w:i/>
          <w:iCs/>
          <w:color w:val="333333"/>
          <w:sz w:val="18"/>
          <w:szCs w:val="18"/>
        </w:rPr>
        <w:t>^</w:t>
      </w:r>
      <w:r>
        <w:rPr>
          <w:rStyle w:val="mo"/>
          <w:rFonts w:ascii="MathJax_Main" w:hAnsi="MathJax_Main"/>
          <w:color w:val="333333"/>
          <w:sz w:val="18"/>
          <w:szCs w:val="18"/>
        </w:rPr>
        <w:t>−.</w:t>
      </w:r>
    </w:p>
    <w:p w:rsidR="00AD77BB" w:rsidRDefault="00AD77BB">
      <w:pPr>
        <w:shd w:val="clear" w:color="auto" w:fill="FFFFFF" w:themeFill="background1"/>
        <w:spacing w:after="0" w:line="360" w:lineRule="auto"/>
        <w:ind w:left="1440" w:right="375"/>
        <w:textAlignment w:val="baseline"/>
        <w:rPr>
          <w:rFonts w:ascii="Calibri" w:eastAsia="Times New Roman" w:hAnsi="Calibri" w:cs="Times New Roman"/>
          <w:color w:val="333333"/>
          <w:sz w:val="20"/>
          <w:szCs w:val="20"/>
        </w:rPr>
      </w:pPr>
    </w:p>
    <w:p w:rsidR="00AD77BB" w:rsidRDefault="00B45B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6.1</w:t>
      </w:r>
      <w:r>
        <w:rPr>
          <w:rStyle w:val="apple-converted-space"/>
          <w:rFonts w:ascii="Calibri" w:hAnsi="Calibri"/>
          <w:color w:val="333333"/>
        </w:rPr>
        <w:t> </w:t>
      </w:r>
      <w:r>
        <w:rPr>
          <w:rFonts w:ascii="Calibri" w:hAnsi="Calibri"/>
          <w:color w:val="333333"/>
        </w:rPr>
        <w:t>The Mean and Standard Deviation of the Sample Mean</w:t>
      </w:r>
    </w:p>
    <w:p w:rsidR="00AD77BB" w:rsidRDefault="00AD77BB"/>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AD77BB" w:rsidRDefault="00B45BA0">
      <w:pPr>
        <w:numPr>
          <w:ilvl w:val="0"/>
          <w:numId w:val="148"/>
        </w:numPr>
        <w:shd w:val="clear" w:color="auto" w:fill="EAE9DC"/>
        <w:spacing w:after="0" w:line="360" w:lineRule="auto"/>
        <w:ind w:left="360" w:right="374"/>
        <w:textAlignment w:val="baseline"/>
        <w:rPr>
          <w:rFonts w:ascii="Calibri" w:hAnsi="Calibri"/>
          <w:color w:val="333333"/>
          <w:sz w:val="20"/>
          <w:szCs w:val="20"/>
        </w:rPr>
      </w:pPr>
      <w:r>
        <w:rPr>
          <w:rFonts w:ascii="Calibri" w:hAnsi="Calibri"/>
          <w:color w:val="333333"/>
          <w:sz w:val="20"/>
          <w:szCs w:val="20"/>
        </w:rPr>
        <w:t>To become familiar with the concept of the probability distribution of the sample mean.</w:t>
      </w:r>
    </w:p>
    <w:p w:rsidR="00AD77BB" w:rsidRDefault="00B45BA0">
      <w:pPr>
        <w:numPr>
          <w:ilvl w:val="0"/>
          <w:numId w:val="148"/>
        </w:numPr>
        <w:shd w:val="clear" w:color="auto" w:fill="EAE9DC"/>
        <w:spacing w:after="0" w:line="360" w:lineRule="auto"/>
        <w:ind w:left="360" w:right="374"/>
        <w:textAlignment w:val="baseline"/>
        <w:rPr>
          <w:rFonts w:ascii="Calibri" w:hAnsi="Calibri"/>
          <w:color w:val="333333"/>
          <w:sz w:val="20"/>
          <w:szCs w:val="20"/>
        </w:rPr>
      </w:pPr>
      <w:r>
        <w:rPr>
          <w:rFonts w:ascii="Calibri" w:hAnsi="Calibri"/>
          <w:color w:val="333333"/>
          <w:sz w:val="20"/>
          <w:szCs w:val="20"/>
        </w:rPr>
        <w:t>To understand the meaning of the formulas for the mean and standard deviation of the sample mean.</w:t>
      </w:r>
    </w:p>
    <w:p w:rsidR="00AD77BB" w:rsidRDefault="00AD77BB">
      <w:pPr>
        <w:shd w:val="clear" w:color="auto" w:fill="FFFFFF" w:themeFill="background1"/>
        <w:spacing w:after="0" w:line="360" w:lineRule="auto"/>
        <w:ind w:right="375"/>
        <w:textAlignment w:val="baseline"/>
        <w:rPr>
          <w:rFonts w:ascii="Georgia" w:hAnsi="Georgia"/>
          <w:color w:val="333333"/>
          <w:sz w:val="20"/>
          <w:szCs w:val="20"/>
          <w:shd w:val="clear" w:color="auto" w:fill="FFFFFF"/>
        </w:rPr>
      </w:pPr>
    </w:p>
    <w:p w:rsidR="00AD77BB" w:rsidRDefault="00B45BA0">
      <w:pPr>
        <w:shd w:val="clear" w:color="auto" w:fill="FFFFFF" w:themeFill="background1"/>
        <w:spacing w:after="0" w:line="360" w:lineRule="auto"/>
        <w:ind w:right="375"/>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Suppose we wish to estimate the mean</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μ</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of a population. In actual practice we would typically take just one sample. Imagine however that we take sample after sample, all of the same size</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n</w:t>
      </w:r>
      <w:r>
        <w:rPr>
          <w:rFonts w:ascii="Georgia" w:hAnsi="Georgia"/>
          <w:color w:val="333333"/>
          <w:sz w:val="20"/>
          <w:szCs w:val="20"/>
          <w:shd w:val="clear" w:color="auto" w:fill="FFFFFF"/>
        </w:rPr>
        <w:t>, and compute the sample mean</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shd w:val="clear" w:color="auto" w:fill="FFFFFF"/>
        </w:rPr>
        <w:t>x</w:t>
      </w:r>
      <w:r>
        <w:rPr>
          <w:rStyle w:val="mi"/>
          <w:rFonts w:ascii="Times New Roman" w:hAnsi="Times New Roman" w:cs="Times New Roman"/>
          <w:i/>
          <w:iCs/>
          <w:color w:val="333333"/>
          <w:sz w:val="18"/>
          <w:szCs w:val="18"/>
          <w:shd w:val="clear" w:color="auto" w:fill="FFFFFF"/>
        </w:rPr>
        <w:t>^</w:t>
      </w:r>
      <w:r>
        <w:rPr>
          <w:rStyle w:val="mo"/>
          <w:rFonts w:ascii="MathJax_Main" w:hAnsi="MathJax_Main"/>
          <w:color w:val="333333"/>
          <w:sz w:val="18"/>
          <w:szCs w:val="18"/>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of each one. We will likely get a different value of</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shd w:val="clear" w:color="auto" w:fill="FFFFFF"/>
        </w:rPr>
        <w:t>x</w:t>
      </w:r>
      <w:r>
        <w:rPr>
          <w:rStyle w:val="mi"/>
          <w:rFonts w:ascii="Times New Roman" w:hAnsi="Times New Roman" w:cs="Times New Roman"/>
          <w:i/>
          <w:iCs/>
          <w:color w:val="333333"/>
          <w:sz w:val="18"/>
          <w:szCs w:val="18"/>
          <w:shd w:val="clear" w:color="auto" w:fill="FFFFFF"/>
        </w:rPr>
        <w:t>^</w:t>
      </w:r>
      <w:r>
        <w:rPr>
          <w:rStyle w:val="mo"/>
          <w:rFonts w:ascii="MathJax_Main" w:hAnsi="MathJax_Main"/>
          <w:color w:val="333333"/>
          <w:sz w:val="18"/>
          <w:szCs w:val="18"/>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each time. The sample mean</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shd w:val="clear" w:color="auto" w:fill="FFFFFF"/>
        </w:rPr>
        <w:t>x</w:t>
      </w:r>
      <w:r>
        <w:rPr>
          <w:rStyle w:val="mi"/>
          <w:rFonts w:ascii="Times New Roman" w:hAnsi="Times New Roman" w:cs="Times New Roman"/>
          <w:i/>
          <w:iCs/>
          <w:color w:val="333333"/>
          <w:sz w:val="18"/>
          <w:szCs w:val="18"/>
          <w:shd w:val="clear" w:color="auto" w:fill="FFFFFF"/>
        </w:rPr>
        <w:t>^</w:t>
      </w:r>
      <w:r>
        <w:rPr>
          <w:rStyle w:val="mo"/>
          <w:rFonts w:ascii="MathJax_Main" w:hAnsi="MathJax_Main"/>
          <w:color w:val="333333"/>
          <w:sz w:val="18"/>
          <w:szCs w:val="18"/>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is a random variable: it varies from sample to sample in a way that cannot be predicted with certainty. We will write</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5"/>
          <w:szCs w:val="15"/>
          <w:shd w:val="clear" w:color="auto" w:fill="FFFFFF"/>
        </w:rPr>
        <w:t>X</w:t>
      </w:r>
      <w:r>
        <w:rPr>
          <w:rStyle w:val="mi"/>
          <w:rFonts w:ascii="Times New Roman" w:hAnsi="Times New Roman" w:cs="Times New Roman"/>
          <w:i/>
          <w:iCs/>
          <w:color w:val="333333"/>
          <w:sz w:val="15"/>
          <w:szCs w:val="15"/>
          <w:shd w:val="clear" w:color="auto" w:fill="FFFFFF"/>
        </w:rPr>
        <w:t>^</w:t>
      </w:r>
      <w:r>
        <w:rPr>
          <w:rStyle w:val="mo"/>
          <w:rFonts w:ascii="MathJax_Main" w:hAnsi="MathJax_Main"/>
          <w:color w:val="333333"/>
          <w:sz w:val="18"/>
          <w:szCs w:val="18"/>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when the sample mean is thought of as a random variable, and write</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shd w:val="clear" w:color="auto" w:fill="FFFFFF"/>
        </w:rPr>
        <w:t>x</w:t>
      </w:r>
      <w:r>
        <w:rPr>
          <w:rStyle w:val="mi"/>
          <w:rFonts w:ascii="Times New Roman" w:hAnsi="Times New Roman" w:cs="Times New Roman"/>
          <w:i/>
          <w:iCs/>
          <w:color w:val="333333"/>
          <w:sz w:val="18"/>
          <w:szCs w:val="18"/>
          <w:shd w:val="clear" w:color="auto" w:fill="FFFFFF"/>
        </w:rPr>
        <w:t>^</w:t>
      </w:r>
      <w:r>
        <w:rPr>
          <w:rStyle w:val="mo"/>
          <w:rFonts w:ascii="MathJax_Main" w:hAnsi="MathJax_Main"/>
          <w:color w:val="333333"/>
          <w:sz w:val="18"/>
          <w:szCs w:val="18"/>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for the values that it takes. The random variable</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5"/>
          <w:szCs w:val="15"/>
          <w:shd w:val="clear" w:color="auto" w:fill="FFFFFF"/>
        </w:rPr>
        <w:t>X</w:t>
      </w:r>
      <w:r>
        <w:rPr>
          <w:rStyle w:val="mi"/>
          <w:rFonts w:ascii="Times New Roman" w:hAnsi="Times New Roman" w:cs="Times New Roman"/>
          <w:i/>
          <w:iCs/>
          <w:color w:val="333333"/>
          <w:sz w:val="15"/>
          <w:szCs w:val="15"/>
          <w:shd w:val="clear" w:color="auto" w:fill="FFFFFF"/>
        </w:rPr>
        <w:t>^</w:t>
      </w:r>
      <w:r>
        <w:rPr>
          <w:rStyle w:val="mo"/>
          <w:rFonts w:ascii="MathJax_Main" w:hAnsi="MathJax_Main"/>
          <w:color w:val="333333"/>
          <w:sz w:val="18"/>
          <w:szCs w:val="18"/>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has a</w:t>
      </w:r>
      <w:r>
        <w:rPr>
          <w:rStyle w:val="apple-converted-space"/>
          <w:rFonts w:ascii="Georgia" w:hAnsi="Georgia"/>
          <w:color w:val="333333"/>
          <w:sz w:val="20"/>
          <w:szCs w:val="20"/>
          <w:shd w:val="clear" w:color="auto" w:fill="FFFFFF"/>
        </w:rPr>
        <w:t> </w:t>
      </w:r>
      <w:r>
        <w:rPr>
          <w:rStyle w:val="marginterm"/>
          <w:rFonts w:ascii="Georgia" w:hAnsi="Georgia"/>
          <w:color w:val="333333"/>
          <w:sz w:val="20"/>
          <w:szCs w:val="20"/>
          <w:shd w:val="clear" w:color="auto" w:fill="FFFFFF"/>
        </w:rPr>
        <w:t>mean</w:t>
      </w:r>
      <w:r>
        <w:rPr>
          <w:rFonts w:ascii="Georgia" w:hAnsi="Georgia"/>
          <w:color w:val="333333"/>
          <w:sz w:val="20"/>
          <w:szCs w:val="20"/>
          <w:shd w:val="clear" w:color="auto" w:fill="FFFFFF"/>
        </w:rPr>
        <w:t>, denoted</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shd w:val="clear" w:color="auto" w:fill="FFFFFF"/>
        </w:rPr>
        <w:t>μ</w:t>
      </w:r>
      <w:r>
        <w:rPr>
          <w:rStyle w:val="mi"/>
          <w:rFonts w:ascii="MathJax_Math" w:hAnsi="MathJax_Math"/>
          <w:i/>
          <w:iCs/>
          <w:color w:val="333333"/>
          <w:sz w:val="14"/>
          <w:szCs w:val="14"/>
          <w:shd w:val="clear" w:color="auto" w:fill="FFFFFF"/>
        </w:rPr>
        <w:t>X</w:t>
      </w:r>
      <w:r>
        <w:rPr>
          <w:rStyle w:val="mi"/>
          <w:rFonts w:ascii="Times New Roman" w:hAnsi="Times New Roman" w:cs="Times New Roman"/>
          <w:i/>
          <w:iCs/>
          <w:color w:val="333333"/>
          <w:sz w:val="14"/>
          <w:szCs w:val="14"/>
          <w:shd w:val="clear" w:color="auto" w:fill="FFFFFF"/>
        </w:rPr>
        <w:t>^</w:t>
      </w:r>
      <w:r>
        <w:rPr>
          <w:rStyle w:val="mo"/>
          <w:rFonts w:ascii="MathJax_Main" w:hAnsi="MathJax_Main"/>
          <w:color w:val="333333"/>
          <w:sz w:val="14"/>
          <w:szCs w:val="14"/>
          <w:shd w:val="clear" w:color="auto" w:fill="FFFFFF"/>
        </w:rPr>
        <w:t>−−</w:t>
      </w:r>
      <w:r>
        <w:rPr>
          <w:rFonts w:ascii="Georgia" w:hAnsi="Georgia"/>
          <w:color w:val="333333"/>
          <w:sz w:val="20"/>
          <w:szCs w:val="20"/>
          <w:shd w:val="clear" w:color="auto" w:fill="FFFFFF"/>
        </w:rPr>
        <w:t>, and a</w:t>
      </w:r>
      <w:r>
        <w:rPr>
          <w:rStyle w:val="apple-converted-space"/>
          <w:rFonts w:ascii="Georgia" w:hAnsi="Georgia"/>
          <w:color w:val="333333"/>
          <w:sz w:val="20"/>
          <w:szCs w:val="20"/>
          <w:shd w:val="clear" w:color="auto" w:fill="FFFFFF"/>
        </w:rPr>
        <w:t> </w:t>
      </w:r>
      <w:r>
        <w:rPr>
          <w:rStyle w:val="marginterm"/>
          <w:rFonts w:ascii="Georgia" w:hAnsi="Georgia"/>
          <w:color w:val="333333"/>
          <w:sz w:val="20"/>
          <w:szCs w:val="20"/>
          <w:shd w:val="clear" w:color="auto" w:fill="FFFFFF"/>
        </w:rPr>
        <w:t>standard deviation</w:t>
      </w:r>
      <w:r>
        <w:rPr>
          <w:rFonts w:ascii="Georgia" w:hAnsi="Georgia"/>
          <w:color w:val="333333"/>
          <w:sz w:val="20"/>
          <w:szCs w:val="20"/>
          <w:shd w:val="clear" w:color="auto" w:fill="FFFFFF"/>
        </w:rPr>
        <w:t>, denoted</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shd w:val="clear" w:color="auto" w:fill="FFFFFF"/>
        </w:rPr>
        <w:t>σ</w:t>
      </w:r>
      <w:r>
        <w:rPr>
          <w:rStyle w:val="mi"/>
          <w:rFonts w:ascii="MathJax_Math" w:hAnsi="MathJax_Math"/>
          <w:i/>
          <w:iCs/>
          <w:color w:val="333333"/>
          <w:sz w:val="14"/>
          <w:szCs w:val="14"/>
          <w:shd w:val="clear" w:color="auto" w:fill="FFFFFF"/>
        </w:rPr>
        <w:t>X</w:t>
      </w:r>
      <w:r>
        <w:rPr>
          <w:rStyle w:val="mi"/>
          <w:rFonts w:ascii="Times New Roman" w:hAnsi="Times New Roman" w:cs="Times New Roman"/>
          <w:i/>
          <w:iCs/>
          <w:color w:val="333333"/>
          <w:sz w:val="14"/>
          <w:szCs w:val="14"/>
          <w:shd w:val="clear" w:color="auto" w:fill="FFFFFF"/>
        </w:rPr>
        <w:t>^</w:t>
      </w:r>
      <w:r>
        <w:rPr>
          <w:rStyle w:val="mo"/>
          <w:rFonts w:ascii="MathJax_Main" w:hAnsi="MathJax_Main"/>
          <w:color w:val="333333"/>
          <w:sz w:val="14"/>
          <w:szCs w:val="14"/>
          <w:shd w:val="clear" w:color="auto" w:fill="FFFFFF"/>
        </w:rPr>
        <w:t>−−</w:t>
      </w:r>
      <w:r>
        <w:rPr>
          <w:rStyle w:val="mo"/>
          <w:rFonts w:ascii="MathJax_Main" w:hAnsi="MathJax_Main"/>
          <w:color w:val="333333"/>
          <w:sz w:val="18"/>
          <w:szCs w:val="18"/>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Here is an example with such a small population and small sample size that we can actually write down every single sample.</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1</w:t>
      </w:r>
    </w:p>
    <w:p w:rsidR="00AD77BB" w:rsidRDefault="00B45BA0">
      <w:pPr>
        <w:pStyle w:val="para"/>
        <w:spacing w:before="0" w:beforeAutospacing="0" w:after="0" w:afterAutospacing="0" w:line="360" w:lineRule="auto"/>
        <w:ind w:left="302" w:right="374"/>
        <w:textAlignment w:val="baseline"/>
        <w:rPr>
          <w:rStyle w:val="mo"/>
          <w:rFonts w:ascii="MathJax_Main" w:hAnsi="MathJax_Main"/>
          <w:color w:val="333333"/>
          <w:sz w:val="15"/>
          <w:szCs w:val="15"/>
        </w:rPr>
      </w:pPr>
      <w:r>
        <w:rPr>
          <w:rFonts w:ascii="Calibri" w:hAnsi="Calibri"/>
          <w:color w:val="333333"/>
          <w:sz w:val="21"/>
          <w:szCs w:val="21"/>
        </w:rPr>
        <w:t>A rowing team consists of four rowers who weigh 152, 156, 160, and 164 pounds. Find all possible random samples with replacement of size two and compute the sample mean for each one. Use them to find the probability distribution, the mean, and the standard deviation of the sample mean</w:t>
      </w:r>
      <w:r>
        <w:rPr>
          <w:rStyle w:val="apple-converted-space"/>
          <w:rFonts w:ascii="Calibri" w:hAnsi="Calibri"/>
          <w:color w:val="333333"/>
          <w:sz w:val="21"/>
          <w:szCs w:val="21"/>
        </w:rPr>
        <w:t> </w:t>
      </w:r>
      <w:r>
        <w:rPr>
          <w:rStyle w:val="mi"/>
          <w:rFonts w:ascii="MathJax_Math" w:hAnsi="MathJax_Math"/>
          <w:i/>
          <w:iCs/>
          <w:color w:val="333333"/>
          <w:sz w:val="15"/>
          <w:szCs w:val="15"/>
        </w:rPr>
        <w:t>X</w:t>
      </w:r>
      <w:r>
        <w:rPr>
          <w:rStyle w:val="mi"/>
          <w:i/>
          <w:iCs/>
          <w:color w:val="333333"/>
          <w:sz w:val="15"/>
          <w:szCs w:val="15"/>
        </w:rPr>
        <w:t>^</w:t>
      </w:r>
      <w:r>
        <w:rPr>
          <w:rStyle w:val="mo"/>
          <w:rFonts w:ascii="MathJax_Main" w:hAnsi="MathJax_Main"/>
          <w:color w:val="333333"/>
          <w:sz w:val="15"/>
          <w:szCs w:val="15"/>
        </w:rPr>
        <w:t>−−.</w:t>
      </w:r>
    </w:p>
    <w:p w:rsidR="00AD77BB" w:rsidRDefault="00AD77BB">
      <w:pPr>
        <w:pStyle w:val="para"/>
        <w:spacing w:before="0" w:beforeAutospacing="0" w:after="0" w:afterAutospacing="0" w:line="360" w:lineRule="auto"/>
        <w:ind w:left="302" w:right="374"/>
        <w:textAlignment w:val="baseline"/>
        <w:rPr>
          <w:rFonts w:ascii="Calibri" w:hAnsi="Calibri"/>
          <w:sz w:val="21"/>
          <w:szCs w:val="21"/>
        </w:rPr>
      </w:pPr>
    </w:p>
    <w:p w:rsidR="00AD77BB" w:rsidRDefault="00B45BA0">
      <w:pPr>
        <w:pStyle w:val="simpara"/>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Solution</w:t>
      </w:r>
    </w:p>
    <w:p w:rsidR="00AD77BB" w:rsidRDefault="00AD77BB">
      <w:pPr>
        <w:pStyle w:val="simpara"/>
        <w:spacing w:before="150" w:beforeAutospacing="0" w:after="0" w:afterAutospacing="0" w:line="360" w:lineRule="auto"/>
        <w:ind w:left="302" w:right="374"/>
        <w:textAlignment w:val="baseline"/>
        <w:rPr>
          <w:rFonts w:ascii="Calibri" w:hAnsi="Calibri"/>
          <w:color w:val="333333"/>
          <w:sz w:val="21"/>
          <w:szCs w:val="21"/>
        </w:rPr>
      </w:pPr>
    </w:p>
    <w:p w:rsidR="00AD77BB" w:rsidRDefault="00B45BA0">
      <w:pPr>
        <w:pStyle w:val="para"/>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The following table shows all possible samples with replacement of size two, along with the mean of each:</w:t>
      </w:r>
    </w:p>
    <w:tbl>
      <w:tblPr>
        <w:tblW w:w="0" w:type="auto"/>
        <w:tblCellMar>
          <w:left w:w="0" w:type="dxa"/>
          <w:right w:w="0" w:type="dxa"/>
        </w:tblCellMar>
        <w:tblLook w:val="04A0" w:firstRow="1" w:lastRow="0" w:firstColumn="1" w:lastColumn="0" w:noHBand="0" w:noVBand="1"/>
      </w:tblPr>
      <w:tblGrid>
        <w:gridCol w:w="889"/>
        <w:gridCol w:w="656"/>
        <w:gridCol w:w="198"/>
        <w:gridCol w:w="889"/>
        <w:gridCol w:w="656"/>
        <w:gridCol w:w="198"/>
        <w:gridCol w:w="889"/>
        <w:gridCol w:w="656"/>
        <w:gridCol w:w="198"/>
        <w:gridCol w:w="889"/>
        <w:gridCol w:w="656"/>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1"/>
                <w:szCs w:val="21"/>
              </w:rPr>
            </w:pPr>
            <w:r>
              <w:rPr>
                <w:b/>
                <w:bCs/>
                <w:color w:val="F48800"/>
                <w:sz w:val="21"/>
                <w:szCs w:val="21"/>
              </w:rPr>
              <w:t>Sample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1"/>
                <w:szCs w:val="21"/>
              </w:rPr>
            </w:pPr>
            <w:r>
              <w:rPr>
                <w:b/>
                <w:bCs/>
                <w:color w:val="F48800"/>
                <w:sz w:val="21"/>
                <w:szCs w:val="21"/>
              </w:rPr>
              <w:t>Mean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1"/>
                <w:szCs w:val="21"/>
              </w:rPr>
            </w:pPr>
            <w:r>
              <w:rPr>
                <w:b/>
                <w:bCs/>
                <w:color w:val="F48800"/>
                <w:sz w:val="21"/>
                <w:szCs w:val="21"/>
              </w:rPr>
              <w: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1"/>
                <w:szCs w:val="21"/>
              </w:rPr>
            </w:pPr>
            <w:r>
              <w:rPr>
                <w:b/>
                <w:bCs/>
                <w:color w:val="F48800"/>
                <w:sz w:val="21"/>
                <w:szCs w:val="21"/>
              </w:rPr>
              <w:t>Sample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1"/>
                <w:szCs w:val="21"/>
              </w:rPr>
            </w:pPr>
            <w:r>
              <w:rPr>
                <w:b/>
                <w:bCs/>
                <w:color w:val="F48800"/>
                <w:sz w:val="21"/>
                <w:szCs w:val="21"/>
              </w:rPr>
              <w:t>Mean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1"/>
                <w:szCs w:val="21"/>
              </w:rPr>
            </w:pPr>
            <w:r>
              <w:rPr>
                <w:b/>
                <w:bCs/>
                <w:color w:val="F48800"/>
                <w:sz w:val="21"/>
                <w:szCs w:val="21"/>
              </w:rPr>
              <w: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1"/>
                <w:szCs w:val="21"/>
              </w:rPr>
            </w:pPr>
            <w:r>
              <w:rPr>
                <w:b/>
                <w:bCs/>
                <w:color w:val="F48800"/>
                <w:sz w:val="21"/>
                <w:szCs w:val="21"/>
              </w:rPr>
              <w:t>Sample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1"/>
                <w:szCs w:val="21"/>
              </w:rPr>
            </w:pPr>
            <w:r>
              <w:rPr>
                <w:b/>
                <w:bCs/>
                <w:color w:val="F48800"/>
                <w:sz w:val="21"/>
                <w:szCs w:val="21"/>
              </w:rPr>
              <w:t>Mean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1"/>
                <w:szCs w:val="21"/>
              </w:rPr>
            </w:pPr>
            <w:r>
              <w:rPr>
                <w:b/>
                <w:bCs/>
                <w:color w:val="F48800"/>
                <w:sz w:val="21"/>
                <w:szCs w:val="21"/>
              </w:rPr>
              <w: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1"/>
                <w:szCs w:val="21"/>
              </w:rPr>
            </w:pPr>
            <w:r>
              <w:rPr>
                <w:b/>
                <w:bCs/>
                <w:color w:val="F48800"/>
                <w:sz w:val="21"/>
                <w:szCs w:val="21"/>
              </w:rPr>
              <w:t>Sample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1"/>
                <w:szCs w:val="21"/>
              </w:rPr>
            </w:pPr>
            <w:r>
              <w:rPr>
                <w:b/>
                <w:bCs/>
                <w:color w:val="F48800"/>
                <w:sz w:val="21"/>
                <w:szCs w:val="21"/>
              </w:rPr>
              <w:t>Mean</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152, 152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156, 152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160, 152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164, 152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158</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152, 156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156, 156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160, 156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164, 156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160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152, 160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156, 160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160, 160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164, 160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162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152, 164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156, 164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160, 164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164, 164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1"/>
                <w:szCs w:val="21"/>
              </w:rPr>
            </w:pPr>
            <w:r>
              <w:rPr>
                <w:sz w:val="21"/>
                <w:szCs w:val="21"/>
              </w:rPr>
              <w:t>164</w:t>
            </w:r>
          </w:p>
        </w:tc>
      </w:tr>
    </w:tbl>
    <w:p w:rsidR="00AD77BB" w:rsidRDefault="00B45BA0">
      <w:pPr>
        <w:shd w:val="clear" w:color="auto" w:fill="FFFFFF" w:themeFill="background1"/>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5C30ED87" wp14:editId="5C154D33">
            <wp:extent cx="4981575" cy="4772025"/>
            <wp:effectExtent l="0" t="0" r="9525" b="9525"/>
            <wp:docPr id="187"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981575" cy="477202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83F92B7" wp14:editId="79EC539D">
            <wp:extent cx="5029200" cy="5172075"/>
            <wp:effectExtent l="0" t="0" r="0" b="9525"/>
            <wp:docPr id="188"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029200" cy="5172075"/>
                    </a:xfrm>
                    <a:prstGeom prst="rect">
                      <a:avLst/>
                    </a:prstGeom>
                    <a:noFill/>
                    <a:ln>
                      <a:noFill/>
                    </a:ln>
                  </pic:spPr>
                </pic:pic>
              </a:graphicData>
            </a:graphic>
          </wp:inline>
        </w:drawing>
      </w:r>
    </w:p>
    <w:p w:rsidR="00AD77BB" w:rsidRDefault="00AD77BB">
      <w:pPr>
        <w:shd w:val="clear" w:color="auto" w:fill="FFFFFF" w:themeFill="background1"/>
        <w:spacing w:after="0" w:line="360" w:lineRule="auto"/>
        <w:ind w:right="375"/>
        <w:textAlignment w:val="baseline"/>
        <w:rPr>
          <w:rFonts w:ascii="Calibri" w:eastAsia="Times New Roman" w:hAnsi="Calibri" w:cs="Times New Roman"/>
          <w:color w:val="333333"/>
          <w:sz w:val="20"/>
          <w:szCs w:val="20"/>
        </w:rPr>
      </w:pPr>
    </w:p>
    <w:p w:rsidR="00AD77BB" w:rsidRDefault="00B45BA0">
      <w:pPr>
        <w:shd w:val="clear" w:color="auto" w:fill="FFFFFF" w:themeFill="background1"/>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A50A5C4" wp14:editId="02F45A73">
            <wp:extent cx="5124450" cy="4095750"/>
            <wp:effectExtent l="0" t="0" r="0" b="0"/>
            <wp:docPr id="189"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24450" cy="4095750"/>
                    </a:xfrm>
                    <a:prstGeom prst="rect">
                      <a:avLst/>
                    </a:prstGeom>
                    <a:noFill/>
                    <a:ln>
                      <a:noFill/>
                    </a:ln>
                  </pic:spPr>
                </pic:pic>
              </a:graphicData>
            </a:graphic>
          </wp:inline>
        </w:drawing>
      </w: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AD77BB" w:rsidRDefault="00B45BA0">
      <w:pPr>
        <w:numPr>
          <w:ilvl w:val="0"/>
          <w:numId w:val="149"/>
        </w:numPr>
        <w:shd w:val="clear" w:color="auto" w:fill="ECF9EA"/>
        <w:spacing w:after="0"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sample mean is a random variable; as such it is written </w:t>
      </w:r>
      <w:r>
        <w:rPr>
          <w:rFonts w:ascii="MathJax_Math" w:eastAsia="Times New Roman" w:hAnsi="MathJax_Math" w:cs="Times New Roman"/>
          <w:i/>
          <w:iCs/>
          <w:color w:val="333333"/>
          <w:sz w:val="12"/>
          <w:szCs w:val="12"/>
        </w:rPr>
        <w:t>X</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and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stands for individual values it takes.</w:t>
      </w:r>
    </w:p>
    <w:p w:rsidR="00AD77BB" w:rsidRDefault="00B45BA0">
      <w:pPr>
        <w:numPr>
          <w:ilvl w:val="0"/>
          <w:numId w:val="149"/>
        </w:numPr>
        <w:shd w:val="clear" w:color="auto" w:fill="ECF9EA"/>
        <w:spacing w:after="0"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 a random variable the sample mean has a probability distribution, a mean </w:t>
      </w:r>
      <w:r>
        <w:rPr>
          <w:rFonts w:ascii="MathJax_Math" w:eastAsia="Times New Roman" w:hAnsi="MathJax_Math" w:cs="Times New Roman"/>
          <w:i/>
          <w:iCs/>
          <w:color w:val="333333"/>
          <w:sz w:val="15"/>
          <w:szCs w:val="15"/>
        </w:rPr>
        <w:t>μ</w:t>
      </w:r>
      <w:r>
        <w:rPr>
          <w:rFonts w:ascii="MathJax_Math" w:eastAsia="Times New Roman" w:hAnsi="MathJax_Math" w:cs="Times New Roman"/>
          <w:i/>
          <w:iCs/>
          <w:color w:val="333333"/>
          <w:sz w:val="12"/>
          <w:szCs w:val="12"/>
          <w:vertAlign w:val="subscript"/>
        </w:rPr>
        <w:t>X</w:t>
      </w:r>
      <w:r>
        <w:rPr>
          <w:rFonts w:ascii="MathJax_Main" w:eastAsia="Times New Roman" w:hAnsi="MathJax_Main" w:cs="Times New Roman"/>
          <w:color w:val="333333"/>
          <w:sz w:val="12"/>
          <w:szCs w:val="12"/>
          <w:vertAlign w:val="subscript"/>
        </w:rPr>
        <w:t>−−</w:t>
      </w:r>
      <w:r>
        <w:rPr>
          <w:rFonts w:ascii="Calibri" w:eastAsia="Times New Roman" w:hAnsi="Calibri" w:cs="Times New Roman"/>
          <w:color w:val="333333"/>
          <w:sz w:val="20"/>
          <w:szCs w:val="20"/>
        </w:rPr>
        <w:t>, and a standard deviation </w:t>
      </w:r>
      <w:r>
        <w:rPr>
          <w:rFonts w:ascii="MathJax_Math" w:eastAsia="Times New Roman" w:hAnsi="MathJax_Math" w:cs="Times New Roman"/>
          <w:i/>
          <w:iCs/>
          <w:color w:val="333333"/>
          <w:sz w:val="15"/>
          <w:szCs w:val="15"/>
        </w:rPr>
        <w:t>σ</w:t>
      </w:r>
      <w:r>
        <w:rPr>
          <w:rFonts w:ascii="MathJax_Math" w:eastAsia="Times New Roman" w:hAnsi="MathJax_Math" w:cs="Times New Roman"/>
          <w:i/>
          <w:iCs/>
          <w:color w:val="333333"/>
          <w:sz w:val="12"/>
          <w:szCs w:val="12"/>
          <w:vertAlign w:val="subscript"/>
        </w:rPr>
        <w:t>X</w:t>
      </w:r>
      <w:r>
        <w:rPr>
          <w:rFonts w:ascii="MathJax_Main" w:eastAsia="Times New Roman" w:hAnsi="MathJax_Main" w:cs="Times New Roman"/>
          <w:color w:val="333333"/>
          <w:sz w:val="12"/>
          <w:szCs w:val="12"/>
          <w:vertAlign w:val="subscript"/>
        </w:rPr>
        <w:t>−−</w:t>
      </w:r>
      <w:r>
        <w:rPr>
          <w:rFonts w:ascii="MathJax_Main" w:eastAsia="Times New Roman" w:hAnsi="MathJax_Main" w:cs="Times New Roman"/>
          <w:color w:val="333333"/>
          <w:sz w:val="15"/>
          <w:szCs w:val="15"/>
        </w:rPr>
        <w:t>.</w:t>
      </w:r>
    </w:p>
    <w:p w:rsidR="00AD77BB" w:rsidRDefault="00B45BA0">
      <w:pPr>
        <w:numPr>
          <w:ilvl w:val="0"/>
          <w:numId w:val="149"/>
        </w:numPr>
        <w:shd w:val="clear" w:color="auto" w:fill="ECF9EA"/>
        <w:spacing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There are formulas that relate the mean and standard deviation of the sample mean to the mean and standard deviation of the population from which the sample is drawn.</w:t>
      </w:r>
    </w:p>
    <w:p w:rsidR="00AD77BB" w:rsidRDefault="00B45BA0">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AD77BB" w:rsidRDefault="00B45BA0">
      <w:pPr>
        <w:numPr>
          <w:ilvl w:val="0"/>
          <w:numId w:val="150"/>
        </w:numPr>
        <w:shd w:val="clear" w:color="auto" w:fill="E3EFF7"/>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Random samples of size 225 are drawn from a population with mean 100 and standard deviation 20. Find the mean and standard deviation of the sample mean.</w:t>
      </w:r>
    </w:p>
    <w:p w:rsidR="00AD77BB" w:rsidRDefault="00B45BA0">
      <w:pPr>
        <w:numPr>
          <w:ilvl w:val="0"/>
          <w:numId w:val="150"/>
        </w:numPr>
        <w:shd w:val="clear" w:color="auto" w:fill="E3EFF7"/>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Random samples of size 64 are drawn from a population with mean 32 and standard deviation 5. Find the mean and standard deviation of the sample mean.</w:t>
      </w:r>
    </w:p>
    <w:p w:rsidR="00AD77BB" w:rsidRDefault="00B45BA0">
      <w:pPr>
        <w:numPr>
          <w:ilvl w:val="0"/>
          <w:numId w:val="150"/>
        </w:numPr>
        <w:shd w:val="clear" w:color="auto" w:fill="E3EFF7"/>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population has mean 75 and standard deviation 12.</w:t>
      </w:r>
    </w:p>
    <w:p w:rsidR="00AD77BB" w:rsidRDefault="00B45BA0">
      <w:pPr>
        <w:numPr>
          <w:ilvl w:val="1"/>
          <w:numId w:val="150"/>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Random samples of size 121 are taken. Find the mean and standard deviation of the sample mean.</w:t>
      </w:r>
    </w:p>
    <w:p w:rsidR="00AD77BB" w:rsidRDefault="00B45BA0">
      <w:pPr>
        <w:numPr>
          <w:ilvl w:val="1"/>
          <w:numId w:val="150"/>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How would the answers to part (a) change if the size of the samples were 400 instead of 121?</w:t>
      </w:r>
    </w:p>
    <w:p w:rsidR="00AD77BB" w:rsidRDefault="00B45BA0">
      <w:pPr>
        <w:numPr>
          <w:ilvl w:val="0"/>
          <w:numId w:val="150"/>
        </w:numPr>
        <w:shd w:val="clear" w:color="auto" w:fill="E3EFF7"/>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population has mean 5.75 and standard deviation 1.02.</w:t>
      </w:r>
    </w:p>
    <w:p w:rsidR="00AD77BB" w:rsidRDefault="00B45BA0">
      <w:pPr>
        <w:numPr>
          <w:ilvl w:val="1"/>
          <w:numId w:val="150"/>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Random samples of size 81 are taken. Find the mean and standard deviation of the sample mean.</w:t>
      </w:r>
    </w:p>
    <w:p w:rsidR="00AD77BB" w:rsidRDefault="00B45BA0">
      <w:pPr>
        <w:numPr>
          <w:ilvl w:val="1"/>
          <w:numId w:val="150"/>
        </w:numPr>
        <w:shd w:val="clear" w:color="auto" w:fill="E3EFF7"/>
        <w:spacing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How would the answers to part (a) change if the size of the samples were 25 instead of 81?</w:t>
      </w:r>
    </w:p>
    <w:p w:rsidR="00AD77BB" w:rsidRDefault="00B45BA0">
      <w:pPr>
        <w:shd w:val="clear" w:color="auto" w:fill="FFFFFF" w:themeFill="background1"/>
        <w:spacing w:line="360" w:lineRule="auto"/>
        <w:ind w:left="108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733EA632" wp14:editId="457AC3C0">
            <wp:extent cx="5314950" cy="1809750"/>
            <wp:effectExtent l="0" t="0" r="0" b="0"/>
            <wp:docPr id="190"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314950" cy="1809750"/>
                    </a:xfrm>
                    <a:prstGeom prst="rect">
                      <a:avLst/>
                    </a:prstGeom>
                    <a:noFill/>
                    <a:ln>
                      <a:noFill/>
                    </a:ln>
                  </pic:spPr>
                </pic:pic>
              </a:graphicData>
            </a:graphic>
          </wp:inline>
        </w:drawing>
      </w:r>
    </w:p>
    <w:p w:rsidR="00AD77BB" w:rsidRDefault="00B45B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6.2</w:t>
      </w:r>
      <w:r>
        <w:rPr>
          <w:rStyle w:val="apple-converted-space"/>
          <w:rFonts w:ascii="Calibri" w:hAnsi="Calibri"/>
          <w:color w:val="333333"/>
        </w:rPr>
        <w:t> </w:t>
      </w:r>
      <w:r>
        <w:rPr>
          <w:rFonts w:ascii="Calibri" w:hAnsi="Calibri"/>
          <w:color w:val="333333"/>
        </w:rPr>
        <w:t>The Sampling Distribution of the Sample Mean</w:t>
      </w:r>
    </w:p>
    <w:p w:rsidR="00AD77BB" w:rsidRDefault="00AD77BB"/>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AD77BB" w:rsidRDefault="00B45BA0">
      <w:pPr>
        <w:numPr>
          <w:ilvl w:val="0"/>
          <w:numId w:val="151"/>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To learn what the sampling distribution of</w:t>
      </w:r>
      <w:r>
        <w:rPr>
          <w:rStyle w:val="apple-converted-space"/>
          <w:rFonts w:ascii="Calibri" w:hAnsi="Calibri"/>
          <w:color w:val="333333"/>
          <w:sz w:val="20"/>
          <w:szCs w:val="20"/>
        </w:rPr>
        <w:t> </w:t>
      </w:r>
      <w:r>
        <w:rPr>
          <w:rStyle w:val="mi"/>
          <w:rFonts w:ascii="MathJax_Math" w:hAnsi="MathJax_Math"/>
          <w:i/>
          <w:iCs/>
          <w:color w:val="333333"/>
          <w:sz w:val="12"/>
          <w:szCs w:val="12"/>
        </w:rPr>
        <w:t>X</w:t>
      </w:r>
      <w:r>
        <w:rPr>
          <w:rStyle w:val="mi"/>
          <w:rFonts w:ascii="Times New Roman" w:hAnsi="Times New Roman" w:cs="Times New Roman"/>
          <w:i/>
          <w:iCs/>
          <w:color w:val="333333"/>
          <w:sz w:val="12"/>
          <w:szCs w:val="12"/>
        </w:rPr>
        <w:t>^</w:t>
      </w:r>
      <w:r>
        <w:rPr>
          <w:rStyle w:val="mo"/>
          <w:rFonts w:ascii="MathJax_Main" w:hAnsi="MathJax_Main"/>
          <w:color w:val="333333"/>
          <w:sz w:val="15"/>
          <w:szCs w:val="15"/>
        </w:rPr>
        <w:t>−−</w:t>
      </w:r>
      <w:r>
        <w:rPr>
          <w:rStyle w:val="apple-converted-space"/>
          <w:rFonts w:ascii="Calibri" w:hAnsi="Calibri"/>
          <w:color w:val="333333"/>
          <w:sz w:val="20"/>
          <w:szCs w:val="20"/>
        </w:rPr>
        <w:t> </w:t>
      </w:r>
      <w:r>
        <w:rPr>
          <w:rFonts w:ascii="Calibri" w:hAnsi="Calibri"/>
          <w:color w:val="333333"/>
          <w:sz w:val="20"/>
          <w:szCs w:val="20"/>
        </w:rPr>
        <w:t>is when the sample size is large.</w:t>
      </w:r>
    </w:p>
    <w:p w:rsidR="00AD77BB" w:rsidRDefault="00B45BA0">
      <w:pPr>
        <w:numPr>
          <w:ilvl w:val="0"/>
          <w:numId w:val="151"/>
        </w:numPr>
        <w:shd w:val="clear" w:color="auto" w:fill="EAE9DC"/>
        <w:spacing w:after="0" w:line="360" w:lineRule="auto"/>
        <w:ind w:left="360" w:right="375"/>
        <w:textAlignment w:val="baseline"/>
        <w:rPr>
          <w:rFonts w:ascii="Calibri" w:hAnsi="Calibri"/>
          <w:color w:val="333333"/>
          <w:sz w:val="20"/>
          <w:szCs w:val="20"/>
        </w:rPr>
      </w:pPr>
      <w:r>
        <w:rPr>
          <w:rFonts w:ascii="Calibri" w:hAnsi="Calibri"/>
          <w:color w:val="333333"/>
          <w:sz w:val="20"/>
          <w:szCs w:val="20"/>
        </w:rPr>
        <w:t>To learn what the sampling distribution of</w:t>
      </w:r>
      <w:r>
        <w:rPr>
          <w:rStyle w:val="apple-converted-space"/>
          <w:rFonts w:ascii="Calibri" w:hAnsi="Calibri"/>
          <w:color w:val="333333"/>
          <w:sz w:val="20"/>
          <w:szCs w:val="20"/>
        </w:rPr>
        <w:t> </w:t>
      </w:r>
      <w:r>
        <w:rPr>
          <w:rStyle w:val="mi"/>
          <w:rFonts w:ascii="MathJax_Math" w:hAnsi="MathJax_Math"/>
          <w:i/>
          <w:iCs/>
          <w:color w:val="333333"/>
          <w:sz w:val="12"/>
          <w:szCs w:val="12"/>
        </w:rPr>
        <w:t>X</w:t>
      </w:r>
      <w:r>
        <w:rPr>
          <w:rStyle w:val="mi"/>
          <w:rFonts w:ascii="Times New Roman" w:hAnsi="Times New Roman" w:cs="Times New Roman"/>
          <w:i/>
          <w:iCs/>
          <w:color w:val="333333"/>
          <w:sz w:val="12"/>
          <w:szCs w:val="12"/>
        </w:rPr>
        <w:t>^</w:t>
      </w:r>
      <w:r>
        <w:rPr>
          <w:rStyle w:val="mo"/>
          <w:rFonts w:ascii="MathJax_Main" w:hAnsi="MathJax_Main"/>
          <w:color w:val="333333"/>
          <w:sz w:val="15"/>
          <w:szCs w:val="15"/>
        </w:rPr>
        <w:t>−−</w:t>
      </w:r>
      <w:r>
        <w:rPr>
          <w:rStyle w:val="apple-converted-space"/>
          <w:rFonts w:ascii="Calibri" w:hAnsi="Calibri"/>
          <w:color w:val="333333"/>
          <w:sz w:val="20"/>
          <w:szCs w:val="20"/>
        </w:rPr>
        <w:t> </w:t>
      </w:r>
      <w:r>
        <w:rPr>
          <w:rFonts w:ascii="Calibri" w:hAnsi="Calibri"/>
          <w:color w:val="333333"/>
          <w:sz w:val="20"/>
          <w:szCs w:val="20"/>
        </w:rPr>
        <w:t>is when the population is normal.</w:t>
      </w:r>
    </w:p>
    <w:p w:rsidR="00AD77BB" w:rsidRDefault="00AD77BB">
      <w:pPr>
        <w:pStyle w:val="Heading2"/>
        <w:shd w:val="clear" w:color="auto" w:fill="FFFFFF"/>
        <w:spacing w:before="0" w:line="360" w:lineRule="auto"/>
        <w:textAlignment w:val="baseline"/>
        <w:rPr>
          <w:rFonts w:ascii="Calibri" w:hAnsi="Calibri"/>
          <w:color w:val="333333"/>
          <w:sz w:val="28"/>
          <w:szCs w:val="28"/>
        </w:rPr>
      </w:pPr>
    </w:p>
    <w:p w:rsidR="00AD77BB" w:rsidRDefault="00B45BA0">
      <w:pPr>
        <w:pStyle w:val="Heading2"/>
        <w:shd w:val="clear" w:color="auto" w:fill="FFFFFF"/>
        <w:spacing w:before="0" w:line="360" w:lineRule="auto"/>
        <w:textAlignment w:val="baseline"/>
        <w:rPr>
          <w:rFonts w:ascii="Calibri" w:hAnsi="Calibri"/>
          <w:color w:val="333333"/>
          <w:sz w:val="28"/>
          <w:szCs w:val="28"/>
        </w:rPr>
      </w:pPr>
      <w:r>
        <w:rPr>
          <w:rFonts w:ascii="Calibri" w:hAnsi="Calibri"/>
          <w:color w:val="333333"/>
          <w:sz w:val="28"/>
          <w:szCs w:val="28"/>
        </w:rPr>
        <w:t>The Central Limit Theorem</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In</w:t>
      </w:r>
      <w:r>
        <w:rPr>
          <w:rStyle w:val="apple-converted-space"/>
          <w:rFonts w:ascii="Georgia" w:hAnsi="Georgia"/>
          <w:color w:val="333333"/>
          <w:sz w:val="20"/>
          <w:szCs w:val="20"/>
        </w:rPr>
        <w:t> </w:t>
      </w:r>
      <w:r>
        <w:rPr>
          <w:rFonts w:ascii="Georgia" w:hAnsi="Georgia"/>
          <w:color w:val="2689C6"/>
          <w:sz w:val="20"/>
          <w:szCs w:val="20"/>
        </w:rPr>
        <w:t>Note 6.5 "Example 1"</w:t>
      </w:r>
      <w:r>
        <w:rPr>
          <w:rStyle w:val="apple-converted-space"/>
          <w:rFonts w:ascii="Georgia" w:hAnsi="Georgia"/>
          <w:color w:val="333333"/>
          <w:sz w:val="20"/>
          <w:szCs w:val="20"/>
        </w:rPr>
        <w:t> </w:t>
      </w:r>
      <w:r>
        <w:rPr>
          <w:rFonts w:ascii="Georgia" w:hAnsi="Georgia"/>
          <w:color w:val="333333"/>
          <w:sz w:val="20"/>
          <w:szCs w:val="20"/>
        </w:rPr>
        <w:t>in</w:t>
      </w:r>
      <w:r>
        <w:rPr>
          <w:rStyle w:val="apple-converted-space"/>
          <w:rFonts w:ascii="Georgia" w:hAnsi="Georgia"/>
          <w:color w:val="333333"/>
          <w:sz w:val="20"/>
          <w:szCs w:val="20"/>
        </w:rPr>
        <w:t> </w:t>
      </w:r>
      <w:r>
        <w:rPr>
          <w:rFonts w:ascii="Georgia" w:hAnsi="Georgia"/>
          <w:color w:val="2689C6"/>
          <w:sz w:val="20"/>
          <w:szCs w:val="20"/>
        </w:rPr>
        <w:t>Section 6.1 "The Mean and Standard Deviation of the Sample Mean"</w:t>
      </w:r>
      <w:r>
        <w:rPr>
          <w:rStyle w:val="apple-converted-space"/>
          <w:rFonts w:ascii="Georgia" w:hAnsi="Georgia"/>
          <w:color w:val="333333"/>
          <w:sz w:val="20"/>
          <w:szCs w:val="20"/>
        </w:rPr>
        <w:t> </w:t>
      </w:r>
      <w:r>
        <w:rPr>
          <w:rFonts w:ascii="Georgia" w:hAnsi="Georgia"/>
          <w:color w:val="333333"/>
          <w:sz w:val="20"/>
          <w:szCs w:val="20"/>
        </w:rPr>
        <w:t>we constructed the probability distribution of the sample mean for samples of size two drawn from the population of four rowers. The probability distribution is:</w:t>
      </w:r>
    </w:p>
    <w:p w:rsidR="00AD77BB" w:rsidRDefault="00B45BA0">
      <w:pPr>
        <w:shd w:val="clear" w:color="auto" w:fill="FFFFFF" w:themeFill="background1"/>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1B489A0" wp14:editId="56106FAD">
            <wp:extent cx="5743575" cy="5172075"/>
            <wp:effectExtent l="0" t="0" r="9525" b="9525"/>
            <wp:docPr id="191"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43575" cy="517207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F9934A9" wp14:editId="4386180D">
            <wp:extent cx="5829300" cy="6581775"/>
            <wp:effectExtent l="0" t="0" r="0" b="9525"/>
            <wp:docPr id="192"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829300" cy="6581775"/>
                    </a:xfrm>
                    <a:prstGeom prst="rect">
                      <a:avLst/>
                    </a:prstGeom>
                    <a:noFill/>
                    <a:ln>
                      <a:noFill/>
                    </a:ln>
                  </pic:spPr>
                </pic:pic>
              </a:graphicData>
            </a:graphic>
          </wp:inline>
        </w:drawing>
      </w:r>
    </w:p>
    <w:p w:rsidR="00AD77BB" w:rsidRDefault="00AD77BB">
      <w:pPr>
        <w:shd w:val="clear" w:color="auto" w:fill="FFFFFF"/>
        <w:spacing w:after="0" w:line="439" w:lineRule="atLeast"/>
        <w:textAlignment w:val="baseline"/>
        <w:rPr>
          <w:rFonts w:ascii="Georgia" w:eastAsia="Times New Roman" w:hAnsi="Georgia" w:cs="Times New Roman"/>
          <w:color w:val="333333"/>
          <w:sz w:val="21"/>
          <w:szCs w:val="21"/>
        </w:rPr>
      </w:pPr>
    </w:p>
    <w:p w:rsidR="00AD77BB" w:rsidRDefault="00AD77BB">
      <w:pPr>
        <w:shd w:val="clear" w:color="auto" w:fill="FFFFFF"/>
        <w:spacing w:after="0" w:line="439" w:lineRule="atLeast"/>
        <w:textAlignment w:val="baseline"/>
        <w:rPr>
          <w:rFonts w:ascii="Georgia" w:eastAsia="Times New Roman" w:hAnsi="Georgia" w:cs="Times New Roman"/>
          <w:color w:val="333333"/>
          <w:sz w:val="21"/>
          <w:szCs w:val="21"/>
        </w:rPr>
      </w:pPr>
    </w:p>
    <w:p w:rsidR="00AD77BB" w:rsidRDefault="00B45BA0">
      <w:pPr>
        <w:shd w:val="clear" w:color="auto" w:fill="FFFFFF"/>
        <w:spacing w:after="0"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Histograms illustrating these distributions are shown in </w:t>
      </w:r>
      <w:r>
        <w:rPr>
          <w:rFonts w:ascii="Georgia" w:eastAsia="Times New Roman" w:hAnsi="Georgia" w:cs="Times New Roman"/>
          <w:color w:val="2689C6"/>
          <w:sz w:val="21"/>
          <w:szCs w:val="21"/>
        </w:rPr>
        <w:t>Figure 6.2 "Distributions of the Sample Mean"</w:t>
      </w:r>
      <w:r>
        <w:rPr>
          <w:rFonts w:ascii="Georgia" w:eastAsia="Times New Roman" w:hAnsi="Georgia" w:cs="Times New Roman"/>
          <w:color w:val="333333"/>
          <w:sz w:val="21"/>
          <w:szCs w:val="21"/>
        </w:rPr>
        <w:t>.</w:t>
      </w: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B45BA0">
      <w:pPr>
        <w:shd w:val="clear" w:color="auto" w:fill="FFFFFF"/>
        <w:spacing w:after="0" w:line="439" w:lineRule="atLeast"/>
        <w:textAlignment w:val="baseline"/>
        <w:rPr>
          <w:rFonts w:ascii="Georgia" w:eastAsia="Times New Roman" w:hAnsi="Georgia" w:cs="Times New Roman"/>
          <w:i/>
          <w:iCs/>
          <w:color w:val="BB9966"/>
        </w:rPr>
      </w:pPr>
      <w:r>
        <w:rPr>
          <w:rFonts w:ascii="Georgia" w:eastAsia="Times New Roman" w:hAnsi="Georgia" w:cs="Times New Roman"/>
          <w:i/>
          <w:iCs/>
          <w:color w:val="000000"/>
          <w:sz w:val="20"/>
          <w:szCs w:val="20"/>
        </w:rPr>
        <w:lastRenderedPageBreak/>
        <w:t>Figure 6.2</w:t>
      </w:r>
      <w:r>
        <w:rPr>
          <w:rFonts w:ascii="Georgia" w:eastAsia="Times New Roman" w:hAnsi="Georgia" w:cs="Times New Roman"/>
          <w:i/>
          <w:iCs/>
          <w:color w:val="BB9966"/>
        </w:rPr>
        <w:t> Distributions of the Sample Mean</w:t>
      </w:r>
    </w:p>
    <w:p w:rsidR="00AD77BB" w:rsidRDefault="00B45BA0">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14:anchorId="0A5590B4" wp14:editId="0F9D0509">
            <wp:extent cx="4810125" cy="2667000"/>
            <wp:effectExtent l="0" t="0" r="9525" b="0"/>
            <wp:docPr id="193" name="Picture 207" descr="http://images.flatworldknowledge.com/shafer/shafer-fig0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images.flatworldknowledge.com/shafer/shafer-fig06_002.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810125" cy="2667000"/>
                    </a:xfrm>
                    <a:prstGeom prst="rect">
                      <a:avLst/>
                    </a:prstGeom>
                    <a:noFill/>
                    <a:ln>
                      <a:noFill/>
                    </a:ln>
                  </pic:spPr>
                </pic:pic>
              </a:graphicData>
            </a:graphic>
          </wp:inline>
        </w:drawing>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As </w:t>
      </w:r>
      <w:r>
        <w:rPr>
          <w:rFonts w:ascii="Georgia" w:eastAsia="Times New Roman" w:hAnsi="Georgia" w:cs="Times New Roman"/>
          <w:i/>
          <w:iCs/>
          <w:color w:val="333333"/>
          <w:sz w:val="20"/>
          <w:szCs w:val="20"/>
        </w:rPr>
        <w:t>n</w:t>
      </w:r>
      <w:r>
        <w:rPr>
          <w:rFonts w:ascii="Georgia" w:eastAsia="Times New Roman" w:hAnsi="Georgia" w:cs="Times New Roman"/>
          <w:color w:val="333333"/>
          <w:sz w:val="21"/>
          <w:szCs w:val="21"/>
        </w:rPr>
        <w:t> increases the sampling distribution of </w:t>
      </w:r>
      <w:r>
        <w:rPr>
          <w:rFonts w:ascii="MathJax_Math" w:eastAsia="Times New Roman" w:hAnsi="MathJax_Math" w:cs="Times New Roman"/>
          <w:i/>
          <w:iCs/>
          <w:color w:val="333333"/>
          <w:sz w:val="15"/>
          <w:szCs w:val="15"/>
        </w:rPr>
        <w:t>X</w:t>
      </w:r>
      <w:r>
        <w:rPr>
          <w:rFonts w:ascii="Times New Roman" w:eastAsia="Times New Roman" w:hAnsi="Times New Roman" w:cs="Times New Roman"/>
          <w:i/>
          <w:iCs/>
          <w:color w:val="333333"/>
          <w:sz w:val="15"/>
          <w:szCs w:val="15"/>
        </w:rPr>
        <w:t>^</w:t>
      </w:r>
      <w:r>
        <w:rPr>
          <w:rFonts w:ascii="MathJax_Main" w:eastAsia="Times New Roman" w:hAnsi="MathJax_Main" w:cs="Times New Roman"/>
          <w:color w:val="333333"/>
          <w:sz w:val="18"/>
          <w:szCs w:val="18"/>
        </w:rPr>
        <w:t>−−</w:t>
      </w:r>
      <w:r>
        <w:rPr>
          <w:rFonts w:ascii="Georgia" w:eastAsia="Times New Roman" w:hAnsi="Georgia" w:cs="Times New Roman"/>
          <w:color w:val="333333"/>
          <w:sz w:val="21"/>
          <w:szCs w:val="21"/>
        </w:rPr>
        <w:t> evolves in an interesting way: the probabilities on the lower and the upper ends shrink and the probabilities in the middle become larger in relation to them. If we were to continue to increase </w:t>
      </w:r>
      <w:r>
        <w:rPr>
          <w:rFonts w:ascii="Georgia" w:eastAsia="Times New Roman" w:hAnsi="Georgia" w:cs="Times New Roman"/>
          <w:i/>
          <w:iCs/>
          <w:color w:val="333333"/>
          <w:sz w:val="20"/>
          <w:szCs w:val="20"/>
        </w:rPr>
        <w:t>n</w:t>
      </w:r>
      <w:r>
        <w:rPr>
          <w:rFonts w:ascii="Georgia" w:eastAsia="Times New Roman" w:hAnsi="Georgia" w:cs="Times New Roman"/>
          <w:color w:val="333333"/>
          <w:sz w:val="21"/>
          <w:szCs w:val="21"/>
        </w:rPr>
        <w:t>then the shape of the sampling distribution would become smoother and more bell-shaped.</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What we are seeing in these examples does not depend on the particular population distributions involved. In general, one may start with any distribution and the sampling distribution of the sample mean will increasingly resemble the bell-shaped normal curve as the sample size increases. This is the content of the Central Limit Theorem.</w:t>
      </w:r>
    </w:p>
    <w:p w:rsidR="00AD77BB" w:rsidRDefault="00B45BA0">
      <w:pPr>
        <w:shd w:val="clear" w:color="auto" w:fill="FFFFFF" w:themeFill="background1"/>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 xml:space="preserve"> </w:t>
      </w:r>
      <w:r>
        <w:rPr>
          <w:rFonts w:ascii="Calibri" w:eastAsia="Times New Roman" w:hAnsi="Calibri" w:cs="Times New Roman"/>
          <w:noProof/>
          <w:color w:val="333333"/>
          <w:sz w:val="20"/>
          <w:szCs w:val="20"/>
        </w:rPr>
        <w:drawing>
          <wp:inline distT="0" distB="0" distL="0" distR="0" wp14:anchorId="15D6F43A" wp14:editId="72641342">
            <wp:extent cx="5772150" cy="6534150"/>
            <wp:effectExtent l="0" t="0" r="0" b="0"/>
            <wp:docPr id="194"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72150" cy="6534150"/>
                    </a:xfrm>
                    <a:prstGeom prst="rect">
                      <a:avLst/>
                    </a:prstGeom>
                    <a:noFill/>
                    <a:ln>
                      <a:noFill/>
                    </a:ln>
                  </pic:spPr>
                </pic:pic>
              </a:graphicData>
            </a:graphic>
          </wp:inline>
        </w:drawing>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dashed vertical lines in the figures locate the population mean. Regardless of the distribution of the population, as the sample size is increased the shape of the sampling distribution of the sample mean becomes increasingly bell-shaped, centered on the population mean. Typically by the time the sample size is 30 the distribution of the sample mean is practically the same as a normal distribution.</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The importance of the Central Limit Theorem is that it allows us to make probability statements about the sample mean, specifically in relation to its value in comparison to the population mean, as we will see in the examples. But to use the result properly we must first realize that there are two separate random variables (and therefore two probability distributions) at play:</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numPr>
          <w:ilvl w:val="0"/>
          <w:numId w:val="152"/>
        </w:numPr>
        <w:shd w:val="clear" w:color="auto" w:fill="FFFFFF"/>
        <w:spacing w:after="0"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the measurement of a single element selected at random from the population; the distribution of </w:t>
      </w:r>
      <w:r>
        <w:rPr>
          <w:rFonts w:ascii="Georgia" w:eastAsia="Times New Roman" w:hAnsi="Georgia" w:cs="Times New Roman"/>
          <w:i/>
          <w:iCs/>
          <w:color w:val="333333"/>
          <w:sz w:val="20"/>
          <w:szCs w:val="20"/>
        </w:rPr>
        <w:t>X</w:t>
      </w:r>
      <w:r>
        <w:rPr>
          <w:rFonts w:ascii="Georgia" w:eastAsia="Times New Roman" w:hAnsi="Georgia" w:cs="Times New Roman"/>
          <w:color w:val="333333"/>
          <w:sz w:val="20"/>
          <w:szCs w:val="20"/>
        </w:rPr>
        <w:t> is the distribution of the population, with mean the population mean </w:t>
      </w:r>
      <w:r>
        <w:rPr>
          <w:rFonts w:ascii="Georgia" w:eastAsia="Times New Roman" w:hAnsi="Georgia" w:cs="Times New Roman"/>
          <w:i/>
          <w:iCs/>
          <w:color w:val="333333"/>
          <w:sz w:val="20"/>
          <w:szCs w:val="20"/>
        </w:rPr>
        <w:t>μ</w:t>
      </w:r>
      <w:r>
        <w:rPr>
          <w:rFonts w:ascii="Georgia" w:eastAsia="Times New Roman" w:hAnsi="Georgia" w:cs="Times New Roman"/>
          <w:color w:val="333333"/>
          <w:sz w:val="20"/>
          <w:szCs w:val="20"/>
        </w:rPr>
        <w:t> and standard deviation the population standard deviation </w:t>
      </w:r>
      <w:r>
        <w:rPr>
          <w:rFonts w:ascii="Georgia" w:eastAsia="Times New Roman" w:hAnsi="Georgia" w:cs="Times New Roman"/>
          <w:i/>
          <w:iCs/>
          <w:color w:val="333333"/>
          <w:sz w:val="20"/>
          <w:szCs w:val="20"/>
        </w:rPr>
        <w:t>σ</w:t>
      </w:r>
      <w:r>
        <w:rPr>
          <w:rFonts w:ascii="Georgia" w:eastAsia="Times New Roman" w:hAnsi="Georgia" w:cs="Times New Roman"/>
          <w:color w:val="333333"/>
          <w:sz w:val="20"/>
          <w:szCs w:val="20"/>
        </w:rPr>
        <w:t>;</w:t>
      </w:r>
    </w:p>
    <w:p w:rsidR="00AD77BB" w:rsidRDefault="00B45BA0">
      <w:pPr>
        <w:numPr>
          <w:ilvl w:val="0"/>
          <w:numId w:val="152"/>
        </w:numPr>
        <w:shd w:val="clear" w:color="auto" w:fill="FFFFFF"/>
        <w:spacing w:after="0" w:line="360" w:lineRule="auto"/>
        <w:ind w:left="360"/>
        <w:textAlignment w:val="baseline"/>
        <w:rPr>
          <w:rFonts w:ascii="Georgia" w:eastAsia="Times New Roman" w:hAnsi="Georgia" w:cs="Times New Roman"/>
          <w:color w:val="333333"/>
          <w:sz w:val="20"/>
          <w:szCs w:val="20"/>
        </w:rPr>
      </w:pP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8"/>
          <w:szCs w:val="18"/>
        </w:rPr>
        <w:t>−−</w:t>
      </w:r>
      <w:r>
        <w:rPr>
          <w:rFonts w:ascii="Georgia" w:eastAsia="Times New Roman" w:hAnsi="Georgia" w:cs="Times New Roman"/>
          <w:color w:val="333333"/>
          <w:sz w:val="20"/>
          <w:szCs w:val="20"/>
        </w:rPr>
        <w:t>, the mean of the measurements in a sample of size </w:t>
      </w:r>
      <w:r>
        <w:rPr>
          <w:rFonts w:ascii="Georgia" w:eastAsia="Times New Roman" w:hAnsi="Georgia" w:cs="Times New Roman"/>
          <w:i/>
          <w:iCs/>
          <w:color w:val="333333"/>
          <w:sz w:val="20"/>
          <w:szCs w:val="20"/>
        </w:rPr>
        <w:t>n</w:t>
      </w:r>
      <w:r>
        <w:rPr>
          <w:rFonts w:ascii="Georgia" w:eastAsia="Times New Roman" w:hAnsi="Georgia" w:cs="Times New Roman"/>
          <w:color w:val="333333"/>
          <w:sz w:val="20"/>
          <w:szCs w:val="20"/>
        </w:rPr>
        <w:t>; the distribution of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8"/>
          <w:szCs w:val="18"/>
        </w:rPr>
        <w:t>−−</w:t>
      </w:r>
      <w:r>
        <w:rPr>
          <w:rFonts w:ascii="Georgia" w:eastAsia="Times New Roman" w:hAnsi="Georgia" w:cs="Times New Roman"/>
          <w:color w:val="333333"/>
          <w:sz w:val="20"/>
          <w:szCs w:val="20"/>
        </w:rPr>
        <w:t>is its sampling distribution, with mean </w:t>
      </w:r>
      <w:r>
        <w:rPr>
          <w:rFonts w:ascii="MathJax_Math" w:eastAsia="Times New Roman" w:hAnsi="MathJax_Math" w:cs="Times New Roman"/>
          <w:i/>
          <w:iCs/>
          <w:color w:val="333333"/>
          <w:sz w:val="18"/>
          <w:szCs w:val="18"/>
        </w:rPr>
        <w:t>μ</w:t>
      </w:r>
      <w:r>
        <w:rPr>
          <w:rFonts w:ascii="MathJax_Math" w:eastAsia="Times New Roman" w:hAnsi="MathJax_Math" w:cs="Times New Roman"/>
          <w:i/>
          <w:iCs/>
          <w:color w:val="333333"/>
          <w:sz w:val="14"/>
          <w:szCs w:val="14"/>
        </w:rPr>
        <w:t>X</w:t>
      </w:r>
      <w:r>
        <w:rPr>
          <w:rFonts w:ascii="MathJax_Main" w:eastAsia="Times New Roman" w:hAnsi="MathJax_Main" w:cs="Times New Roman"/>
          <w:color w:val="333333"/>
          <w:sz w:val="14"/>
          <w:szCs w:val="14"/>
        </w:rPr>
        <w:t>−−</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μ</w:t>
      </w:r>
      <w:r>
        <w:rPr>
          <w:rFonts w:ascii="Georgia" w:eastAsia="Times New Roman" w:hAnsi="Georgia" w:cs="Times New Roman"/>
          <w:color w:val="333333"/>
          <w:sz w:val="20"/>
          <w:szCs w:val="20"/>
        </w:rPr>
        <w:t> and standard deviation </w:t>
      </w:r>
      <w:r>
        <w:rPr>
          <w:rFonts w:ascii="MathJax_Math" w:eastAsia="Times New Roman" w:hAnsi="MathJax_Math" w:cs="Times New Roman"/>
          <w:i/>
          <w:iCs/>
          <w:color w:val="333333"/>
          <w:sz w:val="18"/>
          <w:szCs w:val="18"/>
        </w:rPr>
        <w:t>σ</w:t>
      </w:r>
      <w:r>
        <w:rPr>
          <w:rFonts w:ascii="MathJax_Math" w:eastAsia="Times New Roman" w:hAnsi="MathJax_Math" w:cs="Times New Roman"/>
          <w:i/>
          <w:iCs/>
          <w:color w:val="333333"/>
          <w:sz w:val="14"/>
          <w:szCs w:val="14"/>
        </w:rPr>
        <w:t>X</w:t>
      </w:r>
      <w:r>
        <w:rPr>
          <w:rFonts w:ascii="MathJax_Main" w:eastAsia="Times New Roman" w:hAnsi="MathJax_Main" w:cs="Times New Roman"/>
          <w:color w:val="333333"/>
          <w:sz w:val="14"/>
          <w:szCs w:val="14"/>
        </w:rPr>
        <w:t>−−</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σ</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n</w:t>
      </w:r>
      <w:r>
        <w:rPr>
          <w:rFonts w:ascii="MathJax_Main" w:eastAsia="Times New Roman" w:hAnsi="MathJax_Main" w:cs="Times New Roman"/>
          <w:color w:val="333333"/>
          <w:sz w:val="18"/>
          <w:szCs w:val="18"/>
        </w:rPr>
        <w:t>√.</w:t>
      </w:r>
    </w:p>
    <w:p w:rsidR="00AD77BB" w:rsidRDefault="00B45BA0">
      <w:pPr>
        <w:shd w:val="clear" w:color="auto" w:fill="FFFFFF" w:themeFill="background1"/>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0443C20B" wp14:editId="3677C53D">
            <wp:extent cx="5391150" cy="5848350"/>
            <wp:effectExtent l="0" t="0" r="0" b="0"/>
            <wp:docPr id="195"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391150" cy="584835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2BD67334" wp14:editId="5D0E54A6">
            <wp:extent cx="5781675" cy="6305550"/>
            <wp:effectExtent l="0" t="0" r="9525" b="0"/>
            <wp:docPr id="196"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81675" cy="630555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9D25E71" wp14:editId="667DCB5F">
            <wp:extent cx="5838825" cy="3295650"/>
            <wp:effectExtent l="0" t="0" r="9525" b="0"/>
            <wp:docPr id="197"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838825" cy="3295650"/>
                    </a:xfrm>
                    <a:prstGeom prst="rect">
                      <a:avLst/>
                    </a:prstGeom>
                    <a:noFill/>
                    <a:ln>
                      <a:noFill/>
                    </a:ln>
                  </pic:spPr>
                </pic:pic>
              </a:graphicData>
            </a:graphic>
          </wp:inline>
        </w:drawing>
      </w:r>
    </w:p>
    <w:p w:rsidR="00AD77BB" w:rsidRDefault="00B45BA0">
      <w:pPr>
        <w:pStyle w:val="Heading2"/>
        <w:shd w:val="clear" w:color="auto" w:fill="FFFFFF"/>
        <w:spacing w:before="0" w:line="360" w:lineRule="auto"/>
        <w:textAlignment w:val="baseline"/>
        <w:rPr>
          <w:rFonts w:ascii="Calibri" w:hAnsi="Calibri"/>
          <w:color w:val="333333"/>
          <w:sz w:val="29"/>
          <w:szCs w:val="29"/>
        </w:rPr>
      </w:pPr>
      <w:r>
        <w:rPr>
          <w:rFonts w:ascii="Calibri" w:hAnsi="Calibri"/>
          <w:color w:val="333333"/>
          <w:sz w:val="29"/>
          <w:szCs w:val="29"/>
        </w:rPr>
        <w:t>Normally Distributed Populations</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Central Limit Theorem says that no matter what the distribution of the population is, as long as the sample is “large,” meaning of size 30 or more, the sample mean is approximately normally distributed. If the population is normal to begin with then the sample mean also has a normal distribution, regardless of the sample size.</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For samples of</w:t>
      </w:r>
      <w:r>
        <w:rPr>
          <w:rStyle w:val="apple-converted-space"/>
          <w:rFonts w:ascii="Georgia" w:hAnsi="Georgia"/>
          <w:color w:val="333333"/>
          <w:sz w:val="20"/>
          <w:szCs w:val="20"/>
        </w:rPr>
        <w:t> </w:t>
      </w:r>
      <w:r>
        <w:rPr>
          <w:rStyle w:val="Emphasis"/>
          <w:rFonts w:ascii="Georgia" w:hAnsi="Georgia"/>
          <w:color w:val="333333"/>
          <w:sz w:val="20"/>
          <w:szCs w:val="20"/>
        </w:rPr>
        <w:t>any</w:t>
      </w:r>
      <w:r>
        <w:rPr>
          <w:rStyle w:val="apple-converted-space"/>
          <w:rFonts w:ascii="Georgia" w:hAnsi="Georgia"/>
          <w:color w:val="333333"/>
          <w:sz w:val="20"/>
          <w:szCs w:val="20"/>
        </w:rPr>
        <w:t> </w:t>
      </w:r>
      <w:r>
        <w:rPr>
          <w:rFonts w:ascii="Georgia" w:hAnsi="Georgia"/>
          <w:color w:val="333333"/>
          <w:sz w:val="20"/>
          <w:szCs w:val="20"/>
        </w:rPr>
        <w:t>size drawn from a normally distributed population, the sample mean is normally distributed, with mean</w:t>
      </w:r>
      <w:r>
        <w:rPr>
          <w:rStyle w:val="apple-converted-space"/>
          <w:rFonts w:ascii="Georgia" w:hAnsi="Georgia"/>
          <w:color w:val="333333"/>
          <w:sz w:val="20"/>
          <w:szCs w:val="20"/>
        </w:rPr>
        <w:t> </w:t>
      </w:r>
      <w:r>
        <w:rPr>
          <w:rStyle w:val="mi"/>
          <w:rFonts w:ascii="MathJax_Math" w:hAnsi="MathJax_Math"/>
          <w:i/>
          <w:iCs/>
          <w:color w:val="333333"/>
          <w:sz w:val="18"/>
          <w:szCs w:val="18"/>
        </w:rPr>
        <w:t>μ</w:t>
      </w:r>
      <w:r>
        <w:rPr>
          <w:rStyle w:val="mi"/>
          <w:rFonts w:ascii="MathJax_Math" w:hAnsi="MathJax_Math"/>
          <w:i/>
          <w:iCs/>
          <w:color w:val="333333"/>
          <w:sz w:val="14"/>
          <w:szCs w:val="14"/>
        </w:rPr>
        <w:t>X</w:t>
      </w:r>
      <w:r>
        <w:rPr>
          <w:rStyle w:val="mi"/>
          <w:i/>
          <w:iCs/>
          <w:color w:val="333333"/>
          <w:sz w:val="14"/>
          <w:szCs w:val="14"/>
        </w:rPr>
        <w:t>^</w:t>
      </w:r>
      <w:r>
        <w:rPr>
          <w:rStyle w:val="mo"/>
          <w:rFonts w:ascii="MathJax_Main" w:hAnsi="MathJax_Main"/>
          <w:color w:val="333333"/>
          <w:sz w:val="14"/>
          <w:szCs w:val="14"/>
        </w:rPr>
        <w:t>−−</w:t>
      </w:r>
      <w:r>
        <w:rPr>
          <w:rStyle w:val="mo"/>
          <w:rFonts w:ascii="MathJax_Main" w:hAnsi="MathJax_Main"/>
          <w:color w:val="333333"/>
          <w:sz w:val="18"/>
          <w:szCs w:val="18"/>
        </w:rPr>
        <w:t>=</w:t>
      </w:r>
      <w:r>
        <w:rPr>
          <w:rStyle w:val="mi"/>
          <w:rFonts w:ascii="MathJax_Math" w:hAnsi="MathJax_Math"/>
          <w:i/>
          <w:iCs/>
          <w:color w:val="333333"/>
          <w:sz w:val="18"/>
          <w:szCs w:val="18"/>
        </w:rPr>
        <w:t>μ</w:t>
      </w:r>
      <w:r>
        <w:rPr>
          <w:rStyle w:val="apple-converted-space"/>
          <w:rFonts w:ascii="Georgia" w:hAnsi="Georgia"/>
          <w:color w:val="333333"/>
          <w:sz w:val="20"/>
          <w:szCs w:val="20"/>
        </w:rPr>
        <w:t> </w:t>
      </w:r>
      <w:r>
        <w:rPr>
          <w:rFonts w:ascii="Georgia" w:hAnsi="Georgia"/>
          <w:color w:val="333333"/>
          <w:sz w:val="20"/>
          <w:szCs w:val="20"/>
        </w:rPr>
        <w:t>and standard deviation</w:t>
      </w:r>
      <w:r>
        <w:rPr>
          <w:rStyle w:val="apple-converted-space"/>
          <w:rFonts w:ascii="Georgia" w:hAnsi="Georgia"/>
          <w:color w:val="333333"/>
          <w:sz w:val="20"/>
          <w:szCs w:val="20"/>
        </w:rPr>
        <w:t> </w:t>
      </w:r>
      <w:r>
        <w:rPr>
          <w:rStyle w:val="mi"/>
          <w:rFonts w:ascii="MathJax_Math" w:hAnsi="MathJax_Math"/>
          <w:i/>
          <w:iCs/>
          <w:color w:val="333333"/>
          <w:sz w:val="18"/>
          <w:szCs w:val="18"/>
        </w:rPr>
        <w:t>σ</w:t>
      </w:r>
      <w:r>
        <w:rPr>
          <w:rStyle w:val="mi"/>
          <w:rFonts w:ascii="MathJax_Math" w:hAnsi="MathJax_Math"/>
          <w:i/>
          <w:iCs/>
          <w:color w:val="333333"/>
          <w:sz w:val="14"/>
          <w:szCs w:val="14"/>
        </w:rPr>
        <w:t>X</w:t>
      </w:r>
      <w:r>
        <w:rPr>
          <w:rStyle w:val="mo"/>
          <w:rFonts w:ascii="MathJax_Main" w:hAnsi="MathJax_Main"/>
          <w:color w:val="333333"/>
          <w:sz w:val="14"/>
          <w:szCs w:val="14"/>
        </w:rPr>
        <w:t>−−</w:t>
      </w:r>
      <w:r>
        <w:rPr>
          <w:rStyle w:val="mo"/>
          <w:rFonts w:ascii="MathJax_Main" w:hAnsi="MathJax_Main"/>
          <w:color w:val="333333"/>
          <w:sz w:val="18"/>
          <w:szCs w:val="18"/>
        </w:rPr>
        <w:t>=</w:t>
      </w:r>
      <w:r>
        <w:rPr>
          <w:rStyle w:val="mi"/>
          <w:rFonts w:ascii="MathJax_Math" w:hAnsi="MathJax_Math"/>
          <w:i/>
          <w:iCs/>
          <w:color w:val="333333"/>
          <w:sz w:val="18"/>
          <w:szCs w:val="18"/>
        </w:rPr>
        <w:t>σ</w:t>
      </w:r>
      <w:r>
        <w:rPr>
          <w:rStyle w:val="mo"/>
          <w:rFonts w:ascii="MathJax_Main" w:hAnsi="MathJax_Main"/>
          <w:color w:val="333333"/>
          <w:sz w:val="18"/>
          <w:szCs w:val="18"/>
        </w:rPr>
        <w:t>/</w:t>
      </w:r>
      <w:r>
        <w:rPr>
          <w:rStyle w:val="msqrt"/>
          <w:rFonts w:ascii="MathJax_Main" w:hAnsi="MathJax_Main"/>
          <w:color w:val="333333"/>
          <w:sz w:val="18"/>
          <w:szCs w:val="18"/>
        </w:rPr>
        <w:t>√</w:t>
      </w:r>
      <w:r>
        <w:rPr>
          <w:rStyle w:val="mi"/>
          <w:rFonts w:ascii="MathJax_Math" w:hAnsi="MathJax_Math"/>
          <w:i/>
          <w:iCs/>
          <w:color w:val="333333"/>
          <w:sz w:val="18"/>
          <w:szCs w:val="18"/>
        </w:rPr>
        <w:t>n</w:t>
      </w:r>
      <w:r>
        <w:rPr>
          <w:rFonts w:ascii="Georgia" w:hAnsi="Georgia"/>
          <w:color w:val="333333"/>
          <w:sz w:val="20"/>
          <w:szCs w:val="20"/>
        </w:rPr>
        <w:t>, where</w:t>
      </w:r>
      <w:r>
        <w:rPr>
          <w:rStyle w:val="apple-converted-space"/>
          <w:rFonts w:ascii="Georgia" w:hAnsi="Georgia"/>
          <w:color w:val="333333"/>
          <w:sz w:val="20"/>
          <w:szCs w:val="20"/>
        </w:rPr>
        <w:t> </w:t>
      </w:r>
      <w:r>
        <w:rPr>
          <w:rStyle w:val="Emphasis"/>
          <w:rFonts w:ascii="Georgia" w:hAnsi="Georgia"/>
          <w:color w:val="333333"/>
          <w:sz w:val="20"/>
          <w:szCs w:val="20"/>
        </w:rPr>
        <w:t>n</w:t>
      </w:r>
      <w:r>
        <w:rPr>
          <w:rStyle w:val="apple-converted-space"/>
          <w:rFonts w:ascii="Georgia" w:hAnsi="Georgia"/>
          <w:color w:val="333333"/>
          <w:sz w:val="20"/>
          <w:szCs w:val="20"/>
        </w:rPr>
        <w:t> </w:t>
      </w:r>
      <w:r>
        <w:rPr>
          <w:rFonts w:ascii="Georgia" w:hAnsi="Georgia"/>
          <w:color w:val="333333"/>
          <w:sz w:val="20"/>
          <w:szCs w:val="20"/>
        </w:rPr>
        <w:t>is the sample size.</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effect of increasing the sample size is shown in</w:t>
      </w:r>
      <w:r>
        <w:rPr>
          <w:rStyle w:val="apple-converted-space"/>
          <w:rFonts w:ascii="Georgia" w:hAnsi="Georgia"/>
          <w:color w:val="333333"/>
          <w:sz w:val="21"/>
          <w:szCs w:val="21"/>
        </w:rPr>
        <w:t> </w:t>
      </w:r>
      <w:r>
        <w:rPr>
          <w:rFonts w:ascii="Georgia" w:hAnsi="Georgia"/>
          <w:color w:val="2689C6"/>
          <w:sz w:val="21"/>
          <w:szCs w:val="21"/>
        </w:rPr>
        <w:t>Figure 6.4 "Distribution of Sample Means for a Normal Population"</w:t>
      </w:r>
      <w:r>
        <w:rPr>
          <w:rFonts w:ascii="Georgia" w:hAnsi="Georgia"/>
          <w:color w:val="333333"/>
          <w:sz w:val="21"/>
          <w:szCs w:val="21"/>
        </w:rPr>
        <w:t>.</w:t>
      </w: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lastRenderedPageBreak/>
        <w:t>Figure 6.4</w:t>
      </w:r>
      <w:r>
        <w:rPr>
          <w:rFonts w:ascii="Georgia" w:eastAsia="Times New Roman" w:hAnsi="Georgia" w:cs="Times New Roman"/>
          <w:i/>
          <w:iCs/>
          <w:color w:val="BB9966"/>
          <w:sz w:val="19"/>
          <w:szCs w:val="19"/>
        </w:rPr>
        <w:t> Distribution of Sample Means for a Normal Population</w:t>
      </w:r>
    </w:p>
    <w:p w:rsidR="00AD77BB" w:rsidRDefault="00B45BA0">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sz w:val="26"/>
          <w:szCs w:val="26"/>
          <w:shd w:val="clear" w:color="auto" w:fill="FFFFFF"/>
        </w:rPr>
        <w:drawing>
          <wp:inline distT="0" distB="0" distL="0" distR="0" wp14:anchorId="02EFEFCE" wp14:editId="49CF61B7">
            <wp:extent cx="3429000" cy="5105400"/>
            <wp:effectExtent l="0" t="0" r="0" b="0"/>
            <wp:docPr id="198" name="Picture 212" descr="http://images.flatworldknowledge.com/shafer/shafer-fig0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images.flatworldknowledge.com/shafer/shafer-fig06_004.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429000" cy="5105400"/>
                    </a:xfrm>
                    <a:prstGeom prst="rect">
                      <a:avLst/>
                    </a:prstGeom>
                    <a:noFill/>
                    <a:ln>
                      <a:noFill/>
                    </a:ln>
                  </pic:spPr>
                </pic:pic>
              </a:graphicData>
            </a:graphic>
          </wp:inline>
        </w:drawing>
      </w:r>
    </w:p>
    <w:p w:rsidR="00AD77BB" w:rsidRDefault="00AD77BB">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p>
    <w:p w:rsidR="00AD77BB" w:rsidRDefault="00B45BA0">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3E485F2" wp14:editId="60F364F0">
            <wp:extent cx="5010150" cy="5267325"/>
            <wp:effectExtent l="0" t="0" r="0" b="9525"/>
            <wp:docPr id="199"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010150" cy="526732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47424B9" wp14:editId="26B1CFBC">
            <wp:extent cx="5210175" cy="6381750"/>
            <wp:effectExtent l="0" t="0" r="9525" b="0"/>
            <wp:docPr id="200"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10175" cy="6381750"/>
                    </a:xfrm>
                    <a:prstGeom prst="rect">
                      <a:avLst/>
                    </a:prstGeom>
                    <a:noFill/>
                    <a:ln>
                      <a:noFill/>
                    </a:ln>
                  </pic:spPr>
                </pic:pic>
              </a:graphicData>
            </a:graphic>
          </wp:inline>
        </w:drawing>
      </w: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KEY TAKEAWAYS</w:t>
      </w:r>
    </w:p>
    <w:p w:rsidR="00AD77BB" w:rsidRDefault="00B45BA0">
      <w:pPr>
        <w:numPr>
          <w:ilvl w:val="0"/>
          <w:numId w:val="153"/>
        </w:numPr>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the sample size is at least 30 the sample mean is normally distributed.</w:t>
      </w:r>
    </w:p>
    <w:p w:rsidR="00AD77BB" w:rsidRDefault="00B45BA0">
      <w:pPr>
        <w:numPr>
          <w:ilvl w:val="0"/>
          <w:numId w:val="153"/>
        </w:numPr>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the population is normal the sample mean is normally distributed regardless of the sample size.</w:t>
      </w:r>
    </w:p>
    <w:p w:rsidR="00AD77BB" w:rsidRDefault="00AD77BB">
      <w:pPr>
        <w:spacing w:after="0" w:line="439" w:lineRule="atLeast"/>
        <w:ind w:right="375"/>
        <w:textAlignment w:val="baseline"/>
        <w:rPr>
          <w:rFonts w:ascii="Calibri" w:eastAsia="Times New Roman" w:hAnsi="Calibri" w:cs="Times New Roman"/>
          <w:color w:val="333333"/>
          <w:sz w:val="20"/>
          <w:szCs w:val="20"/>
        </w:rPr>
      </w:pPr>
    </w:p>
    <w:p w:rsidR="00AD77BB" w:rsidRDefault="00AD77BB">
      <w:pPr>
        <w:spacing w:after="0" w:line="439" w:lineRule="atLeast"/>
        <w:ind w:right="375"/>
        <w:textAlignment w:val="baseline"/>
        <w:rPr>
          <w:rFonts w:ascii="Calibri" w:eastAsia="Times New Roman" w:hAnsi="Calibri" w:cs="Times New Roman"/>
          <w:color w:val="333333"/>
          <w:sz w:val="20"/>
          <w:szCs w:val="20"/>
        </w:rPr>
      </w:pPr>
    </w:p>
    <w:p w:rsidR="00AD77BB" w:rsidRDefault="00AD77BB">
      <w:pPr>
        <w:spacing w:after="0" w:line="439" w:lineRule="atLeast"/>
        <w:ind w:right="375"/>
        <w:textAlignment w:val="baseline"/>
        <w:rPr>
          <w:rFonts w:ascii="Calibri" w:eastAsia="Times New Roman" w:hAnsi="Calibri" w:cs="Times New Roman"/>
          <w:color w:val="333333"/>
          <w:sz w:val="20"/>
          <w:szCs w:val="20"/>
        </w:rPr>
      </w:pP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lastRenderedPageBreak/>
        <w:t>EXERCISES</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BASIC</w:t>
      </w:r>
    </w:p>
    <w:p w:rsidR="00AD77BB" w:rsidRDefault="00B45BA0">
      <w:pPr>
        <w:numPr>
          <w:ilvl w:val="0"/>
          <w:numId w:val="154"/>
        </w:num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population has mean 128 and standard deviation 22.</w:t>
      </w:r>
    </w:p>
    <w:p w:rsidR="00AD77BB" w:rsidRDefault="00B45BA0">
      <w:pPr>
        <w:numPr>
          <w:ilvl w:val="1"/>
          <w:numId w:val="154"/>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mean and standard deviation of </w:t>
      </w:r>
      <w:r>
        <w:rPr>
          <w:rFonts w:ascii="MathJax_Math" w:eastAsia="Times New Roman" w:hAnsi="MathJax_Math" w:cs="Times New Roman"/>
          <w:i/>
          <w:iCs/>
          <w:color w:val="333333"/>
          <w:sz w:val="12"/>
          <w:szCs w:val="12"/>
        </w:rPr>
        <w:t>X</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for samples of size 36.</w:t>
      </w:r>
    </w:p>
    <w:p w:rsidR="00AD77BB" w:rsidRDefault="00B45BA0">
      <w:pPr>
        <w:numPr>
          <w:ilvl w:val="1"/>
          <w:numId w:val="154"/>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the mean of a sample of size 36 will be within 10 units of the population mean, that is, between 118 and 138.</w:t>
      </w:r>
    </w:p>
    <w:p w:rsidR="00AD77BB" w:rsidRDefault="00B45BA0">
      <w:pPr>
        <w:numPr>
          <w:ilvl w:val="0"/>
          <w:numId w:val="154"/>
        </w:num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population has mean 1,542 and standard deviation 246.</w:t>
      </w:r>
    </w:p>
    <w:p w:rsidR="00AD77BB" w:rsidRDefault="00B45BA0">
      <w:pPr>
        <w:numPr>
          <w:ilvl w:val="1"/>
          <w:numId w:val="154"/>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mean and standard deviation of </w:t>
      </w:r>
      <w:r>
        <w:rPr>
          <w:rFonts w:ascii="MathJax_Math" w:eastAsia="Times New Roman" w:hAnsi="MathJax_Math" w:cs="Times New Roman"/>
          <w:i/>
          <w:iCs/>
          <w:color w:val="333333"/>
          <w:sz w:val="12"/>
          <w:szCs w:val="12"/>
        </w:rPr>
        <w:t>X</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for samples of size 100.</w:t>
      </w:r>
    </w:p>
    <w:p w:rsidR="00AD77BB" w:rsidRDefault="00B45BA0">
      <w:pPr>
        <w:numPr>
          <w:ilvl w:val="1"/>
          <w:numId w:val="154"/>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the mean of a sample of size 100 will be within 100 units of the population mean, that is, between 1,442 and 1,642.</w:t>
      </w:r>
    </w:p>
    <w:p w:rsidR="00AD77BB" w:rsidRDefault="00B45BA0">
      <w:pPr>
        <w:numPr>
          <w:ilvl w:val="0"/>
          <w:numId w:val="154"/>
        </w:num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population has mean 73.5 and standard deviation 2.5.</w:t>
      </w:r>
    </w:p>
    <w:p w:rsidR="00AD77BB" w:rsidRDefault="00B45BA0">
      <w:pPr>
        <w:numPr>
          <w:ilvl w:val="1"/>
          <w:numId w:val="154"/>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mean and standard deviation of </w:t>
      </w:r>
      <w:r>
        <w:rPr>
          <w:rFonts w:ascii="MathJax_Math" w:eastAsia="Times New Roman" w:hAnsi="MathJax_Math" w:cs="Times New Roman"/>
          <w:i/>
          <w:iCs/>
          <w:color w:val="333333"/>
          <w:sz w:val="12"/>
          <w:szCs w:val="12"/>
        </w:rPr>
        <w:t>X</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for samples of size 30.</w:t>
      </w:r>
    </w:p>
    <w:p w:rsidR="00AD77BB" w:rsidRDefault="00B45BA0">
      <w:pPr>
        <w:numPr>
          <w:ilvl w:val="1"/>
          <w:numId w:val="154"/>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the mean of a sample of size 30 will be less than 72.</w:t>
      </w:r>
    </w:p>
    <w:p w:rsidR="00AD77BB" w:rsidRDefault="00B45BA0">
      <w:pPr>
        <w:numPr>
          <w:ilvl w:val="0"/>
          <w:numId w:val="154"/>
        </w:num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population has mean 48.4 and standard deviation 6.3.</w:t>
      </w:r>
    </w:p>
    <w:p w:rsidR="00AD77BB" w:rsidRDefault="00B45BA0">
      <w:pPr>
        <w:numPr>
          <w:ilvl w:val="1"/>
          <w:numId w:val="154"/>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mean and standard deviation of </w:t>
      </w:r>
      <w:r>
        <w:rPr>
          <w:rFonts w:ascii="MathJax_Math" w:eastAsia="Times New Roman" w:hAnsi="MathJax_Math" w:cs="Times New Roman"/>
          <w:i/>
          <w:iCs/>
          <w:color w:val="333333"/>
          <w:sz w:val="12"/>
          <w:szCs w:val="12"/>
        </w:rPr>
        <w:t>X</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for samples of size 64.</w:t>
      </w:r>
    </w:p>
    <w:p w:rsidR="00AD77BB" w:rsidRDefault="00B45BA0">
      <w:pPr>
        <w:numPr>
          <w:ilvl w:val="1"/>
          <w:numId w:val="154"/>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the mean of a sample of size 64 will be less than 46.7.</w:t>
      </w:r>
    </w:p>
    <w:p w:rsidR="00AD77BB" w:rsidRDefault="00B45BA0">
      <w:pPr>
        <w:numPr>
          <w:ilvl w:val="0"/>
          <w:numId w:val="154"/>
        </w:num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normally distributed population has mean 25.6 and standard deviation 3.3.</w:t>
      </w:r>
    </w:p>
    <w:p w:rsidR="00AD77BB" w:rsidRDefault="00B45BA0">
      <w:pPr>
        <w:numPr>
          <w:ilvl w:val="1"/>
          <w:numId w:val="154"/>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a single randomly selected element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of the population exceeds 30.</w:t>
      </w:r>
    </w:p>
    <w:p w:rsidR="00AD77BB" w:rsidRDefault="00B45BA0">
      <w:pPr>
        <w:numPr>
          <w:ilvl w:val="1"/>
          <w:numId w:val="154"/>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mean and standard deviation of </w:t>
      </w:r>
      <w:r>
        <w:rPr>
          <w:rFonts w:ascii="MathJax_Math" w:eastAsia="Times New Roman" w:hAnsi="MathJax_Math" w:cs="Times New Roman"/>
          <w:i/>
          <w:iCs/>
          <w:color w:val="333333"/>
          <w:sz w:val="12"/>
          <w:szCs w:val="12"/>
        </w:rPr>
        <w:t>X</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for samples of size 9.</w:t>
      </w:r>
    </w:p>
    <w:p w:rsidR="00AD77BB" w:rsidRDefault="00B45BA0">
      <w:pPr>
        <w:numPr>
          <w:ilvl w:val="1"/>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the mean of a sample of size 9 drawn from this population exceeds 30.</w:t>
      </w:r>
    </w:p>
    <w:p w:rsidR="00AD77BB" w:rsidRDefault="00B45BA0">
      <w:pPr>
        <w:numPr>
          <w:ilvl w:val="0"/>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normally distributed population has mean 57.7 and standard deviation 12.1.</w:t>
      </w:r>
    </w:p>
    <w:p w:rsidR="00AD77BB" w:rsidRDefault="00B45BA0">
      <w:pPr>
        <w:numPr>
          <w:ilvl w:val="1"/>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a single randomly selected element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of the population is less than 45.</w:t>
      </w:r>
    </w:p>
    <w:p w:rsidR="00AD77BB" w:rsidRDefault="00B45BA0">
      <w:pPr>
        <w:numPr>
          <w:ilvl w:val="1"/>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mean and standard deviation of </w:t>
      </w:r>
      <w:r>
        <w:rPr>
          <w:rFonts w:ascii="MathJax_Math" w:eastAsia="Times New Roman" w:hAnsi="MathJax_Math" w:cs="Times New Roman"/>
          <w:i/>
          <w:iCs/>
          <w:color w:val="333333"/>
          <w:sz w:val="12"/>
          <w:szCs w:val="12"/>
        </w:rPr>
        <w:t>X</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for samples of size 16.</w:t>
      </w:r>
    </w:p>
    <w:p w:rsidR="00AD77BB" w:rsidRDefault="00B45BA0">
      <w:pPr>
        <w:numPr>
          <w:ilvl w:val="1"/>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the mean of a sample of size 16 drawn from this population is less than 45.</w:t>
      </w:r>
    </w:p>
    <w:p w:rsidR="00AD77BB" w:rsidRDefault="00B45BA0">
      <w:pPr>
        <w:numPr>
          <w:ilvl w:val="0"/>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population has mean 557 and standard deviation 35.</w:t>
      </w:r>
    </w:p>
    <w:p w:rsidR="00AD77BB" w:rsidRDefault="00B45BA0">
      <w:pPr>
        <w:numPr>
          <w:ilvl w:val="1"/>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mean and standard deviation of </w:t>
      </w:r>
      <w:r>
        <w:rPr>
          <w:rFonts w:ascii="MathJax_Math" w:eastAsia="Times New Roman" w:hAnsi="MathJax_Math" w:cs="Times New Roman"/>
          <w:i/>
          <w:iCs/>
          <w:color w:val="333333"/>
          <w:sz w:val="12"/>
          <w:szCs w:val="12"/>
        </w:rPr>
        <w:t>X</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for samples of size 50.</w:t>
      </w:r>
    </w:p>
    <w:p w:rsidR="00AD77BB" w:rsidRDefault="00B45BA0">
      <w:pPr>
        <w:numPr>
          <w:ilvl w:val="1"/>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the mean of a sample of size 50 will be more than 570.</w:t>
      </w:r>
    </w:p>
    <w:p w:rsidR="00AD77BB" w:rsidRDefault="00B45BA0">
      <w:pPr>
        <w:numPr>
          <w:ilvl w:val="0"/>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population has mean 16 and standard deviation 1.7.</w:t>
      </w:r>
    </w:p>
    <w:p w:rsidR="00AD77BB" w:rsidRDefault="00B45BA0">
      <w:pPr>
        <w:numPr>
          <w:ilvl w:val="1"/>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mean and standard deviation of </w:t>
      </w:r>
      <w:r>
        <w:rPr>
          <w:rFonts w:ascii="MathJax_Math" w:eastAsia="Times New Roman" w:hAnsi="MathJax_Math" w:cs="Times New Roman"/>
          <w:i/>
          <w:iCs/>
          <w:color w:val="333333"/>
          <w:sz w:val="12"/>
          <w:szCs w:val="12"/>
        </w:rPr>
        <w:t>X</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for samples of size 80.</w:t>
      </w:r>
    </w:p>
    <w:p w:rsidR="00AD77BB" w:rsidRDefault="00B45BA0">
      <w:pPr>
        <w:numPr>
          <w:ilvl w:val="1"/>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the mean of a sample of size 80 will be more than 16.4.</w:t>
      </w:r>
    </w:p>
    <w:p w:rsidR="00AD77BB" w:rsidRDefault="00B45BA0">
      <w:pPr>
        <w:numPr>
          <w:ilvl w:val="0"/>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normally distributed population has mean 1,214 and standard deviation 122.</w:t>
      </w:r>
    </w:p>
    <w:p w:rsidR="00AD77BB" w:rsidRDefault="00B45BA0">
      <w:pPr>
        <w:numPr>
          <w:ilvl w:val="1"/>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Find the probability that a single randomly selected element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of the population is between 1,100 and 1,300.</w:t>
      </w:r>
    </w:p>
    <w:p w:rsidR="00AD77BB" w:rsidRDefault="00B45BA0">
      <w:pPr>
        <w:numPr>
          <w:ilvl w:val="1"/>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mean and standard deviation of </w:t>
      </w:r>
      <w:r>
        <w:rPr>
          <w:rFonts w:ascii="MathJax_Math" w:eastAsia="Times New Roman" w:hAnsi="MathJax_Math" w:cs="Times New Roman"/>
          <w:i/>
          <w:iCs/>
          <w:color w:val="333333"/>
          <w:sz w:val="12"/>
          <w:szCs w:val="12"/>
        </w:rPr>
        <w:t>X</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for samples of size 25.</w:t>
      </w:r>
    </w:p>
    <w:p w:rsidR="00AD77BB" w:rsidRDefault="00B45BA0">
      <w:pPr>
        <w:numPr>
          <w:ilvl w:val="1"/>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the mean of a sample of size 25 drawn from this population is between 1,100 and 1,300.</w:t>
      </w:r>
    </w:p>
    <w:p w:rsidR="00AD77BB" w:rsidRDefault="00B45BA0">
      <w:pPr>
        <w:numPr>
          <w:ilvl w:val="0"/>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normally distributed population has mean 57,800 and standard deviation 750.</w:t>
      </w:r>
    </w:p>
    <w:p w:rsidR="00AD77BB" w:rsidRDefault="00B45BA0">
      <w:pPr>
        <w:numPr>
          <w:ilvl w:val="1"/>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a single randomly selected element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of the population is between 57,000 and 58,000.</w:t>
      </w:r>
    </w:p>
    <w:p w:rsidR="00AD77BB" w:rsidRDefault="00B45BA0">
      <w:pPr>
        <w:numPr>
          <w:ilvl w:val="1"/>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mean and standard deviation of </w:t>
      </w:r>
      <w:r>
        <w:rPr>
          <w:rFonts w:ascii="MathJax_Math" w:eastAsia="Times New Roman" w:hAnsi="MathJax_Math" w:cs="Times New Roman"/>
          <w:i/>
          <w:iCs/>
          <w:color w:val="333333"/>
          <w:sz w:val="12"/>
          <w:szCs w:val="12"/>
        </w:rPr>
        <w:t>X</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for samples of size 100.</w:t>
      </w:r>
    </w:p>
    <w:p w:rsidR="00AD77BB" w:rsidRDefault="00B45BA0">
      <w:pPr>
        <w:numPr>
          <w:ilvl w:val="1"/>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the mean of a sample of size 100 drawn from this population is between 57,000 and 58,000.</w:t>
      </w:r>
    </w:p>
    <w:p w:rsidR="00AD77BB" w:rsidRDefault="00B45BA0">
      <w:pPr>
        <w:numPr>
          <w:ilvl w:val="0"/>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population has mean 72 and standard deviation 6.</w:t>
      </w:r>
    </w:p>
    <w:p w:rsidR="00AD77BB" w:rsidRDefault="00B45BA0">
      <w:pPr>
        <w:numPr>
          <w:ilvl w:val="1"/>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mean and standard deviation of </w:t>
      </w:r>
      <w:r>
        <w:rPr>
          <w:rFonts w:ascii="MathJax_Math" w:eastAsia="Times New Roman" w:hAnsi="MathJax_Math" w:cs="Times New Roman"/>
          <w:i/>
          <w:iCs/>
          <w:color w:val="333333"/>
          <w:sz w:val="12"/>
          <w:szCs w:val="12"/>
        </w:rPr>
        <w:t>X</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for samples of size 45.</w:t>
      </w:r>
    </w:p>
    <w:p w:rsidR="00AD77BB" w:rsidRDefault="00B45BA0">
      <w:pPr>
        <w:numPr>
          <w:ilvl w:val="1"/>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the mean of a sample of size 45 will differ from the population mean 72 by at least 2 units, that is, is either less than 70 or more than 74. (Hint: One way to solve the problem is to first find the probability of the complementary event.)</w:t>
      </w:r>
    </w:p>
    <w:p w:rsidR="00AD77BB" w:rsidRDefault="00B45BA0">
      <w:pPr>
        <w:numPr>
          <w:ilvl w:val="0"/>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population has mean 12 and standard deviation 1.5.</w:t>
      </w:r>
    </w:p>
    <w:p w:rsidR="00AD77BB" w:rsidRDefault="00B45BA0">
      <w:pPr>
        <w:numPr>
          <w:ilvl w:val="1"/>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mean and standard deviation of </w:t>
      </w:r>
      <w:r>
        <w:rPr>
          <w:rFonts w:ascii="MathJax_Math" w:eastAsia="Times New Roman" w:hAnsi="MathJax_Math" w:cs="Times New Roman"/>
          <w:i/>
          <w:iCs/>
          <w:color w:val="333333"/>
          <w:sz w:val="12"/>
          <w:szCs w:val="12"/>
        </w:rPr>
        <w:t>X</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for samples of size 90.</w:t>
      </w:r>
    </w:p>
    <w:p w:rsidR="00AD77BB" w:rsidRDefault="00B45BA0">
      <w:pPr>
        <w:numPr>
          <w:ilvl w:val="1"/>
          <w:numId w:val="154"/>
        </w:numPr>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the mean of a sample of size 90 will differ from the population mean 12 by at least 0.3 unit, that is, is either less than 11.7 or more than 12.3. (Hint: One way to solve the problem is to first find the probability of the complementary event.)</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APPLICATIONS</w:t>
      </w:r>
    </w:p>
    <w:p w:rsidR="00AD77BB" w:rsidRDefault="00B45BA0">
      <w:pPr>
        <w:numPr>
          <w:ilvl w:val="0"/>
          <w:numId w:val="155"/>
        </w:num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Suppose the mean number of days to germination of a variety of seed is 22, with standard deviation 2.3 days. Find the probability that the mean germination time of a sample of 160 seeds will be within 0.5 day of the population mean.</w:t>
      </w:r>
    </w:p>
    <w:p w:rsidR="00AD77BB" w:rsidRDefault="00B45BA0">
      <w:pPr>
        <w:numPr>
          <w:ilvl w:val="0"/>
          <w:numId w:val="155"/>
        </w:num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Suppose the mean length of time that a caller is placed on hold when telephoning a customer service center is 23.8 seconds, with standard deviation 4.6 seconds. Find the probability that the mean length of time on hold in a sample of 1,200 calls will be within 0.5 second of the population mean.</w:t>
      </w:r>
    </w:p>
    <w:p w:rsidR="00AD77BB" w:rsidRDefault="00B45BA0">
      <w:pPr>
        <w:numPr>
          <w:ilvl w:val="0"/>
          <w:numId w:val="155"/>
        </w:num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Suppose the mean amount of cholesterol in eggs labeled “large” is 186 milligrams, with standard deviation 7 milligrams. Find the probability that the mean amount of cholesterol in a sample of 144 eggs will be within 2 milligrams of the population mean.</w:t>
      </w:r>
    </w:p>
    <w:p w:rsidR="00AD77BB" w:rsidRDefault="00B45BA0">
      <w:pPr>
        <w:numPr>
          <w:ilvl w:val="0"/>
          <w:numId w:val="155"/>
        </w:num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Suppose that in one region of the country the mean amount of credit card debt per household in households having credit card debt is $15,250, with standard deviation $7,125. Find the probability that the mean amount of credit card debt in a sample of 1,600 such households will be within $300 of the population mean.</w:t>
      </w:r>
    </w:p>
    <w:p w:rsidR="00AD77BB" w:rsidRDefault="00B45BA0">
      <w:pPr>
        <w:numPr>
          <w:ilvl w:val="0"/>
          <w:numId w:val="155"/>
        </w:num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Suppose speeds of vehicles on a particular stretch of roadway are normally distributed with mean 36.6 mph and standard deviation 1.7 mph.</w:t>
      </w:r>
    </w:p>
    <w:p w:rsidR="00AD77BB" w:rsidRDefault="00B45BA0">
      <w:pPr>
        <w:numPr>
          <w:ilvl w:val="1"/>
          <w:numId w:val="155"/>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the speed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of a randomly selected vehicle is between 35 and 40 mph.</w:t>
      </w:r>
    </w:p>
    <w:p w:rsidR="00AD77BB" w:rsidRDefault="00B45BA0">
      <w:pPr>
        <w:numPr>
          <w:ilvl w:val="1"/>
          <w:numId w:val="155"/>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the mean speed </w:t>
      </w:r>
      <w:r>
        <w:rPr>
          <w:rFonts w:ascii="MathJax_Math" w:eastAsia="Times New Roman" w:hAnsi="MathJax_Math" w:cs="Times New Roman"/>
          <w:i/>
          <w:iCs/>
          <w:color w:val="333333"/>
          <w:sz w:val="12"/>
          <w:szCs w:val="12"/>
        </w:rPr>
        <w:t>X</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of 20 randomly selected vehicles is between 35 and 40 mph.</w:t>
      </w:r>
    </w:p>
    <w:p w:rsidR="00AD77BB" w:rsidRDefault="00B45BA0">
      <w:pPr>
        <w:numPr>
          <w:ilvl w:val="0"/>
          <w:numId w:val="155"/>
        </w:num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Many sharks enter a state of tonic immobility when inverted. Suppose that in a particular species of sharks the time a shark remains in a state of tonic immobility when inverted is normally distributed with mean 11.2 minutes and standard deviation 1.1 minutes.</w:t>
      </w:r>
    </w:p>
    <w:p w:rsidR="00AD77BB" w:rsidRDefault="00B45BA0">
      <w:pPr>
        <w:numPr>
          <w:ilvl w:val="1"/>
          <w:numId w:val="155"/>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 a biologist induces a state of tonic immobility in such a shark in order to study it, find the probability that the shark will remain in this state for between 10 and 13 minutes.</w:t>
      </w:r>
    </w:p>
    <w:p w:rsidR="00AD77BB" w:rsidRDefault="00B45BA0">
      <w:pPr>
        <w:numPr>
          <w:ilvl w:val="1"/>
          <w:numId w:val="155"/>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a biologist wishes to estimate the mean time that such sharks stay immobile by inducing tonic immobility in each of a sample of 12 sharks, find the probability that mean time of immobility in the sample will be between 10 and 13 minutes.</w:t>
      </w:r>
    </w:p>
    <w:p w:rsidR="00AD77BB" w:rsidRDefault="00B45BA0">
      <w:pPr>
        <w:numPr>
          <w:ilvl w:val="0"/>
          <w:numId w:val="155"/>
        </w:num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Suppose the mean cost across the country of a 30-day supply of a generic drug is $46.58, with standard deviation $4.84. Find the probability that the mean of a sample of 100 prices of 30-day supplies of this drug will be between $45 and $50.</w:t>
      </w:r>
    </w:p>
    <w:p w:rsidR="00AD77BB" w:rsidRDefault="00B45BA0">
      <w:pPr>
        <w:numPr>
          <w:ilvl w:val="0"/>
          <w:numId w:val="155"/>
        </w:num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Suppose the mean length of time between submission of a state tax return requesting a refund and the issuance of the refund is 47 days, with standard deviation 6 days. Find the probability that in a sample of 50 returns requesting a refund, the mean such time will be more than 50 days.</w:t>
      </w:r>
    </w:p>
    <w:p w:rsidR="00AD77BB" w:rsidRDefault="00B45BA0">
      <w:pPr>
        <w:numPr>
          <w:ilvl w:val="0"/>
          <w:numId w:val="155"/>
        </w:num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Scores on a common final exam in a large enrollment, multiple-section freshman course are normally distributed with mean 72.7 and standard deviation 13.1.</w:t>
      </w:r>
    </w:p>
    <w:p w:rsidR="00AD77BB" w:rsidRDefault="00B45BA0">
      <w:pPr>
        <w:numPr>
          <w:ilvl w:val="1"/>
          <w:numId w:val="155"/>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the score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on a randomly selected exam paper is between 70 and 80.</w:t>
      </w:r>
    </w:p>
    <w:p w:rsidR="00AD77BB" w:rsidRDefault="00B45BA0">
      <w:pPr>
        <w:numPr>
          <w:ilvl w:val="1"/>
          <w:numId w:val="155"/>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the mean score </w:t>
      </w:r>
      <w:r>
        <w:rPr>
          <w:rFonts w:ascii="MathJax_Math" w:eastAsia="Times New Roman" w:hAnsi="MathJax_Math" w:cs="Times New Roman"/>
          <w:i/>
          <w:iCs/>
          <w:color w:val="333333"/>
          <w:sz w:val="12"/>
          <w:szCs w:val="12"/>
        </w:rPr>
        <w:t>X</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of 38 randomly selected exam papers is between 70 and 80.</w:t>
      </w:r>
    </w:p>
    <w:p w:rsidR="00AD77BB" w:rsidRDefault="00B45BA0">
      <w:pPr>
        <w:numPr>
          <w:ilvl w:val="0"/>
          <w:numId w:val="155"/>
        </w:num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Suppose the mean weight of school children’s bookbags is 17.4 pounds, with standard deviation 2.2 pounds. Find the probability that the mean weight of a sample of 30 bookbags will exceed 17 pounds.</w:t>
      </w:r>
    </w:p>
    <w:p w:rsidR="00AD77BB" w:rsidRDefault="00B45BA0">
      <w:pPr>
        <w:numPr>
          <w:ilvl w:val="0"/>
          <w:numId w:val="155"/>
        </w:num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Suppose that in a certain region of the country the mean duration of first marriages that end in divorce is 7.8 years, standard deviation 1.2 years. Find the probability that in a sample of 75 divorces, the mean age of the marriages is at most 8 years.</w:t>
      </w:r>
    </w:p>
    <w:p w:rsidR="00AD77BB" w:rsidRDefault="00B45BA0">
      <w:pPr>
        <w:numPr>
          <w:ilvl w:val="0"/>
          <w:numId w:val="155"/>
        </w:num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Borachio eats at the same fast food restaurant every day. Suppose the time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between the moment Borachio enters the restaurant and the moment he is served his food is normally distributed with mean 4.2 minutes and standard deviation 1.3 minutes.</w:t>
      </w:r>
    </w:p>
    <w:p w:rsidR="00AD77BB" w:rsidRDefault="00B45BA0">
      <w:pPr>
        <w:numPr>
          <w:ilvl w:val="1"/>
          <w:numId w:val="155"/>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Find the probability that when he enters the restaurant today it will be at least 5 minutes until he is served.</w:t>
      </w:r>
    </w:p>
    <w:p w:rsidR="00AD77BB" w:rsidRDefault="00B45BA0">
      <w:pPr>
        <w:numPr>
          <w:ilvl w:val="1"/>
          <w:numId w:val="155"/>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average time until he is served in eight randomly selected visits to the restaurant will be at least 5 minutes.</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ADDITIONAL EXERCISES</w:t>
      </w:r>
    </w:p>
    <w:p w:rsidR="00AD77BB" w:rsidRDefault="00B45BA0">
      <w:pPr>
        <w:numPr>
          <w:ilvl w:val="0"/>
          <w:numId w:val="156"/>
        </w:num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high-speed packing machine can be set to deliver between 11 and 13 ounces of a liquid. For any delivery setting in this range the amount delivered is normally distributed with mean some amount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 and with standard deviation 0.08 ounce. To calibrate the machine it is set to deliver a particular amount, many containers are filled, and 25 containers are randomly selected and the amount they contain is measured. Find the probability that the sample mean will be within 0.05 ounce of the actual mean amount being delivered to all containers.</w:t>
      </w:r>
    </w:p>
    <w:p w:rsidR="00AD77BB" w:rsidRDefault="00B45BA0">
      <w:pPr>
        <w:numPr>
          <w:ilvl w:val="0"/>
          <w:numId w:val="156"/>
        </w:num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tire manufacturer states that a certain type of tire has a mean lifetime of 60,000 miles. Suppose lifetimes are normally distributed with standard deviation </w:t>
      </w:r>
      <w:r>
        <w:rPr>
          <w:rFonts w:ascii="MathJax_Math" w:eastAsia="Times New Roman" w:hAnsi="MathJax_Math" w:cs="Times New Roman"/>
          <w:i/>
          <w:iCs/>
          <w:color w:val="333333"/>
          <w:sz w:val="15"/>
          <w:szCs w:val="15"/>
        </w:rPr>
        <w:t>σ</w:t>
      </w:r>
      <w:r>
        <w:rPr>
          <w:rFonts w:ascii="MathJax_Main" w:eastAsia="Times New Roman" w:hAnsi="MathJax_Main" w:cs="Times New Roman"/>
          <w:color w:val="333333"/>
          <w:sz w:val="15"/>
          <w:szCs w:val="15"/>
        </w:rPr>
        <w:t>= 3,500</w:t>
      </w:r>
      <w:r>
        <w:rPr>
          <w:rFonts w:ascii="Calibri" w:eastAsia="Times New Roman" w:hAnsi="Calibri" w:cs="Times New Roman"/>
          <w:color w:val="333333"/>
          <w:sz w:val="20"/>
          <w:szCs w:val="20"/>
        </w:rPr>
        <w:t>miles.</w:t>
      </w:r>
    </w:p>
    <w:p w:rsidR="00AD77BB" w:rsidRDefault="00B45BA0">
      <w:pPr>
        <w:numPr>
          <w:ilvl w:val="1"/>
          <w:numId w:val="156"/>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if you buy one such tire, it will last only 57,000 or fewer miles. If you had this experience, is it particularly strong evidence that the tire is not as good as claimed?</w:t>
      </w:r>
    </w:p>
    <w:p w:rsidR="00AD77BB" w:rsidRDefault="00B45BA0">
      <w:pPr>
        <w:numPr>
          <w:ilvl w:val="1"/>
          <w:numId w:val="156"/>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consumer group buys five such tires and tests them. Find the probability that average lifetime of the five tires will be 57,000 miles or less. If the mean is so low, is that particularly strong evidence that the tire is not as good as claimed?</w:t>
      </w:r>
    </w:p>
    <w:p w:rsidR="00AD77BB" w:rsidRDefault="00AD77BB">
      <w:pPr>
        <w:spacing w:after="0" w:line="360" w:lineRule="auto"/>
        <w:ind w:left="1440"/>
        <w:textAlignment w:val="baseline"/>
        <w:rPr>
          <w:rFonts w:ascii="Calibri" w:eastAsia="Times New Roman" w:hAnsi="Calibri" w:cs="Times New Roman"/>
          <w:color w:val="333333"/>
          <w:sz w:val="20"/>
          <w:szCs w:val="20"/>
        </w:rPr>
      </w:pPr>
    </w:p>
    <w:p w:rsidR="00AD77BB" w:rsidRDefault="00B45BA0">
      <w:pPr>
        <w:spacing w:after="0" w:line="360" w:lineRule="auto"/>
        <w:ind w:left="144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E7B22D0" wp14:editId="24F32BEE">
            <wp:extent cx="4810125" cy="5905500"/>
            <wp:effectExtent l="0" t="0" r="9525" b="0"/>
            <wp:docPr id="201"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810125" cy="5905500"/>
                    </a:xfrm>
                    <a:prstGeom prst="rect">
                      <a:avLst/>
                    </a:prstGeom>
                    <a:noFill/>
                    <a:ln>
                      <a:noFill/>
                    </a:ln>
                  </pic:spPr>
                </pic:pic>
              </a:graphicData>
            </a:graphic>
          </wp:inline>
        </w:drawing>
      </w:r>
    </w:p>
    <w:p w:rsidR="00AD77BB" w:rsidRDefault="00B45BA0">
      <w:pPr>
        <w:spacing w:after="0" w:line="360" w:lineRule="auto"/>
        <w:ind w:left="1440"/>
        <w:textAlignment w:val="baseline"/>
        <w:rPr>
          <w:rStyle w:val="title-prefix"/>
          <w:sz w:val="35"/>
          <w:szCs w:val="35"/>
        </w:rPr>
      </w:pPr>
      <w:r>
        <w:rPr>
          <w:rFonts w:ascii="Calibri" w:eastAsia="Times New Roman" w:hAnsi="Calibri" w:cs="Times New Roman"/>
          <w:noProof/>
          <w:color w:val="333333"/>
          <w:sz w:val="20"/>
          <w:szCs w:val="20"/>
        </w:rPr>
        <w:drawing>
          <wp:inline distT="0" distB="0" distL="0" distR="0" wp14:anchorId="1FE8FCF0" wp14:editId="483C54DC">
            <wp:extent cx="4810125" cy="1428750"/>
            <wp:effectExtent l="0" t="0" r="9525" b="0"/>
            <wp:docPr id="202"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810125" cy="1428750"/>
                    </a:xfrm>
                    <a:prstGeom prst="rect">
                      <a:avLst/>
                    </a:prstGeom>
                    <a:noFill/>
                    <a:ln>
                      <a:noFill/>
                    </a:ln>
                  </pic:spPr>
                </pic:pic>
              </a:graphicData>
            </a:graphic>
          </wp:inline>
        </w:drawing>
      </w:r>
    </w:p>
    <w:p w:rsidR="00AD77BB" w:rsidRDefault="00AD77BB">
      <w:pPr>
        <w:spacing w:after="0" w:line="360" w:lineRule="auto"/>
        <w:ind w:left="1440"/>
        <w:textAlignment w:val="baseline"/>
        <w:rPr>
          <w:rStyle w:val="title-prefix"/>
          <w:rFonts w:ascii="Calibri" w:hAnsi="Calibri"/>
          <w:color w:val="333333"/>
          <w:sz w:val="35"/>
          <w:szCs w:val="35"/>
        </w:rPr>
      </w:pPr>
    </w:p>
    <w:p w:rsidR="00AD77BB" w:rsidRDefault="00AD77BB">
      <w:pPr>
        <w:spacing w:after="0" w:line="360" w:lineRule="auto"/>
        <w:ind w:left="1440"/>
        <w:textAlignment w:val="baseline"/>
        <w:rPr>
          <w:rStyle w:val="title-prefix"/>
          <w:rFonts w:ascii="Calibri" w:hAnsi="Calibri"/>
          <w:color w:val="333333"/>
          <w:sz w:val="35"/>
          <w:szCs w:val="35"/>
        </w:rPr>
      </w:pPr>
    </w:p>
    <w:p w:rsidR="00AD77BB" w:rsidRDefault="00B45BA0">
      <w:pPr>
        <w:spacing w:after="0" w:line="360" w:lineRule="auto"/>
        <w:ind w:left="1440"/>
        <w:textAlignment w:val="baseline"/>
        <w:rPr>
          <w:rFonts w:eastAsia="Times New Roman" w:cs="Times New Roman"/>
          <w:sz w:val="20"/>
          <w:szCs w:val="20"/>
        </w:rPr>
      </w:pPr>
      <w:r>
        <w:rPr>
          <w:rStyle w:val="title-prefix"/>
          <w:rFonts w:ascii="Calibri" w:hAnsi="Calibri"/>
          <w:color w:val="333333"/>
          <w:sz w:val="35"/>
          <w:szCs w:val="35"/>
        </w:rPr>
        <w:lastRenderedPageBreak/>
        <w:t>6.3</w:t>
      </w:r>
      <w:r>
        <w:rPr>
          <w:rStyle w:val="apple-converted-space"/>
          <w:rFonts w:ascii="Calibri" w:hAnsi="Calibri"/>
          <w:color w:val="333333"/>
        </w:rPr>
        <w:t> </w:t>
      </w:r>
      <w:r>
        <w:rPr>
          <w:rFonts w:ascii="Calibri" w:hAnsi="Calibri"/>
          <w:color w:val="333333"/>
        </w:rPr>
        <w:t>The Sample Proportion</w:t>
      </w:r>
    </w:p>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AD77BB" w:rsidRDefault="00B45BA0">
      <w:pPr>
        <w:numPr>
          <w:ilvl w:val="0"/>
          <w:numId w:val="157"/>
        </w:numPr>
        <w:shd w:val="clear" w:color="auto" w:fill="EAE9DC"/>
        <w:spacing w:after="0" w:line="360" w:lineRule="auto"/>
        <w:ind w:left="360" w:right="374"/>
        <w:textAlignment w:val="baseline"/>
        <w:rPr>
          <w:rFonts w:ascii="Calibri" w:hAnsi="Calibri"/>
          <w:color w:val="333333"/>
          <w:sz w:val="20"/>
          <w:szCs w:val="20"/>
        </w:rPr>
      </w:pPr>
      <w:r>
        <w:rPr>
          <w:rFonts w:ascii="Calibri" w:hAnsi="Calibri"/>
          <w:color w:val="333333"/>
          <w:sz w:val="20"/>
          <w:szCs w:val="20"/>
        </w:rPr>
        <w:t>To recognize that the sample proportion</w:t>
      </w:r>
      <w:r>
        <w:rPr>
          <w:rStyle w:val="apple-converted-space"/>
          <w:rFonts w:ascii="Calibri" w:hAnsi="Calibri"/>
          <w:color w:val="333333"/>
          <w:sz w:val="20"/>
          <w:szCs w:val="20"/>
        </w:rPr>
        <w:t> </w:t>
      </w:r>
      <w:r>
        <w:rPr>
          <w:rStyle w:val="mi"/>
          <w:rFonts w:ascii="MathJax_Math" w:hAnsi="MathJax_Math"/>
          <w:b/>
          <w:i/>
          <w:iCs/>
          <w:color w:val="333333"/>
          <w:sz w:val="12"/>
          <w:szCs w:val="12"/>
        </w:rPr>
        <w:t>P</w:t>
      </w:r>
      <w:r>
        <w:rPr>
          <w:rStyle w:val="mo"/>
          <w:rFonts w:ascii="MathJax_Size1" w:hAnsi="MathJax_Size1"/>
          <w:b/>
          <w:color w:val="333333"/>
          <w:sz w:val="15"/>
          <w:szCs w:val="15"/>
        </w:rPr>
        <w:t>ˆ</w:t>
      </w:r>
      <w:r>
        <w:rPr>
          <w:rStyle w:val="apple-converted-space"/>
          <w:rFonts w:ascii="Calibri" w:hAnsi="Calibri"/>
          <w:color w:val="333333"/>
          <w:sz w:val="20"/>
          <w:szCs w:val="20"/>
        </w:rPr>
        <w:t> </w:t>
      </w:r>
      <w:r>
        <w:rPr>
          <w:rFonts w:ascii="Calibri" w:hAnsi="Calibri"/>
          <w:color w:val="333333"/>
          <w:sz w:val="20"/>
          <w:szCs w:val="20"/>
        </w:rPr>
        <w:t>is a random variable.</w:t>
      </w:r>
    </w:p>
    <w:p w:rsidR="00AD77BB" w:rsidRDefault="00B45BA0">
      <w:pPr>
        <w:numPr>
          <w:ilvl w:val="0"/>
          <w:numId w:val="157"/>
        </w:numPr>
        <w:shd w:val="clear" w:color="auto" w:fill="EAE9DC"/>
        <w:spacing w:after="0" w:line="360" w:lineRule="auto"/>
        <w:ind w:left="360" w:right="374"/>
        <w:textAlignment w:val="baseline"/>
        <w:rPr>
          <w:rFonts w:ascii="Calibri" w:hAnsi="Calibri"/>
          <w:color w:val="333333"/>
          <w:sz w:val="20"/>
          <w:szCs w:val="20"/>
        </w:rPr>
      </w:pPr>
      <w:r>
        <w:rPr>
          <w:rFonts w:ascii="Calibri" w:hAnsi="Calibri"/>
          <w:color w:val="333333"/>
          <w:sz w:val="20"/>
          <w:szCs w:val="20"/>
        </w:rPr>
        <w:t>To understand the meaning of the formulas for the mean and standard deviation of the sample proportion.</w:t>
      </w:r>
    </w:p>
    <w:p w:rsidR="00AD77BB" w:rsidRDefault="00B45BA0">
      <w:pPr>
        <w:numPr>
          <w:ilvl w:val="0"/>
          <w:numId w:val="157"/>
        </w:numPr>
        <w:shd w:val="clear" w:color="auto" w:fill="EAE9DC"/>
        <w:spacing w:after="0" w:line="360" w:lineRule="auto"/>
        <w:ind w:left="360" w:right="374"/>
        <w:textAlignment w:val="baseline"/>
        <w:rPr>
          <w:rFonts w:ascii="Calibri" w:hAnsi="Calibri"/>
          <w:color w:val="333333"/>
          <w:sz w:val="20"/>
          <w:szCs w:val="20"/>
        </w:rPr>
      </w:pPr>
      <w:r>
        <w:rPr>
          <w:rFonts w:ascii="Calibri" w:hAnsi="Calibri"/>
          <w:color w:val="333333"/>
          <w:sz w:val="20"/>
          <w:szCs w:val="20"/>
        </w:rPr>
        <w:t>To learn what the sampling distribution of</w:t>
      </w:r>
      <w:r>
        <w:rPr>
          <w:rStyle w:val="apple-converted-space"/>
          <w:rFonts w:ascii="Calibri" w:hAnsi="Calibri"/>
          <w:color w:val="333333"/>
          <w:sz w:val="20"/>
          <w:szCs w:val="20"/>
        </w:rPr>
        <w:t> </w:t>
      </w:r>
      <w:r>
        <w:rPr>
          <w:rStyle w:val="mi"/>
          <w:rFonts w:ascii="MathJax_Math" w:hAnsi="MathJax_Math"/>
          <w:b/>
          <w:i/>
          <w:iCs/>
          <w:color w:val="333333"/>
          <w:sz w:val="12"/>
          <w:szCs w:val="12"/>
        </w:rPr>
        <w:t>P</w:t>
      </w:r>
      <w:r>
        <w:rPr>
          <w:rStyle w:val="mo"/>
          <w:rFonts w:ascii="MathJax_Size1" w:hAnsi="MathJax_Size1"/>
          <w:b/>
          <w:color w:val="333333"/>
          <w:sz w:val="15"/>
          <w:szCs w:val="15"/>
        </w:rPr>
        <w:t>ˆ</w:t>
      </w:r>
      <w:r>
        <w:rPr>
          <w:rStyle w:val="apple-converted-space"/>
          <w:rFonts w:ascii="Calibri" w:hAnsi="Calibri"/>
          <w:b/>
          <w:color w:val="333333"/>
          <w:sz w:val="20"/>
          <w:szCs w:val="20"/>
        </w:rPr>
        <w:t> </w:t>
      </w:r>
      <w:r>
        <w:rPr>
          <w:rFonts w:ascii="Calibri" w:hAnsi="Calibri"/>
          <w:color w:val="333333"/>
          <w:sz w:val="20"/>
          <w:szCs w:val="20"/>
        </w:rPr>
        <w:t>is when the sample size is large.</w:t>
      </w:r>
    </w:p>
    <w:p w:rsidR="00AD77BB" w:rsidRDefault="00B45BA0">
      <w:pPr>
        <w:pStyle w:val="para"/>
        <w:shd w:val="clear" w:color="auto" w:fill="FFFFFF"/>
        <w:spacing w:before="0" w:beforeAutospacing="0" w:after="0" w:afterAutospacing="0" w:line="439" w:lineRule="atLeast"/>
        <w:textAlignment w:val="baseline"/>
        <w:rPr>
          <w:rStyle w:val="mo"/>
          <w:rFonts w:ascii="MathJax_Main" w:hAnsi="MathJax_Main"/>
          <w:sz w:val="18"/>
          <w:szCs w:val="18"/>
        </w:rPr>
      </w:pPr>
      <w:r>
        <w:rPr>
          <w:rFonts w:ascii="Georgia" w:hAnsi="Georgia"/>
          <w:color w:val="333333"/>
          <w:sz w:val="21"/>
          <w:szCs w:val="21"/>
        </w:rPr>
        <w:t>Often sampling is done in order to estimate the proportion of a population that has a specific characteristic, such as the proportion of all items coming off an assembly line that are defective or the proportion of all people entering a retail store who make a purchase before leaving. The population proportion is denoted</w:t>
      </w:r>
      <w:r>
        <w:rPr>
          <w:rStyle w:val="apple-converted-space"/>
          <w:rFonts w:ascii="Georgia" w:hAnsi="Georgia"/>
          <w:color w:val="333333"/>
          <w:sz w:val="21"/>
          <w:szCs w:val="21"/>
        </w:rPr>
        <w:t> </w:t>
      </w:r>
      <w:r>
        <w:rPr>
          <w:rStyle w:val="Emphasis"/>
          <w:rFonts w:ascii="Georgia" w:hAnsi="Georgia"/>
          <w:color w:val="333333"/>
          <w:sz w:val="20"/>
          <w:szCs w:val="20"/>
        </w:rPr>
        <w:t>p</w:t>
      </w:r>
      <w:r>
        <w:rPr>
          <w:rStyle w:val="apple-converted-space"/>
          <w:rFonts w:ascii="Georgia" w:hAnsi="Georgia"/>
          <w:color w:val="333333"/>
          <w:sz w:val="21"/>
          <w:szCs w:val="21"/>
        </w:rPr>
        <w:t> </w:t>
      </w:r>
      <w:r>
        <w:rPr>
          <w:rFonts w:ascii="Georgia" w:hAnsi="Georgia"/>
          <w:color w:val="333333"/>
          <w:sz w:val="21"/>
          <w:szCs w:val="21"/>
        </w:rPr>
        <w:t>and the sample proportion is denoted</w:t>
      </w:r>
      <w:r>
        <w:rPr>
          <w:rStyle w:val="apple-converted-space"/>
          <w:rFonts w:ascii="Georgia" w:hAnsi="Georgia"/>
          <w:color w:val="333333"/>
          <w:sz w:val="21"/>
          <w:szCs w:val="21"/>
        </w:rPr>
        <w:t> </w:t>
      </w:r>
      <w:r>
        <w:rPr>
          <w:rStyle w:val="mi"/>
          <w:rFonts w:ascii="MathJax_Math" w:hAnsi="MathJax_Math"/>
          <w:i/>
          <w:iCs/>
          <w:color w:val="333333"/>
          <w:sz w:val="18"/>
          <w:szCs w:val="18"/>
        </w:rPr>
        <w:t>p</w:t>
      </w:r>
      <w:r>
        <w:rPr>
          <w:rStyle w:val="mo"/>
          <w:rFonts w:ascii="MathJax_Main" w:hAnsi="MathJax_Main"/>
          <w:color w:val="333333"/>
          <w:sz w:val="18"/>
          <w:szCs w:val="18"/>
        </w:rPr>
        <w:t>ˆ.</w:t>
      </w:r>
      <w:r>
        <w:rPr>
          <w:rStyle w:val="apple-converted-space"/>
          <w:rFonts w:ascii="Georgia" w:hAnsi="Georgia"/>
          <w:color w:val="333333"/>
          <w:sz w:val="21"/>
          <w:szCs w:val="21"/>
        </w:rPr>
        <w:t> </w:t>
      </w:r>
      <w:r>
        <w:rPr>
          <w:rFonts w:ascii="Georgia" w:hAnsi="Georgia"/>
          <w:color w:val="333333"/>
          <w:sz w:val="21"/>
          <w:szCs w:val="21"/>
        </w:rPr>
        <w:t>Thus if in reality 43% of people entering a store make a purchase before leaving,</w:t>
      </w:r>
      <w:r>
        <w:rPr>
          <w:rStyle w:val="apple-converted-space"/>
          <w:rFonts w:ascii="Georgia" w:hAnsi="Georgia"/>
          <w:color w:val="333333"/>
          <w:sz w:val="21"/>
          <w:szCs w:val="21"/>
        </w:rPr>
        <w:t> </w:t>
      </w:r>
      <w:r>
        <w:rPr>
          <w:rStyle w:val="Emphasis"/>
          <w:rFonts w:ascii="Georgia" w:hAnsi="Georgia"/>
          <w:color w:val="333333"/>
          <w:sz w:val="20"/>
          <w:szCs w:val="20"/>
        </w:rPr>
        <w:t>p</w:t>
      </w:r>
      <w:r>
        <w:rPr>
          <w:rStyle w:val="apple-converted-space"/>
          <w:rFonts w:ascii="Georgia" w:hAnsi="Georgia"/>
          <w:color w:val="333333"/>
          <w:sz w:val="21"/>
          <w:szCs w:val="21"/>
        </w:rPr>
        <w:t> </w:t>
      </w:r>
      <w:r>
        <w:rPr>
          <w:rFonts w:ascii="Georgia" w:hAnsi="Georgia"/>
          <w:color w:val="333333"/>
          <w:sz w:val="21"/>
          <w:szCs w:val="21"/>
        </w:rPr>
        <w:t>= 0.43; if in a sample of 200 people entering the store, 78 make a purchase,</w:t>
      </w:r>
      <w:r>
        <w:rPr>
          <w:rStyle w:val="apple-converted-space"/>
          <w:rFonts w:ascii="Georgia" w:hAnsi="Georgia"/>
          <w:b/>
          <w:color w:val="333333"/>
          <w:sz w:val="21"/>
          <w:szCs w:val="21"/>
        </w:rPr>
        <w:t> </w:t>
      </w:r>
      <w:r>
        <w:rPr>
          <w:rStyle w:val="mi"/>
          <w:rFonts w:ascii="MathJax_Math" w:hAnsi="MathJax_Math"/>
          <w:b/>
          <w:i/>
          <w:iCs/>
          <w:color w:val="333333"/>
          <w:sz w:val="18"/>
          <w:szCs w:val="18"/>
        </w:rPr>
        <w:t>p</w:t>
      </w:r>
      <w:r>
        <w:rPr>
          <w:rStyle w:val="mo"/>
          <w:rFonts w:ascii="MathJax_Main" w:hAnsi="MathJax_Main"/>
          <w:b/>
          <w:color w:val="333333"/>
          <w:sz w:val="18"/>
          <w:szCs w:val="18"/>
        </w:rPr>
        <w:t>ˆ=</w:t>
      </w:r>
      <w:r>
        <w:rPr>
          <w:rStyle w:val="mn"/>
          <w:rFonts w:ascii="MathJax_Main" w:hAnsi="MathJax_Main"/>
          <w:b/>
          <w:color w:val="333333"/>
          <w:sz w:val="18"/>
          <w:szCs w:val="18"/>
        </w:rPr>
        <w:t>78</w:t>
      </w:r>
      <w:r>
        <w:rPr>
          <w:rStyle w:val="mo"/>
          <w:rFonts w:ascii="MathJax_Main" w:hAnsi="MathJax_Main"/>
          <w:b/>
          <w:color w:val="333333"/>
          <w:sz w:val="18"/>
          <w:szCs w:val="18"/>
        </w:rPr>
        <w:t>/</w:t>
      </w:r>
      <w:r>
        <w:rPr>
          <w:rStyle w:val="mn"/>
          <w:rFonts w:ascii="MathJax_Main" w:hAnsi="MathJax_Main"/>
          <w:b/>
          <w:color w:val="333333"/>
          <w:sz w:val="18"/>
          <w:szCs w:val="18"/>
        </w:rPr>
        <w:t>200</w:t>
      </w:r>
      <w:r>
        <w:rPr>
          <w:rStyle w:val="mo"/>
          <w:rFonts w:ascii="MathJax_Main" w:hAnsi="MathJax_Main"/>
          <w:b/>
          <w:color w:val="333333"/>
          <w:sz w:val="18"/>
          <w:szCs w:val="18"/>
        </w:rPr>
        <w:t>=</w:t>
      </w:r>
      <w:r>
        <w:rPr>
          <w:rStyle w:val="mn"/>
          <w:rFonts w:ascii="MathJax_Main" w:hAnsi="MathJax_Main"/>
          <w:b/>
          <w:color w:val="333333"/>
          <w:sz w:val="18"/>
          <w:szCs w:val="18"/>
        </w:rPr>
        <w:t>0.39</w:t>
      </w:r>
      <w:r>
        <w:rPr>
          <w:rStyle w:val="mo"/>
          <w:rFonts w:ascii="MathJax_Main" w:hAnsi="MathJax_Main"/>
          <w:b/>
          <w:color w:val="333333"/>
          <w:sz w:val="18"/>
          <w:szCs w:val="18"/>
        </w:rPr>
        <w:t>.</w:t>
      </w:r>
    </w:p>
    <w:p w:rsidR="00AD77BB" w:rsidRDefault="00AD77BB">
      <w:pPr>
        <w:pStyle w:val="para"/>
        <w:shd w:val="clear" w:color="auto" w:fill="FFFFFF"/>
        <w:spacing w:before="0" w:beforeAutospacing="0" w:after="0" w:afterAutospacing="0" w:line="439" w:lineRule="atLeast"/>
        <w:textAlignment w:val="baseline"/>
        <w:rPr>
          <w:rFonts w:ascii="Georgia" w:hAnsi="Georgia"/>
          <w:sz w:val="21"/>
          <w:szCs w:val="21"/>
        </w:rPr>
      </w:pPr>
    </w:p>
    <w:p w:rsidR="00AD77BB" w:rsidRDefault="00B45BA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sample proportion is a random variable: it varies from sample to sample in a way that cannot be predicted with certainty. Viewed as a random variable it will be written</w:t>
      </w:r>
      <w:r>
        <w:rPr>
          <w:rStyle w:val="apple-converted-space"/>
          <w:rFonts w:ascii="Georgia" w:hAnsi="Georgia"/>
          <w:color w:val="333333"/>
          <w:sz w:val="21"/>
          <w:szCs w:val="21"/>
        </w:rPr>
        <w:t> </w:t>
      </w:r>
      <w:r>
        <w:rPr>
          <w:rStyle w:val="mi"/>
          <w:rFonts w:ascii="MathJax_Math" w:hAnsi="MathJax_Math"/>
          <w:b/>
          <w:i/>
          <w:iCs/>
          <w:color w:val="333333"/>
          <w:sz w:val="15"/>
          <w:szCs w:val="15"/>
        </w:rPr>
        <w:t>P</w:t>
      </w:r>
      <w:r>
        <w:rPr>
          <w:rStyle w:val="mo"/>
          <w:rFonts w:ascii="MathJax_Size1" w:hAnsi="MathJax_Size1"/>
          <w:b/>
          <w:color w:val="333333"/>
          <w:sz w:val="18"/>
          <w:szCs w:val="18"/>
        </w:rPr>
        <w:t>ˆ</w:t>
      </w:r>
      <w:r>
        <w:rPr>
          <w:rStyle w:val="mo"/>
          <w:rFonts w:ascii="MathJax_Main" w:hAnsi="MathJax_Main"/>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It has a</w:t>
      </w:r>
      <w:r>
        <w:rPr>
          <w:rStyle w:val="apple-converted-space"/>
          <w:rFonts w:ascii="Georgia" w:hAnsi="Georgia"/>
          <w:color w:val="333333"/>
          <w:sz w:val="21"/>
          <w:szCs w:val="21"/>
        </w:rPr>
        <w:t> </w:t>
      </w:r>
      <w:r>
        <w:rPr>
          <w:rStyle w:val="marginterm"/>
          <w:rFonts w:ascii="Georgia" w:hAnsi="Georgia"/>
          <w:b/>
          <w:color w:val="333333"/>
          <w:sz w:val="20"/>
          <w:szCs w:val="20"/>
        </w:rPr>
        <w:t>mean</w:t>
      </w:r>
      <w:r>
        <w:rPr>
          <w:rStyle w:val="apple-converted-space"/>
          <w:rFonts w:ascii="Georgia" w:hAnsi="Georgia"/>
          <w:b/>
          <w:color w:val="333333"/>
          <w:sz w:val="21"/>
          <w:szCs w:val="21"/>
        </w:rPr>
        <w:t> </w:t>
      </w:r>
      <w:r>
        <w:rPr>
          <w:rStyle w:val="mi"/>
          <w:rFonts w:ascii="MathJax_Math" w:hAnsi="MathJax_Math"/>
          <w:b/>
          <w:i/>
          <w:iCs/>
          <w:color w:val="333333"/>
          <w:sz w:val="18"/>
          <w:szCs w:val="18"/>
        </w:rPr>
        <w:t>μ</w:t>
      </w:r>
      <w:r>
        <w:rPr>
          <w:rStyle w:val="mi"/>
          <w:rFonts w:ascii="MathJax_Math" w:hAnsi="MathJax_Math"/>
          <w:b/>
          <w:i/>
          <w:iCs/>
          <w:color w:val="333333"/>
          <w:sz w:val="14"/>
          <w:szCs w:val="14"/>
          <w:vertAlign w:val="subscript"/>
        </w:rPr>
        <w:t>P</w:t>
      </w:r>
      <w:r>
        <w:rPr>
          <w:rStyle w:val="mo"/>
          <w:rFonts w:ascii="MathJax_Size1" w:hAnsi="MathJax_Size1"/>
          <w:b/>
          <w:color w:val="333333"/>
          <w:sz w:val="14"/>
          <w:szCs w:val="14"/>
          <w:vertAlign w:val="subscript"/>
        </w:rPr>
        <w:t>ˆ</w:t>
      </w:r>
      <w:r>
        <w:rPr>
          <w:rStyle w:val="apple-converted-space"/>
          <w:rFonts w:ascii="Georgia" w:hAnsi="Georgia"/>
          <w:color w:val="333333"/>
          <w:sz w:val="21"/>
          <w:szCs w:val="21"/>
        </w:rPr>
        <w:t> </w:t>
      </w:r>
      <w:r>
        <w:rPr>
          <w:rFonts w:ascii="Georgia" w:hAnsi="Georgia"/>
          <w:color w:val="333333"/>
          <w:sz w:val="21"/>
          <w:szCs w:val="21"/>
        </w:rPr>
        <w:t>and a</w:t>
      </w:r>
      <w:r>
        <w:rPr>
          <w:rStyle w:val="apple-converted-space"/>
          <w:rFonts w:ascii="Georgia" w:hAnsi="Georgia"/>
          <w:color w:val="333333"/>
          <w:sz w:val="21"/>
          <w:szCs w:val="21"/>
        </w:rPr>
        <w:t> </w:t>
      </w:r>
      <w:r>
        <w:rPr>
          <w:rStyle w:val="marginterm"/>
          <w:rFonts w:ascii="Georgia" w:hAnsi="Georgia"/>
          <w:b/>
          <w:color w:val="333333"/>
          <w:sz w:val="20"/>
          <w:szCs w:val="20"/>
        </w:rPr>
        <w:t>standard deviation</w:t>
      </w:r>
      <w:r>
        <w:rPr>
          <w:rStyle w:val="apple-converted-space"/>
          <w:rFonts w:ascii="Georgia" w:hAnsi="Georgia"/>
          <w:color w:val="333333"/>
          <w:sz w:val="21"/>
          <w:szCs w:val="21"/>
        </w:rPr>
        <w:t> </w:t>
      </w:r>
      <w:r>
        <w:rPr>
          <w:rStyle w:val="mi"/>
          <w:rFonts w:ascii="MathJax_Math" w:hAnsi="MathJax_Math"/>
          <w:b/>
          <w:i/>
          <w:iCs/>
          <w:color w:val="333333"/>
          <w:sz w:val="18"/>
          <w:szCs w:val="18"/>
        </w:rPr>
        <w:t>σ</w:t>
      </w:r>
      <w:r>
        <w:rPr>
          <w:rStyle w:val="mi"/>
          <w:rFonts w:ascii="MathJax_Math" w:hAnsi="MathJax_Math"/>
          <w:b/>
          <w:i/>
          <w:iCs/>
          <w:color w:val="333333"/>
          <w:sz w:val="14"/>
          <w:szCs w:val="14"/>
          <w:vertAlign w:val="subscript"/>
        </w:rPr>
        <w:t>P</w:t>
      </w:r>
      <w:r>
        <w:rPr>
          <w:rStyle w:val="mo"/>
          <w:rFonts w:ascii="MathJax_Size1" w:hAnsi="MathJax_Size1"/>
          <w:b/>
          <w:color w:val="333333"/>
          <w:sz w:val="14"/>
          <w:szCs w:val="14"/>
          <w:vertAlign w:val="subscript"/>
        </w:rPr>
        <w:t>ˆ</w:t>
      </w:r>
      <w:r>
        <w:rPr>
          <w:rStyle w:val="mo"/>
          <w:rFonts w:ascii="MathJax_Main" w:hAnsi="MathJax_Main"/>
          <w:b/>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Here are formulas for their values.</w:t>
      </w:r>
    </w:p>
    <w:p w:rsidR="00AD77BB" w:rsidRDefault="00B45BA0">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D905550" wp14:editId="3525AC4A">
            <wp:extent cx="6057900" cy="6705600"/>
            <wp:effectExtent l="0" t="0" r="0" b="0"/>
            <wp:docPr id="203"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057900" cy="670560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14F5EA4" wp14:editId="5CEE5F31">
            <wp:extent cx="5076825" cy="5000625"/>
            <wp:effectExtent l="0" t="0" r="9525" b="9525"/>
            <wp:docPr id="204"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076825" cy="5000625"/>
                    </a:xfrm>
                    <a:prstGeom prst="rect">
                      <a:avLst/>
                    </a:prstGeom>
                    <a:noFill/>
                    <a:ln>
                      <a:noFill/>
                    </a:ln>
                  </pic:spPr>
                </pic:pic>
              </a:graphicData>
            </a:graphic>
          </wp:inline>
        </w:drawing>
      </w:r>
    </w:p>
    <w:p w:rsidR="00AD77BB" w:rsidRDefault="00AD77BB">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2689C6"/>
          <w:sz w:val="21"/>
          <w:szCs w:val="21"/>
        </w:rPr>
        <w:t>Figure 6.5 "Distribution of Sample Proportions"</w:t>
      </w:r>
      <w:r>
        <w:rPr>
          <w:rStyle w:val="apple-converted-space"/>
          <w:rFonts w:ascii="Georgia" w:hAnsi="Georgia"/>
          <w:color w:val="333333"/>
          <w:sz w:val="21"/>
          <w:szCs w:val="21"/>
        </w:rPr>
        <w:t> </w:t>
      </w:r>
      <w:r>
        <w:rPr>
          <w:rFonts w:ascii="Georgia" w:hAnsi="Georgia"/>
          <w:color w:val="333333"/>
          <w:sz w:val="21"/>
          <w:szCs w:val="21"/>
        </w:rPr>
        <w:t>shows that when</w:t>
      </w:r>
      <w:r>
        <w:rPr>
          <w:rStyle w:val="apple-converted-space"/>
          <w:rFonts w:ascii="Georgia" w:hAnsi="Georgia"/>
          <w:color w:val="333333"/>
          <w:sz w:val="21"/>
          <w:szCs w:val="21"/>
        </w:rPr>
        <w:t> </w:t>
      </w:r>
      <w:r>
        <w:rPr>
          <w:rStyle w:val="Emphasis"/>
          <w:rFonts w:ascii="Georgia" w:hAnsi="Georgia"/>
          <w:color w:val="333333"/>
          <w:sz w:val="20"/>
          <w:szCs w:val="20"/>
        </w:rPr>
        <w:t>p</w:t>
      </w:r>
      <w:r>
        <w:rPr>
          <w:rStyle w:val="apple-converted-space"/>
          <w:rFonts w:ascii="Georgia" w:hAnsi="Georgia"/>
          <w:color w:val="333333"/>
          <w:sz w:val="21"/>
          <w:szCs w:val="21"/>
        </w:rPr>
        <w:t> </w:t>
      </w:r>
      <w:r>
        <w:rPr>
          <w:rFonts w:ascii="Georgia" w:hAnsi="Georgia"/>
          <w:color w:val="333333"/>
          <w:sz w:val="21"/>
          <w:szCs w:val="21"/>
        </w:rPr>
        <w:t>= 0.1 a sample of size 15 is too small but a sample of size 100 is acceptable.</w:t>
      </w:r>
      <w:r>
        <w:rPr>
          <w:rStyle w:val="apple-converted-space"/>
          <w:rFonts w:ascii="Georgia" w:hAnsi="Georgia"/>
          <w:color w:val="333333"/>
          <w:sz w:val="21"/>
          <w:szCs w:val="21"/>
        </w:rPr>
        <w:t> </w:t>
      </w:r>
      <w:r>
        <w:rPr>
          <w:rFonts w:ascii="Georgia" w:hAnsi="Georgia"/>
          <w:color w:val="2689C6"/>
          <w:sz w:val="21"/>
          <w:szCs w:val="21"/>
        </w:rPr>
        <w:t>Figure 6.6 "Distribution</w:t>
      </w:r>
      <w:r>
        <w:rPr>
          <w:rStyle w:val="apple-converted-space"/>
          <w:rFonts w:ascii="Georgia" w:hAnsi="Georgia"/>
          <w:color w:val="2689C6"/>
          <w:sz w:val="21"/>
          <w:szCs w:val="21"/>
        </w:rPr>
        <w:t> </w:t>
      </w:r>
      <w:r>
        <w:rPr>
          <w:rFonts w:ascii="Georgia" w:hAnsi="Georgia"/>
          <w:color w:val="2689C6"/>
          <w:sz w:val="21"/>
          <w:szCs w:val="21"/>
        </w:rPr>
        <w:t>of Sample Proportions for "</w:t>
      </w:r>
      <w:r>
        <w:rPr>
          <w:rStyle w:val="apple-converted-space"/>
          <w:rFonts w:ascii="Georgia" w:hAnsi="Georgia"/>
          <w:color w:val="333333"/>
          <w:sz w:val="21"/>
          <w:szCs w:val="21"/>
        </w:rPr>
        <w:t> </w:t>
      </w:r>
      <w:r>
        <w:rPr>
          <w:rFonts w:ascii="Georgia" w:hAnsi="Georgia"/>
          <w:color w:val="333333"/>
          <w:sz w:val="21"/>
          <w:szCs w:val="21"/>
        </w:rPr>
        <w:t>shows that when</w:t>
      </w:r>
      <w:r>
        <w:rPr>
          <w:rStyle w:val="apple-converted-space"/>
          <w:rFonts w:ascii="Georgia" w:hAnsi="Georgia"/>
          <w:color w:val="333333"/>
          <w:sz w:val="21"/>
          <w:szCs w:val="21"/>
        </w:rPr>
        <w:t> </w:t>
      </w:r>
      <w:r>
        <w:rPr>
          <w:rStyle w:val="Emphasis"/>
          <w:rFonts w:ascii="Georgia" w:hAnsi="Georgia"/>
          <w:color w:val="333333"/>
          <w:sz w:val="20"/>
          <w:szCs w:val="20"/>
        </w:rPr>
        <w:t>p</w:t>
      </w:r>
      <w:r>
        <w:rPr>
          <w:rStyle w:val="apple-converted-space"/>
          <w:rFonts w:ascii="Georgia" w:hAnsi="Georgia"/>
          <w:color w:val="333333"/>
          <w:sz w:val="21"/>
          <w:szCs w:val="21"/>
        </w:rPr>
        <w:t> </w:t>
      </w:r>
      <w:r>
        <w:rPr>
          <w:rFonts w:ascii="Georgia" w:hAnsi="Georgia"/>
          <w:color w:val="333333"/>
          <w:sz w:val="21"/>
          <w:szCs w:val="21"/>
        </w:rPr>
        <w:t>= 0.5 a sample of size 15 is acceptable.</w:t>
      </w:r>
    </w:p>
    <w:p w:rsidR="00AD77BB" w:rsidRDefault="00AD77BB">
      <w:pPr>
        <w:pStyle w:val="Title7"/>
        <w:shd w:val="clear" w:color="auto" w:fill="FFFFFF"/>
        <w:spacing w:before="0" w:beforeAutospacing="0" w:after="0" w:afterAutospacing="0" w:line="439" w:lineRule="atLeast"/>
        <w:textAlignment w:val="baseline"/>
        <w:rPr>
          <w:rStyle w:val="title-prefix"/>
          <w:i/>
          <w:iCs/>
          <w:color w:val="000000"/>
          <w:sz w:val="20"/>
          <w:szCs w:val="20"/>
        </w:rPr>
      </w:pPr>
    </w:p>
    <w:p w:rsidR="00AD77BB" w:rsidRDefault="00AD77BB">
      <w:pPr>
        <w:pStyle w:val="Title7"/>
        <w:shd w:val="clear" w:color="auto" w:fill="FFFFFF"/>
        <w:spacing w:before="0" w:beforeAutospacing="0" w:after="0" w:afterAutospacing="0" w:line="439" w:lineRule="atLeast"/>
        <w:textAlignment w:val="baseline"/>
        <w:rPr>
          <w:rStyle w:val="title-prefix"/>
          <w:rFonts w:ascii="Georgia" w:hAnsi="Georgia"/>
          <w:i/>
          <w:iCs/>
          <w:color w:val="000000"/>
          <w:sz w:val="20"/>
          <w:szCs w:val="20"/>
        </w:rPr>
      </w:pPr>
    </w:p>
    <w:p w:rsidR="00AD77BB" w:rsidRDefault="00AD77BB">
      <w:pPr>
        <w:pStyle w:val="Title7"/>
        <w:shd w:val="clear" w:color="auto" w:fill="FFFFFF"/>
        <w:spacing w:before="0" w:beforeAutospacing="0" w:after="0" w:afterAutospacing="0" w:line="439" w:lineRule="atLeast"/>
        <w:textAlignment w:val="baseline"/>
        <w:rPr>
          <w:rStyle w:val="title-prefix"/>
          <w:rFonts w:ascii="Georgia" w:hAnsi="Georgia"/>
          <w:i/>
          <w:iCs/>
          <w:color w:val="000000"/>
          <w:sz w:val="20"/>
          <w:szCs w:val="20"/>
        </w:rPr>
      </w:pPr>
    </w:p>
    <w:p w:rsidR="00AD77BB" w:rsidRDefault="00AD77BB">
      <w:pPr>
        <w:pStyle w:val="Title7"/>
        <w:shd w:val="clear" w:color="auto" w:fill="FFFFFF"/>
        <w:spacing w:before="0" w:beforeAutospacing="0" w:after="0" w:afterAutospacing="0" w:line="439" w:lineRule="atLeast"/>
        <w:textAlignment w:val="baseline"/>
        <w:rPr>
          <w:rStyle w:val="title-prefix"/>
          <w:rFonts w:ascii="Georgia" w:hAnsi="Georgia"/>
          <w:i/>
          <w:iCs/>
          <w:color w:val="000000"/>
          <w:sz w:val="20"/>
          <w:szCs w:val="20"/>
        </w:rPr>
      </w:pPr>
    </w:p>
    <w:p w:rsidR="00AD77BB" w:rsidRDefault="00AD77BB">
      <w:pPr>
        <w:pStyle w:val="Title7"/>
        <w:shd w:val="clear" w:color="auto" w:fill="FFFFFF"/>
        <w:spacing w:before="0" w:beforeAutospacing="0" w:after="0" w:afterAutospacing="0" w:line="439" w:lineRule="atLeast"/>
        <w:textAlignment w:val="baseline"/>
        <w:rPr>
          <w:rStyle w:val="title-prefix"/>
          <w:rFonts w:ascii="Georgia" w:hAnsi="Georgia"/>
          <w:i/>
          <w:iCs/>
          <w:color w:val="000000"/>
          <w:sz w:val="20"/>
          <w:szCs w:val="20"/>
        </w:rPr>
      </w:pPr>
    </w:p>
    <w:p w:rsidR="00AD77BB" w:rsidRDefault="00AD77BB">
      <w:pPr>
        <w:pStyle w:val="Title7"/>
        <w:shd w:val="clear" w:color="auto" w:fill="FFFFFF"/>
        <w:spacing w:before="0" w:beforeAutospacing="0" w:after="0" w:afterAutospacing="0" w:line="439" w:lineRule="atLeast"/>
        <w:textAlignment w:val="baseline"/>
        <w:rPr>
          <w:rStyle w:val="title-prefix"/>
          <w:rFonts w:ascii="Georgia" w:hAnsi="Georgia"/>
          <w:i/>
          <w:iCs/>
          <w:color w:val="000000"/>
          <w:sz w:val="20"/>
          <w:szCs w:val="20"/>
        </w:rPr>
      </w:pPr>
    </w:p>
    <w:p w:rsidR="00AD77BB" w:rsidRDefault="00AD77BB">
      <w:pPr>
        <w:pStyle w:val="Title7"/>
        <w:shd w:val="clear" w:color="auto" w:fill="FFFFFF"/>
        <w:spacing w:before="0" w:beforeAutospacing="0" w:after="0" w:afterAutospacing="0" w:line="439" w:lineRule="atLeast"/>
        <w:textAlignment w:val="baseline"/>
        <w:rPr>
          <w:rStyle w:val="title-prefix"/>
          <w:rFonts w:ascii="Georgia" w:hAnsi="Georgia"/>
          <w:i/>
          <w:iCs/>
          <w:color w:val="000000"/>
          <w:sz w:val="20"/>
          <w:szCs w:val="20"/>
        </w:rPr>
      </w:pPr>
    </w:p>
    <w:p w:rsidR="00AD77BB" w:rsidRDefault="00B45BA0">
      <w:pPr>
        <w:pStyle w:val="Title7"/>
        <w:shd w:val="clear" w:color="auto" w:fill="FFFFFF"/>
        <w:spacing w:before="0" w:beforeAutospacing="0" w:after="0" w:afterAutospacing="0" w:line="439" w:lineRule="atLeast"/>
        <w:textAlignment w:val="baseline"/>
        <w:rPr>
          <w:color w:val="BB9966"/>
          <w:sz w:val="22"/>
          <w:szCs w:val="22"/>
        </w:rPr>
      </w:pPr>
      <w:r>
        <w:rPr>
          <w:rStyle w:val="title-prefix"/>
          <w:rFonts w:ascii="Georgia" w:hAnsi="Georgia"/>
          <w:i/>
          <w:iCs/>
          <w:color w:val="000000"/>
          <w:sz w:val="20"/>
          <w:szCs w:val="20"/>
        </w:rPr>
        <w:lastRenderedPageBreak/>
        <w:t>Figure 6.5</w:t>
      </w:r>
      <w:r>
        <w:rPr>
          <w:rStyle w:val="apple-converted-space"/>
          <w:rFonts w:ascii="Georgia" w:hAnsi="Georgia"/>
          <w:i/>
          <w:iCs/>
          <w:color w:val="BB9966"/>
          <w:sz w:val="22"/>
          <w:szCs w:val="22"/>
        </w:rPr>
        <w:t> </w:t>
      </w:r>
      <w:r>
        <w:rPr>
          <w:rFonts w:ascii="Georgia" w:hAnsi="Georgia"/>
          <w:i/>
          <w:iCs/>
          <w:color w:val="BB9966"/>
          <w:sz w:val="22"/>
          <w:szCs w:val="22"/>
        </w:rPr>
        <w:t>Distribution of Sample Proportions</w:t>
      </w:r>
    </w:p>
    <w:p w:rsidR="00AD77BB" w:rsidRDefault="00B45BA0">
      <w:pPr>
        <w:shd w:val="clear" w:color="auto" w:fill="FFFFFF"/>
        <w:spacing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14:anchorId="3FC6BBAF" wp14:editId="461B088F">
            <wp:extent cx="6086475" cy="2181225"/>
            <wp:effectExtent l="0" t="0" r="9525" b="9525"/>
            <wp:docPr id="205" name="Picture 220" descr="http://images.flatworldknowledge.com/shafer/shafer-fig0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images.flatworldknowledge.com/shafer/shafer-fig06_005.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086475" cy="2181225"/>
                    </a:xfrm>
                    <a:prstGeom prst="rect">
                      <a:avLst/>
                    </a:prstGeom>
                    <a:noFill/>
                    <a:ln>
                      <a:noFill/>
                    </a:ln>
                  </pic:spPr>
                </pic:pic>
              </a:graphicData>
            </a:graphic>
          </wp:inline>
        </w:drawing>
      </w:r>
    </w:p>
    <w:p w:rsidR="00AD77BB" w:rsidRDefault="00AD77BB">
      <w:pPr>
        <w:pStyle w:val="Title7"/>
        <w:shd w:val="clear" w:color="auto" w:fill="FFFFFF"/>
        <w:spacing w:before="0" w:beforeAutospacing="0" w:after="0" w:afterAutospacing="0" w:line="439" w:lineRule="atLeast"/>
        <w:textAlignment w:val="baseline"/>
        <w:rPr>
          <w:rStyle w:val="title-prefix"/>
          <w:rFonts w:ascii="Georgia" w:hAnsi="Georgia"/>
          <w:i/>
          <w:iCs/>
          <w:color w:val="000000"/>
          <w:sz w:val="20"/>
          <w:szCs w:val="20"/>
        </w:rPr>
      </w:pPr>
    </w:p>
    <w:p w:rsidR="00AD77BB" w:rsidRDefault="00B45BA0">
      <w:pPr>
        <w:pStyle w:val="Title7"/>
        <w:shd w:val="clear" w:color="auto" w:fill="FFFFFF"/>
        <w:spacing w:before="0" w:beforeAutospacing="0" w:after="0" w:afterAutospacing="0" w:line="439" w:lineRule="atLeast"/>
        <w:textAlignment w:val="baseline"/>
        <w:rPr>
          <w:color w:val="BB9966"/>
          <w:sz w:val="22"/>
          <w:szCs w:val="22"/>
        </w:rPr>
      </w:pPr>
      <w:r>
        <w:rPr>
          <w:rStyle w:val="title-prefix"/>
          <w:rFonts w:ascii="Georgia" w:hAnsi="Georgia"/>
          <w:i/>
          <w:iCs/>
          <w:color w:val="000000"/>
          <w:sz w:val="20"/>
          <w:szCs w:val="20"/>
        </w:rPr>
        <w:t>Figure 6.6</w:t>
      </w:r>
      <w:r>
        <w:rPr>
          <w:rStyle w:val="apple-converted-space"/>
          <w:rFonts w:ascii="Georgia" w:hAnsi="Georgia"/>
          <w:i/>
          <w:iCs/>
          <w:color w:val="BB9966"/>
          <w:sz w:val="22"/>
          <w:szCs w:val="22"/>
        </w:rPr>
        <w:t> </w:t>
      </w:r>
      <w:r>
        <w:rPr>
          <w:rFonts w:ascii="Georgia" w:hAnsi="Georgia"/>
          <w:i/>
          <w:iCs/>
          <w:color w:val="BB9966"/>
          <w:sz w:val="22"/>
          <w:szCs w:val="22"/>
        </w:rPr>
        <w:t>Distribution of Sample Proportions for</w:t>
      </w:r>
      <w:r>
        <w:rPr>
          <w:rStyle w:val="apple-converted-space"/>
          <w:rFonts w:ascii="Georgia" w:hAnsi="Georgia"/>
          <w:i/>
          <w:iCs/>
          <w:color w:val="BB9966"/>
          <w:sz w:val="22"/>
          <w:szCs w:val="22"/>
        </w:rPr>
        <w:t> </w:t>
      </w:r>
      <w:r>
        <w:rPr>
          <w:rStyle w:val="Emphasis"/>
          <w:rFonts w:ascii="Georgia" w:hAnsi="Georgia"/>
          <w:color w:val="BB9966"/>
          <w:sz w:val="20"/>
          <w:szCs w:val="20"/>
        </w:rPr>
        <w:t>p</w:t>
      </w:r>
      <w:r>
        <w:rPr>
          <w:rStyle w:val="apple-converted-space"/>
          <w:rFonts w:ascii="Georgia" w:hAnsi="Georgia"/>
          <w:i/>
          <w:iCs/>
          <w:color w:val="BB9966"/>
          <w:sz w:val="22"/>
          <w:szCs w:val="22"/>
        </w:rPr>
        <w:t> </w:t>
      </w:r>
      <w:r>
        <w:rPr>
          <w:rFonts w:ascii="Georgia" w:hAnsi="Georgia"/>
          <w:i/>
          <w:iCs/>
          <w:color w:val="BB9966"/>
          <w:sz w:val="22"/>
          <w:szCs w:val="22"/>
        </w:rPr>
        <w:t>= 0.5 and</w:t>
      </w:r>
      <w:r>
        <w:rPr>
          <w:rStyle w:val="apple-converted-space"/>
          <w:rFonts w:ascii="Georgia" w:hAnsi="Georgia"/>
          <w:i/>
          <w:iCs/>
          <w:color w:val="BB9966"/>
          <w:sz w:val="22"/>
          <w:szCs w:val="22"/>
        </w:rPr>
        <w:t> </w:t>
      </w:r>
      <w:r>
        <w:rPr>
          <w:rStyle w:val="Emphasis"/>
          <w:rFonts w:ascii="Georgia" w:hAnsi="Georgia"/>
          <w:color w:val="BB9966"/>
          <w:sz w:val="20"/>
          <w:szCs w:val="20"/>
        </w:rPr>
        <w:t>n</w:t>
      </w:r>
      <w:r>
        <w:rPr>
          <w:rStyle w:val="apple-converted-space"/>
          <w:rFonts w:ascii="Georgia" w:hAnsi="Georgia"/>
          <w:i/>
          <w:iCs/>
          <w:color w:val="BB9966"/>
          <w:sz w:val="22"/>
          <w:szCs w:val="22"/>
        </w:rPr>
        <w:t> </w:t>
      </w:r>
      <w:r>
        <w:rPr>
          <w:rFonts w:ascii="Georgia" w:hAnsi="Georgia"/>
          <w:i/>
          <w:iCs/>
          <w:color w:val="BB9966"/>
          <w:sz w:val="22"/>
          <w:szCs w:val="22"/>
        </w:rPr>
        <w:t>= 15</w:t>
      </w:r>
    </w:p>
    <w:p w:rsidR="00AD77BB" w:rsidRDefault="00B45BA0">
      <w:pPr>
        <w:shd w:val="clear" w:color="auto" w:fill="FFFFFF"/>
        <w:spacing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14:anchorId="16242394" wp14:editId="03759F24">
            <wp:extent cx="5962650" cy="2247900"/>
            <wp:effectExtent l="0" t="0" r="0" b="0"/>
            <wp:docPr id="206" name="Picture 219" descr="http://images.flatworldknowledge.com/shafer/shafer-fig0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images.flatworldknowledge.com/shafer/shafer-fig06_006.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62650" cy="224790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266C84C" wp14:editId="4C1EE97E">
            <wp:extent cx="5495925" cy="6457950"/>
            <wp:effectExtent l="0" t="0" r="9525" b="0"/>
            <wp:docPr id="207"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95925" cy="645795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8F07777" wp14:editId="1C23F144">
            <wp:extent cx="5429250" cy="2314575"/>
            <wp:effectExtent l="0" t="0" r="0" b="9525"/>
            <wp:docPr id="208"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29250" cy="2314575"/>
                    </a:xfrm>
                    <a:prstGeom prst="rect">
                      <a:avLst/>
                    </a:prstGeom>
                    <a:noFill/>
                    <a:ln>
                      <a:noFill/>
                    </a:ln>
                  </pic:spPr>
                </pic:pic>
              </a:graphicData>
            </a:graphic>
          </wp:inline>
        </w:drawing>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EXAMPLE 8</w:t>
      </w:r>
    </w:p>
    <w:p w:rsidR="00AD77BB" w:rsidRDefault="00B45BA0">
      <w:pPr>
        <w:spacing w:before="150" w:after="0" w:line="360" w:lineRule="auto"/>
        <w:ind w:left="300" w:right="374"/>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An online retailer claims that 90% of all orders are shipped within 12 hours of being received. A consumer group placed 121 orders of different sizes and at different times of day; 102 orders were shipped within 12 hours.</w:t>
      </w:r>
    </w:p>
    <w:p w:rsidR="00AD77BB" w:rsidRDefault="00B45BA0">
      <w:pPr>
        <w:pStyle w:val="ListParagraph"/>
        <w:numPr>
          <w:ilvl w:val="1"/>
          <w:numId w:val="147"/>
        </w:numPr>
        <w:spacing w:after="0" w:line="360" w:lineRule="auto"/>
        <w:ind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Compute the sample proportion of items shipped within 12 hours.</w:t>
      </w:r>
    </w:p>
    <w:p w:rsidR="00AD77BB" w:rsidRDefault="00B45BA0">
      <w:pPr>
        <w:numPr>
          <w:ilvl w:val="1"/>
          <w:numId w:val="147"/>
        </w:numPr>
        <w:spacing w:after="0" w:line="360" w:lineRule="auto"/>
        <w:ind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Confirm that the sample is large enough to assume that the sample proportion is normally distributed. Use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 0.90, corresponding to the assumption that the retailer’s claim is valid.</w:t>
      </w:r>
    </w:p>
    <w:p w:rsidR="00AD77BB" w:rsidRDefault="00B45BA0">
      <w:pPr>
        <w:numPr>
          <w:ilvl w:val="1"/>
          <w:numId w:val="147"/>
        </w:numPr>
        <w:spacing w:after="0" w:line="360" w:lineRule="auto"/>
        <w:ind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Assuming the retailer’s claim is true, find the probability that a sample of size 121 would produce a sample proportion so low as was observed in this sample.</w:t>
      </w:r>
    </w:p>
    <w:p w:rsidR="00AD77BB" w:rsidRDefault="00B45BA0">
      <w:pPr>
        <w:numPr>
          <w:ilvl w:val="1"/>
          <w:numId w:val="147"/>
        </w:numPr>
        <w:spacing w:after="0" w:line="360" w:lineRule="auto"/>
        <w:ind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Based on the answer to part (c), draw a conclusion about the retailer’s claim.</w:t>
      </w:r>
    </w:p>
    <w:p w:rsidR="00AD77BB" w:rsidRDefault="00B45BA0">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29EB79CC" wp14:editId="49AC5483">
            <wp:extent cx="5133975" cy="6086475"/>
            <wp:effectExtent l="0" t="0" r="9525" b="9525"/>
            <wp:docPr id="209"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133975" cy="608647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332F16A" wp14:editId="046468D2">
            <wp:extent cx="5305425" cy="4095750"/>
            <wp:effectExtent l="0" t="0" r="9525" b="0"/>
            <wp:docPr id="210"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305425" cy="409575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B15F6C4" wp14:editId="34A872B4">
            <wp:extent cx="5467350" cy="6553200"/>
            <wp:effectExtent l="0" t="0" r="0" b="0"/>
            <wp:docPr id="211"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67350" cy="655320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D453164" wp14:editId="2284A68B">
            <wp:extent cx="5543550" cy="6353175"/>
            <wp:effectExtent l="0" t="0" r="0" b="9525"/>
            <wp:docPr id="212"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543550" cy="635317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5F5D479" wp14:editId="52E505B7">
            <wp:extent cx="5629275" cy="2600325"/>
            <wp:effectExtent l="0" t="0" r="9525" b="9525"/>
            <wp:docPr id="213"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629275" cy="2600325"/>
                    </a:xfrm>
                    <a:prstGeom prst="rect">
                      <a:avLst/>
                    </a:prstGeom>
                    <a:noFill/>
                    <a:ln>
                      <a:noFill/>
                    </a:ln>
                  </pic:spPr>
                </pic:pic>
              </a:graphicData>
            </a:graphic>
          </wp:inline>
        </w:drawing>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APPLICATIONS</w:t>
      </w:r>
    </w:p>
    <w:p w:rsidR="00AD77BB" w:rsidRDefault="00B45BA0">
      <w:pPr>
        <w:numPr>
          <w:ilvl w:val="0"/>
          <w:numId w:val="158"/>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Suppose that 8% of all males suffer some form of color blindness. Find the probability that in a random sample of 250 men at least 10% will suffer some form of color blindness. First verify that the sample is sufficiently large to use the normal distribution.</w:t>
      </w:r>
    </w:p>
    <w:p w:rsidR="00AD77BB" w:rsidRDefault="00B45BA0">
      <w:pPr>
        <w:numPr>
          <w:ilvl w:val="0"/>
          <w:numId w:val="158"/>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Suppose that 29% of all residents of a community favor annexation by a nearby municipality. Find the probability that in a random sample of 50 residents at least 35% will favor annexation. First verify that the sample is sufficiently large to use the normal distribution.</w:t>
      </w:r>
    </w:p>
    <w:p w:rsidR="00AD77BB" w:rsidRDefault="00B45BA0">
      <w:pPr>
        <w:numPr>
          <w:ilvl w:val="0"/>
          <w:numId w:val="158"/>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Suppose that 2% of all cell phone connections by a certain provider are dropped. Find the probability that in a random sample of 1,500 calls at most 40 will be dropped. First verify that the sample is sufficiently large to use the normal distribution.</w:t>
      </w:r>
    </w:p>
    <w:p w:rsidR="00AD77BB" w:rsidRDefault="00B45BA0">
      <w:pPr>
        <w:numPr>
          <w:ilvl w:val="0"/>
          <w:numId w:val="158"/>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Suppose that in 20% of all traffic accidents involving an injury, driver distraction in some form (for example, changing a radio station or texting) is a factor. Find the probability that in a random sample of 275 such accidents between 15% and 25% involve driver distraction in some form. First verify that the sample is sufficiently large to use the normal distribution.</w:t>
      </w:r>
    </w:p>
    <w:p w:rsidR="00AD77BB" w:rsidRDefault="00B45BA0">
      <w:pPr>
        <w:numPr>
          <w:ilvl w:val="0"/>
          <w:numId w:val="158"/>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airline claims that 72% of all its flights to a certain region arrive on time. In a random sample of 30 recent arrivals, 19 were on time. You may assume that the normal distribution applies.</w:t>
      </w:r>
    </w:p>
    <w:p w:rsidR="00AD77BB" w:rsidRDefault="00B45BA0">
      <w:pPr>
        <w:numPr>
          <w:ilvl w:val="1"/>
          <w:numId w:val="158"/>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sample proportion.</w:t>
      </w:r>
    </w:p>
    <w:p w:rsidR="00AD77BB" w:rsidRDefault="00B45BA0">
      <w:pPr>
        <w:numPr>
          <w:ilvl w:val="1"/>
          <w:numId w:val="158"/>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Assuming the airline’s claim is true, find the probability of a sample of size 30 producing a sample proportion so low as was observed in this sample.</w:t>
      </w:r>
    </w:p>
    <w:p w:rsidR="00AD77BB" w:rsidRDefault="00B45BA0">
      <w:pPr>
        <w:numPr>
          <w:ilvl w:val="0"/>
          <w:numId w:val="158"/>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humane society reports that 19% of all pet dogs were adopted from an animal shelter. Assuming the truth of this assertion, find the probability that in a random sample of 80 pet dogs, between 15% and 20% were adopted from a shelter. You may assume that the normal distribution applies.</w:t>
      </w:r>
    </w:p>
    <w:p w:rsidR="00AD77BB" w:rsidRDefault="00B45BA0">
      <w:pPr>
        <w:numPr>
          <w:ilvl w:val="0"/>
          <w:numId w:val="158"/>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In one study it was found that 86% of all homes have a functional smoke detector. Suppose this proportion is valid for all homes. Find the probability that in a random sample of 600 homes, between 80% and 90% will have a functional smoke detector. You may assume that the normal distribution applies.</w:t>
      </w:r>
    </w:p>
    <w:p w:rsidR="00AD77BB" w:rsidRDefault="00B45BA0">
      <w:pPr>
        <w:numPr>
          <w:ilvl w:val="0"/>
          <w:numId w:val="158"/>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state insurance commission estimates that 13% of all motorists in its state are uninsured. Suppose this proportion is valid. Find the probability that in a random sample of 50 motorists, at least 5 will be uninsured. You may assume that the normal distribution applies.</w:t>
      </w:r>
    </w:p>
    <w:p w:rsidR="00AD77BB" w:rsidRDefault="00B45BA0">
      <w:pPr>
        <w:numPr>
          <w:ilvl w:val="0"/>
          <w:numId w:val="158"/>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outside financial auditor has observed that about 4% of all documents he examines contain an error of some sort. Assuming this proportion to be accurate, find the probability that a random sample of 700 documents will contain at least 30 with some sort of error. You may assume that the normal distribution applies.</w:t>
      </w:r>
    </w:p>
    <w:p w:rsidR="00AD77BB" w:rsidRDefault="00B45BA0">
      <w:pPr>
        <w:numPr>
          <w:ilvl w:val="0"/>
          <w:numId w:val="158"/>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Suppose 7% of all households have no home telephone but depend completely on cell phones. Find the probability that in a random sample of 450 households, between 25 and 35 will have no home telephone. You may assume that the normal distribution applies.</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ADDITIONAL EXERCISES</w:t>
      </w:r>
    </w:p>
    <w:p w:rsidR="00AD77BB" w:rsidRDefault="00B45BA0">
      <w:pPr>
        <w:numPr>
          <w:ilvl w:val="0"/>
          <w:numId w:val="159"/>
        </w:numPr>
        <w:shd w:val="clear" w:color="auto" w:fill="DAEEF3" w:themeFill="accent5" w:themeFillTint="33"/>
        <w:spacing w:after="0" w:line="360" w:lineRule="auto"/>
        <w:ind w:left="328" w:hangingChars="164" w:hanging="328"/>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Some countries allow individual packages of prepackaged goods to weigh less than what is stated on the package, subject to certain conditions, such as the average of all packages being the stated weight or greater. Suppose that one requirement is that at most 4% of all packages marked 500 grams can weigh less than 490 grams. Assuming that a product actually meets this requirement, find the probability that in a random sample of 150 such packages the proportion weighing less than 490 grams is at least 3%. You may assume that the normal distribution applies.</w:t>
      </w:r>
    </w:p>
    <w:p w:rsidR="00AD77BB" w:rsidRDefault="00B45BA0">
      <w:pPr>
        <w:numPr>
          <w:ilvl w:val="0"/>
          <w:numId w:val="159"/>
        </w:numPr>
        <w:shd w:val="clear" w:color="auto" w:fill="DAEEF3" w:themeFill="accent5" w:themeFillTint="33"/>
        <w:spacing w:after="0" w:line="360" w:lineRule="auto"/>
        <w:ind w:left="328" w:hangingChars="164" w:hanging="328"/>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economist wishes to investigate whether people are keeping cars longer now than in the past. He knows that five years ago, 38% of all passenger vehicles in operation were at least ten years old. He commissions a study in which 325 automobiles are randomly sampled. Of them, 132 are ten years old or older.</w:t>
      </w:r>
    </w:p>
    <w:p w:rsidR="00AD77BB" w:rsidRDefault="00B45BA0">
      <w:pPr>
        <w:numPr>
          <w:ilvl w:val="1"/>
          <w:numId w:val="15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sample proportion.</w:t>
      </w:r>
    </w:p>
    <w:p w:rsidR="00AD77BB" w:rsidRDefault="00B45BA0">
      <w:pPr>
        <w:numPr>
          <w:ilvl w:val="1"/>
          <w:numId w:val="15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probability that, when a sample of size 325 is drawn from a population in which the true proportion is 0.38, the sample proportion will be as large as the value you computed in part (a). You may assume that the normal distribution applies.</w:t>
      </w:r>
    </w:p>
    <w:p w:rsidR="00AD77BB" w:rsidRDefault="00B45BA0">
      <w:pPr>
        <w:numPr>
          <w:ilvl w:val="1"/>
          <w:numId w:val="15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an interpretation of the result in part (b). Is there strong evidence that people are keeping their cars longer than was the case five years ago?</w:t>
      </w:r>
    </w:p>
    <w:p w:rsidR="00AD77BB" w:rsidRDefault="00B45BA0">
      <w:pPr>
        <w:numPr>
          <w:ilvl w:val="0"/>
          <w:numId w:val="159"/>
        </w:numPr>
        <w:shd w:val="clear" w:color="auto" w:fill="DAEEF3" w:themeFill="accent5" w:themeFillTint="33"/>
        <w:spacing w:after="0" w:line="360" w:lineRule="auto"/>
        <w:ind w:left="328" w:hangingChars="164" w:hanging="328"/>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state public health department wishes to investigate the effectiveness of a campaign against smoking. Historically 22% of all adults in the state regularly smoked cigars or cigarettes. In a survey commissioned by the public health department, 279 of 1,500 randomly selected adults stated that they smoke regularly.</w:t>
      </w:r>
    </w:p>
    <w:p w:rsidR="00AD77BB" w:rsidRDefault="00B45BA0">
      <w:pPr>
        <w:numPr>
          <w:ilvl w:val="1"/>
          <w:numId w:val="15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sample proportion.</w:t>
      </w:r>
    </w:p>
    <w:p w:rsidR="00AD77BB" w:rsidRDefault="00B45BA0">
      <w:pPr>
        <w:numPr>
          <w:ilvl w:val="1"/>
          <w:numId w:val="15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Find the probability that, when a sample of size 1,500 is drawn from a population in which the true proportion is 0.22, the sample proportion will be no larger than the value you computed in part (a). You may assume that the normal distribution applies.</w:t>
      </w:r>
    </w:p>
    <w:p w:rsidR="00AD77BB" w:rsidRDefault="00B45BA0">
      <w:pPr>
        <w:numPr>
          <w:ilvl w:val="1"/>
          <w:numId w:val="15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an interpretation of the result in part (b). How strong is the evidence that the campaign to reduce smoking has been effective?</w:t>
      </w:r>
    </w:p>
    <w:p w:rsidR="00AD77BB" w:rsidRDefault="00B45BA0">
      <w:pPr>
        <w:numPr>
          <w:ilvl w:val="0"/>
          <w:numId w:val="159"/>
        </w:numPr>
        <w:shd w:val="clear" w:color="auto" w:fill="DAEEF3" w:themeFill="accent5" w:themeFillTint="33"/>
        <w:spacing w:after="0" w:line="360" w:lineRule="auto"/>
        <w:ind w:left="328" w:hangingChars="164" w:hanging="328"/>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an effort to reduce the population of unwanted cats and dogs, a group of veterinarians set up a low-cost spay/neuter clinic. At the inception of the clinic a survey of pet owners indicated that 78% of all pet dogs and cats in the community were spayed or neutered. After the low-cost clinic had been in operation for three years, that figure had risen to 86%.</w:t>
      </w:r>
    </w:p>
    <w:p w:rsidR="00AD77BB" w:rsidRDefault="00B45BA0">
      <w:pPr>
        <w:numPr>
          <w:ilvl w:val="1"/>
          <w:numId w:val="15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What information is missing that you would need to compute the probability that a sample drawn from a population in which the proportion is 78% (corresponding to the assumption that the low-cost clinic had had no effect) is as high as 86%?</w:t>
      </w:r>
    </w:p>
    <w:p w:rsidR="00AD77BB" w:rsidRDefault="00B45BA0">
      <w:pPr>
        <w:numPr>
          <w:ilvl w:val="1"/>
          <w:numId w:val="15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Knowing that the size of the original sample three years ago was 150 and that the size of the recent sample was 125, compute the probability mentioned in part (a). You may assume that the normal distribution applies.</w:t>
      </w:r>
    </w:p>
    <w:p w:rsidR="00AD77BB" w:rsidRDefault="00B45BA0">
      <w:pPr>
        <w:numPr>
          <w:ilvl w:val="1"/>
          <w:numId w:val="15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an interpretation of the result in part (b). How strong is the evidence that the presence of the low-cost clinic has increased the proportion of pet dogs and cats that have been spayed or neutered?</w:t>
      </w:r>
    </w:p>
    <w:p w:rsidR="00AD77BB" w:rsidRDefault="00B45BA0">
      <w:pPr>
        <w:pStyle w:val="ListParagraph"/>
        <w:numPr>
          <w:ilvl w:val="0"/>
          <w:numId w:val="159"/>
        </w:numPr>
        <w:shd w:val="clear" w:color="auto" w:fill="E3EFF7"/>
        <w:spacing w:after="0" w:line="360" w:lineRule="auto"/>
        <w:ind w:left="328" w:hangingChars="164" w:hanging="328"/>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An ordinary die is “fair” or “balanced” if each face has an equal chance of landing on top when the die is rolled. Thus the proportion of times a three is observed in a large number of tosses is expected to be close to 1/6 or </w:t>
      </w:r>
      <w:r>
        <w:rPr>
          <w:rFonts w:ascii="MathJax_Main" w:eastAsia="Times New Roman" w:hAnsi="MathJax_Main" w:cs="Times New Roman"/>
          <w:color w:val="333333"/>
          <w:sz w:val="15"/>
          <w:szCs w:val="15"/>
        </w:rPr>
        <w:t>0.16−.</w:t>
      </w:r>
      <w:r>
        <w:rPr>
          <w:rFonts w:ascii="Calibri" w:eastAsia="Times New Roman" w:hAnsi="Calibri" w:cs="Times New Roman"/>
          <w:color w:val="333333"/>
          <w:sz w:val="20"/>
          <w:szCs w:val="20"/>
        </w:rPr>
        <w:t> Suppose a die is rolled 240 times and shows three on top 36 times, for a sample proportion of 0.15.</w:t>
      </w:r>
    </w:p>
    <w:p w:rsidR="00AD77BB" w:rsidRDefault="00B45BA0">
      <w:pPr>
        <w:pStyle w:val="ListParagraph"/>
        <w:numPr>
          <w:ilvl w:val="0"/>
          <w:numId w:val="160"/>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Find the probability that a fair die would produce a proportion of 0.15 or less. You may assume that the normal distribution applies.</w:t>
      </w:r>
    </w:p>
    <w:p w:rsidR="00AD77BB" w:rsidRDefault="00B45BA0">
      <w:pPr>
        <w:numPr>
          <w:ilvl w:val="0"/>
          <w:numId w:val="160"/>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an interpretation of the result in part (b). How strong is the evidence that the die is not fair?</w:t>
      </w:r>
    </w:p>
    <w:p w:rsidR="00AD77BB" w:rsidRDefault="00B45BA0">
      <w:pPr>
        <w:numPr>
          <w:ilvl w:val="0"/>
          <w:numId w:val="160"/>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Suppose the sample proportion 0.15 came from rolling the die 2,400 times instead of only 240 times. Rework part (a) under these circumstances.</w:t>
      </w:r>
    </w:p>
    <w:p w:rsidR="00AD77BB" w:rsidRDefault="00B45BA0">
      <w:pPr>
        <w:numPr>
          <w:ilvl w:val="0"/>
          <w:numId w:val="160"/>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an interpretation of the result in part (c). How strong is the evidence that the die is not fair?</w:t>
      </w:r>
    </w:p>
    <w:p w:rsidR="00AD77BB" w:rsidRDefault="00AD77BB">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p>
    <w:p w:rsidR="00AD77BB" w:rsidRDefault="00B45BA0">
      <w:pPr>
        <w:shd w:val="clear" w:color="auto" w:fill="FFFFFF" w:themeFill="background1"/>
        <w:spacing w:after="0" w:line="360" w:lineRule="auto"/>
        <w:ind w:left="72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7191C91" wp14:editId="5969AD68">
            <wp:extent cx="5486400" cy="6305550"/>
            <wp:effectExtent l="0" t="0" r="0" b="0"/>
            <wp:docPr id="214"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630555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62E5A9A" wp14:editId="7B56AE64">
            <wp:extent cx="5791200" cy="5934075"/>
            <wp:effectExtent l="0" t="0" r="0" b="9525"/>
            <wp:docPr id="215"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91200" cy="5934075"/>
                    </a:xfrm>
                    <a:prstGeom prst="rect">
                      <a:avLst/>
                    </a:prstGeom>
                    <a:noFill/>
                    <a:ln>
                      <a:noFill/>
                    </a:ln>
                  </pic:spPr>
                </pic:pic>
              </a:graphicData>
            </a:graphic>
          </wp:inline>
        </w:drawing>
      </w:r>
    </w:p>
    <w:p w:rsidR="00AD77BB" w:rsidRDefault="00AD77BB">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p>
    <w:p w:rsidR="00AD77BB" w:rsidRDefault="00B45BA0">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7</w:t>
      </w:r>
    </w:p>
    <w:p w:rsidR="00AD77BB" w:rsidRDefault="00B45BA0">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Estimation</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If we wish to estimate the mean</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μ</w:t>
      </w:r>
      <w:r>
        <w:rPr>
          <w:rStyle w:val="apple-converted-space"/>
          <w:rFonts w:ascii="Georgia" w:hAnsi="Georgia"/>
          <w:color w:val="333333"/>
          <w:sz w:val="21"/>
          <w:szCs w:val="21"/>
        </w:rPr>
        <w:t> </w:t>
      </w:r>
      <w:r>
        <w:rPr>
          <w:rFonts w:ascii="Georgia" w:hAnsi="Georgia"/>
          <w:color w:val="333333"/>
          <w:sz w:val="21"/>
          <w:szCs w:val="21"/>
        </w:rPr>
        <w:t>of a population for which a census is impractical, say the average height of all 18-year-old men in the country, a reasonable strategy is to take a sample, compute its mean</w:t>
      </w:r>
      <w:r>
        <w:rPr>
          <w:rStyle w:val="apple-converted-space"/>
          <w:rFonts w:ascii="Georgia" w:hAnsi="Georgia"/>
          <w:color w:val="333333"/>
          <w:sz w:val="21"/>
          <w:szCs w:val="21"/>
        </w:rPr>
        <w:t> </w:t>
      </w:r>
      <w:r>
        <w:rPr>
          <w:rStyle w:val="mi"/>
          <w:rFonts w:ascii="MathJax_Math" w:hAnsi="MathJax_Math"/>
          <w:i/>
          <w:iCs/>
          <w:color w:val="333333"/>
          <w:sz w:val="18"/>
          <w:szCs w:val="18"/>
        </w:rPr>
        <w:t>x</w:t>
      </w:r>
      <w:r>
        <w:rPr>
          <w:rStyle w:val="mo"/>
          <w:rFonts w:ascii="MathJax_Main" w:hAnsi="MathJax_Main"/>
          <w:color w:val="333333"/>
          <w:sz w:val="18"/>
          <w:szCs w:val="18"/>
        </w:rPr>
        <w:t>−</w:t>
      </w:r>
      <w:r>
        <w:rPr>
          <w:rFonts w:ascii="Georgia" w:hAnsi="Georgia"/>
          <w:color w:val="333333"/>
          <w:sz w:val="21"/>
          <w:szCs w:val="21"/>
        </w:rPr>
        <w:t>, and estimate the unknown number</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μ</w:t>
      </w:r>
      <w:r>
        <w:rPr>
          <w:rStyle w:val="apple-converted-space"/>
          <w:rFonts w:ascii="Georgia" w:hAnsi="Georgia"/>
          <w:color w:val="333333"/>
          <w:sz w:val="21"/>
          <w:szCs w:val="21"/>
        </w:rPr>
        <w:t> </w:t>
      </w:r>
      <w:r>
        <w:rPr>
          <w:rFonts w:ascii="Georgia" w:hAnsi="Georgia"/>
          <w:color w:val="333333"/>
          <w:sz w:val="21"/>
          <w:szCs w:val="21"/>
        </w:rPr>
        <w:t>by the known number</w:t>
      </w:r>
      <w:r>
        <w:rPr>
          <w:rStyle w:val="apple-converted-space"/>
          <w:rFonts w:ascii="Georgia" w:hAnsi="Georgia"/>
          <w:color w:val="333333"/>
          <w:sz w:val="21"/>
          <w:szCs w:val="21"/>
        </w:rPr>
        <w:t> </w:t>
      </w:r>
      <w:r>
        <w:rPr>
          <w:rStyle w:val="mi"/>
          <w:rFonts w:ascii="MathJax_Math" w:hAnsi="MathJax_Math"/>
          <w:i/>
          <w:iCs/>
          <w:color w:val="333333"/>
          <w:sz w:val="18"/>
          <w:szCs w:val="18"/>
        </w:rPr>
        <w:t>x</w:t>
      </w:r>
      <w:r>
        <w:rPr>
          <w:rStyle w:val="mo"/>
          <w:rFonts w:ascii="MathJax_Main" w:hAnsi="MathJax_Main"/>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For example, if the average height of 100 randomly selected men aged 18 is 70.6 inches, then we would say that the average height of all 18-year-old men is (at least approximately) 70.6 inches.</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Estimating a population parameter by a single number like this is called</w:t>
      </w:r>
      <w:r>
        <w:rPr>
          <w:rStyle w:val="apple-converted-space"/>
          <w:rFonts w:ascii="Georgia" w:hAnsi="Georgia"/>
          <w:color w:val="333333"/>
          <w:sz w:val="21"/>
          <w:szCs w:val="21"/>
        </w:rPr>
        <w:t> </w:t>
      </w:r>
      <w:r>
        <w:rPr>
          <w:rStyle w:val="Strong"/>
          <w:rFonts w:ascii="Georgia" w:hAnsi="Georgia"/>
          <w:color w:val="333333"/>
          <w:sz w:val="20"/>
          <w:szCs w:val="20"/>
        </w:rPr>
        <w:t>point estimation</w:t>
      </w:r>
      <w:r>
        <w:rPr>
          <w:rFonts w:ascii="Georgia" w:hAnsi="Georgia"/>
          <w:color w:val="333333"/>
          <w:sz w:val="21"/>
          <w:szCs w:val="21"/>
        </w:rPr>
        <w:t>; in the case at hand the statistic</w:t>
      </w:r>
      <w:r>
        <w:rPr>
          <w:rStyle w:val="apple-converted-space"/>
          <w:rFonts w:ascii="Georgia" w:hAnsi="Georgia"/>
          <w:color w:val="333333"/>
          <w:sz w:val="21"/>
          <w:szCs w:val="21"/>
        </w:rPr>
        <w:t> </w:t>
      </w:r>
      <w:r>
        <w:rPr>
          <w:rStyle w:val="mi"/>
          <w:rFonts w:ascii="MathJax_Math" w:hAnsi="MathJax_Math"/>
          <w:i/>
          <w:iCs/>
          <w:color w:val="333333"/>
          <w:sz w:val="18"/>
          <w:szCs w:val="18"/>
        </w:rPr>
        <w:t>x</w:t>
      </w:r>
      <w:r>
        <w:rPr>
          <w:rStyle w:val="mi"/>
          <w:i/>
          <w:iCs/>
          <w:color w:val="333333"/>
          <w:sz w:val="18"/>
          <w:szCs w:val="18"/>
        </w:rPr>
        <w:t>^</w:t>
      </w:r>
      <w:r>
        <w:rPr>
          <w:rStyle w:val="mo"/>
          <w:rFonts w:ascii="MathJax_Main" w:hAnsi="MathJax_Main"/>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is a</w:t>
      </w:r>
      <w:r>
        <w:rPr>
          <w:rStyle w:val="apple-converted-space"/>
          <w:rFonts w:ascii="Georgia" w:hAnsi="Georgia"/>
          <w:color w:val="333333"/>
          <w:sz w:val="21"/>
          <w:szCs w:val="21"/>
        </w:rPr>
        <w:t> </w:t>
      </w:r>
      <w:r>
        <w:rPr>
          <w:rStyle w:val="Strong"/>
          <w:rFonts w:ascii="Georgia" w:hAnsi="Georgia"/>
          <w:color w:val="333333"/>
          <w:sz w:val="20"/>
          <w:szCs w:val="20"/>
        </w:rPr>
        <w:t>point estimate</w:t>
      </w:r>
      <w:r>
        <w:rPr>
          <w:rStyle w:val="apple-converted-space"/>
          <w:rFonts w:ascii="Georgia" w:hAnsi="Georgia"/>
          <w:color w:val="333333"/>
          <w:sz w:val="21"/>
          <w:szCs w:val="21"/>
        </w:rPr>
        <w:t> </w:t>
      </w:r>
      <w:r>
        <w:rPr>
          <w:rFonts w:ascii="Georgia" w:hAnsi="Georgia"/>
          <w:color w:val="333333"/>
          <w:sz w:val="21"/>
          <w:szCs w:val="21"/>
        </w:rPr>
        <w:t>of the parameter</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μ</w:t>
      </w:r>
      <w:r>
        <w:rPr>
          <w:rFonts w:ascii="Georgia" w:hAnsi="Georgia"/>
          <w:color w:val="333333"/>
          <w:sz w:val="21"/>
          <w:szCs w:val="21"/>
        </w:rPr>
        <w:t>. The terminology arises because a single number corresponds to a single point on the number line.</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 problem with a point estimate is that it gives no indication of how reliable the estimate is. In contrast, in this chapter we learn about</w:t>
      </w:r>
      <w:r>
        <w:rPr>
          <w:rStyle w:val="apple-converted-space"/>
          <w:rFonts w:ascii="Georgia" w:hAnsi="Georgia"/>
          <w:color w:val="333333"/>
          <w:sz w:val="21"/>
          <w:szCs w:val="21"/>
        </w:rPr>
        <w:t> </w:t>
      </w:r>
      <w:r>
        <w:rPr>
          <w:rStyle w:val="Strong"/>
          <w:rFonts w:ascii="Georgia" w:hAnsi="Georgia"/>
          <w:color w:val="333333"/>
          <w:sz w:val="20"/>
          <w:szCs w:val="20"/>
        </w:rPr>
        <w:t>interval estimation</w:t>
      </w:r>
      <w:r>
        <w:rPr>
          <w:rFonts w:ascii="Georgia" w:hAnsi="Georgia"/>
          <w:color w:val="333333"/>
          <w:sz w:val="21"/>
          <w:szCs w:val="21"/>
        </w:rPr>
        <w:t>. In brief, in the case of estimating a population mean</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μ</w:t>
      </w:r>
      <w:r>
        <w:rPr>
          <w:rStyle w:val="apple-converted-space"/>
          <w:rFonts w:ascii="Georgia" w:hAnsi="Georgia"/>
          <w:color w:val="333333"/>
          <w:sz w:val="21"/>
          <w:szCs w:val="21"/>
        </w:rPr>
        <w:t> </w:t>
      </w:r>
      <w:r>
        <w:rPr>
          <w:rFonts w:ascii="Georgia" w:hAnsi="Georgia"/>
          <w:color w:val="333333"/>
          <w:sz w:val="21"/>
          <w:szCs w:val="21"/>
        </w:rPr>
        <w:t>we use a formula to compute from the data a number</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E</w:t>
      </w:r>
      <w:r>
        <w:rPr>
          <w:rFonts w:ascii="Georgia" w:hAnsi="Georgia"/>
          <w:color w:val="333333"/>
          <w:sz w:val="21"/>
          <w:szCs w:val="21"/>
        </w:rPr>
        <w:t>, called the</w:t>
      </w:r>
      <w:r>
        <w:rPr>
          <w:rStyle w:val="apple-converted-space"/>
          <w:rFonts w:ascii="Georgia" w:hAnsi="Georgia"/>
          <w:color w:val="333333"/>
          <w:sz w:val="21"/>
          <w:szCs w:val="21"/>
        </w:rPr>
        <w:t> </w:t>
      </w:r>
      <w:r>
        <w:rPr>
          <w:rStyle w:val="marginterm"/>
          <w:rFonts w:ascii="Georgia" w:hAnsi="Georgia"/>
          <w:b/>
          <w:color w:val="333333"/>
          <w:sz w:val="20"/>
          <w:szCs w:val="20"/>
        </w:rPr>
        <w:t>margin of error</w:t>
      </w:r>
      <w:r>
        <w:rPr>
          <w:rStyle w:val="apple-converted-space"/>
          <w:rFonts w:ascii="Georgia" w:hAnsi="Georgia"/>
          <w:color w:val="333333"/>
          <w:sz w:val="21"/>
          <w:szCs w:val="21"/>
        </w:rPr>
        <w:t> </w:t>
      </w:r>
      <w:r>
        <w:rPr>
          <w:rFonts w:ascii="Georgia" w:hAnsi="Georgia"/>
          <w:color w:val="333333"/>
          <w:sz w:val="21"/>
          <w:szCs w:val="21"/>
        </w:rPr>
        <w:t>of the estimate, and form the interval</w:t>
      </w:r>
      <w:r>
        <w:rPr>
          <w:rStyle w:val="apple-converted-space"/>
          <w:rFonts w:ascii="Georgia" w:hAnsi="Georgia"/>
          <w:color w:val="333333"/>
          <w:sz w:val="21"/>
          <w:szCs w:val="21"/>
        </w:rPr>
        <w:t> </w:t>
      </w:r>
      <w:r>
        <w:rPr>
          <w:rStyle w:val="mo"/>
          <w:rFonts w:ascii="MathJax_Size1" w:hAnsi="MathJax_Size1"/>
          <w:color w:val="333333"/>
          <w:sz w:val="18"/>
          <w:szCs w:val="18"/>
        </w:rPr>
        <w:t>[</w:t>
      </w:r>
      <w:r>
        <w:rPr>
          <w:rStyle w:val="mi"/>
          <w:rFonts w:ascii="MathJax_Math" w:hAnsi="MathJax_Math"/>
          <w:i/>
          <w:iCs/>
          <w:color w:val="333333"/>
          <w:sz w:val="18"/>
          <w:szCs w:val="18"/>
        </w:rPr>
        <w:t>x</w:t>
      </w:r>
      <w:r>
        <w:rPr>
          <w:rStyle w:val="mi"/>
          <w:i/>
          <w:iCs/>
          <w:color w:val="333333"/>
          <w:sz w:val="18"/>
          <w:szCs w:val="18"/>
        </w:rPr>
        <w:t>^</w:t>
      </w:r>
      <w:r>
        <w:rPr>
          <w:rStyle w:val="mo"/>
          <w:rFonts w:ascii="MathJax_Main" w:hAnsi="MathJax_Main"/>
          <w:color w:val="333333"/>
          <w:sz w:val="18"/>
          <w:szCs w:val="18"/>
        </w:rPr>
        <w:t>−−</w:t>
      </w:r>
      <w:r>
        <w:rPr>
          <w:rStyle w:val="mi"/>
          <w:rFonts w:ascii="MathJax_Math" w:hAnsi="MathJax_Math"/>
          <w:i/>
          <w:iCs/>
          <w:color w:val="333333"/>
          <w:sz w:val="18"/>
          <w:szCs w:val="18"/>
        </w:rPr>
        <w:t>E</w:t>
      </w:r>
      <w:r>
        <w:rPr>
          <w:rStyle w:val="mo"/>
          <w:rFonts w:ascii="MathJax_Main" w:hAnsi="MathJax_Main"/>
          <w:color w:val="333333"/>
          <w:sz w:val="18"/>
          <w:szCs w:val="18"/>
        </w:rPr>
        <w:t>,</w:t>
      </w:r>
      <w:r>
        <w:rPr>
          <w:rStyle w:val="mi"/>
          <w:rFonts w:ascii="MathJax_Math" w:hAnsi="MathJax_Math"/>
          <w:i/>
          <w:iCs/>
          <w:color w:val="333333"/>
          <w:sz w:val="18"/>
          <w:szCs w:val="18"/>
        </w:rPr>
        <w:t>x</w:t>
      </w:r>
      <w:r>
        <w:rPr>
          <w:rStyle w:val="mo"/>
          <w:rFonts w:ascii="MathJax_Main" w:hAnsi="MathJax_Main"/>
          <w:color w:val="333333"/>
          <w:sz w:val="18"/>
          <w:szCs w:val="18"/>
        </w:rPr>
        <w:t>−+</w:t>
      </w:r>
      <w:r>
        <w:rPr>
          <w:rStyle w:val="mi"/>
          <w:rFonts w:ascii="MathJax_Math" w:hAnsi="MathJax_Math"/>
          <w:i/>
          <w:iCs/>
          <w:color w:val="333333"/>
          <w:sz w:val="18"/>
          <w:szCs w:val="18"/>
        </w:rPr>
        <w:t>E</w:t>
      </w:r>
      <w:r>
        <w:rPr>
          <w:rStyle w:val="mo"/>
          <w:rFonts w:ascii="MathJax_Size1" w:hAnsi="MathJax_Size1"/>
          <w:color w:val="333333"/>
          <w:sz w:val="18"/>
          <w:szCs w:val="18"/>
        </w:rPr>
        <w:t>]</w:t>
      </w:r>
      <w:r>
        <w:rPr>
          <w:rStyle w:val="mo"/>
          <w:rFonts w:ascii="MathJax_Main" w:hAnsi="MathJax_Main"/>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We do this in such a way that a certain proportion, say 95%, of all the intervals constructed from sample data by means of this formula contain the unknown parameter</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μ</w:t>
      </w:r>
      <w:r>
        <w:rPr>
          <w:rFonts w:ascii="Georgia" w:hAnsi="Georgia"/>
          <w:color w:val="333333"/>
          <w:sz w:val="21"/>
          <w:szCs w:val="21"/>
        </w:rPr>
        <w:t>. Such an interval is called a</w:t>
      </w:r>
      <w:r>
        <w:rPr>
          <w:rStyle w:val="apple-converted-space"/>
          <w:rFonts w:ascii="Georgia" w:hAnsi="Georgia"/>
          <w:color w:val="333333"/>
          <w:sz w:val="21"/>
          <w:szCs w:val="21"/>
        </w:rPr>
        <w:t> </w:t>
      </w:r>
      <w:r>
        <w:rPr>
          <w:rStyle w:val="Strong"/>
          <w:rFonts w:ascii="Georgia" w:hAnsi="Georgia"/>
          <w:color w:val="333333"/>
          <w:sz w:val="20"/>
          <w:szCs w:val="20"/>
        </w:rPr>
        <w:t>95%</w:t>
      </w:r>
      <w:r>
        <w:rPr>
          <w:rStyle w:val="apple-converted-space"/>
          <w:rFonts w:ascii="Georgia" w:hAnsi="Georgia"/>
          <w:color w:val="333333"/>
          <w:sz w:val="21"/>
          <w:szCs w:val="21"/>
        </w:rPr>
        <w:t> </w:t>
      </w:r>
      <w:r>
        <w:rPr>
          <w:rStyle w:val="marginterm"/>
          <w:rFonts w:ascii="Georgia" w:hAnsi="Georgia"/>
          <w:b/>
          <w:color w:val="333333"/>
          <w:sz w:val="20"/>
          <w:szCs w:val="20"/>
        </w:rPr>
        <w:t>confidence interval</w:t>
      </w:r>
      <w:r>
        <w:rPr>
          <w:rStyle w:val="apple-converted-space"/>
          <w:rFonts w:ascii="Georgia" w:hAnsi="Georgia"/>
          <w:b/>
          <w:color w:val="333333"/>
          <w:sz w:val="21"/>
          <w:szCs w:val="21"/>
        </w:rPr>
        <w:t> </w:t>
      </w:r>
      <w:r>
        <w:rPr>
          <w:rStyle w:val="Strong"/>
          <w:rFonts w:ascii="Georgia" w:hAnsi="Georgia"/>
          <w:b w:val="0"/>
          <w:color w:val="333333"/>
          <w:sz w:val="20"/>
          <w:szCs w:val="20"/>
        </w:rPr>
        <w:t>f</w:t>
      </w:r>
      <w:r>
        <w:rPr>
          <w:rStyle w:val="Strong"/>
          <w:rFonts w:ascii="Georgia" w:hAnsi="Georgia"/>
          <w:b w:val="0"/>
          <w:i/>
          <w:color w:val="333333"/>
          <w:sz w:val="20"/>
          <w:szCs w:val="20"/>
        </w:rPr>
        <w:t>or</w:t>
      </w:r>
      <w:r>
        <w:rPr>
          <w:rStyle w:val="apple-converted-space"/>
          <w:rFonts w:ascii="Georgia" w:hAnsi="Georgia"/>
          <w:i/>
          <w:color w:val="333333"/>
          <w:sz w:val="21"/>
          <w:szCs w:val="21"/>
        </w:rPr>
        <w:t> </w:t>
      </w:r>
      <w:r>
        <w:rPr>
          <w:rStyle w:val="Emphasis"/>
          <w:rFonts w:ascii="Georgia" w:eastAsiaTheme="majorEastAsia" w:hAnsi="Georgia"/>
          <w:color w:val="333333"/>
          <w:sz w:val="20"/>
          <w:szCs w:val="20"/>
        </w:rPr>
        <w:t>μ</w:t>
      </w:r>
      <w:r>
        <w:rPr>
          <w:rFonts w:ascii="Georgia" w:hAnsi="Georgia"/>
          <w:color w:val="333333"/>
          <w:sz w:val="21"/>
          <w:szCs w:val="21"/>
        </w:rPr>
        <w:t>.</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Continuing with the example of the average height of 18-year-old men, suppose that the sample of 100 men mentioned above for which</w:t>
      </w:r>
      <w:r>
        <w:rPr>
          <w:rStyle w:val="apple-converted-space"/>
          <w:rFonts w:ascii="Georgia" w:hAnsi="Georgia"/>
          <w:color w:val="333333"/>
          <w:sz w:val="21"/>
          <w:szCs w:val="21"/>
        </w:rPr>
        <w:t> </w:t>
      </w:r>
      <w:r>
        <w:rPr>
          <w:rStyle w:val="mi"/>
          <w:rFonts w:ascii="MathJax_Math" w:hAnsi="MathJax_Math"/>
          <w:b/>
          <w:i/>
          <w:iCs/>
          <w:color w:val="333333"/>
          <w:sz w:val="18"/>
          <w:szCs w:val="18"/>
        </w:rPr>
        <w:t>x</w:t>
      </w:r>
      <w:r>
        <w:rPr>
          <w:rStyle w:val="mi"/>
          <w:b/>
          <w:i/>
          <w:iCs/>
          <w:color w:val="333333"/>
          <w:sz w:val="18"/>
          <w:szCs w:val="18"/>
        </w:rPr>
        <w:t>^</w:t>
      </w:r>
      <w:r>
        <w:rPr>
          <w:rStyle w:val="mo"/>
          <w:rFonts w:ascii="MathJax_Main" w:hAnsi="MathJax_Main"/>
          <w:b/>
          <w:color w:val="333333"/>
          <w:sz w:val="18"/>
          <w:szCs w:val="18"/>
        </w:rPr>
        <w:t>−=</w:t>
      </w:r>
      <w:r>
        <w:rPr>
          <w:rStyle w:val="mn"/>
          <w:rFonts w:ascii="MathJax_Main" w:hAnsi="MathJax_Main"/>
          <w:b/>
          <w:color w:val="333333"/>
          <w:sz w:val="18"/>
          <w:szCs w:val="18"/>
        </w:rPr>
        <w:t>70.6</w:t>
      </w:r>
      <w:r>
        <w:rPr>
          <w:rStyle w:val="apple-converted-space"/>
          <w:rFonts w:ascii="Georgia" w:hAnsi="Georgia"/>
          <w:b/>
          <w:color w:val="333333"/>
          <w:sz w:val="21"/>
          <w:szCs w:val="21"/>
        </w:rPr>
        <w:t> </w:t>
      </w:r>
      <w:r>
        <w:rPr>
          <w:rFonts w:ascii="Georgia" w:hAnsi="Georgia"/>
          <w:color w:val="333333"/>
          <w:sz w:val="21"/>
          <w:szCs w:val="21"/>
        </w:rPr>
        <w:t>inches also had sample standard deviation</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s</w:t>
      </w:r>
      <w:r>
        <w:rPr>
          <w:rStyle w:val="apple-converted-space"/>
          <w:rFonts w:ascii="Georgia" w:hAnsi="Georgia"/>
          <w:color w:val="333333"/>
          <w:sz w:val="21"/>
          <w:szCs w:val="21"/>
        </w:rPr>
        <w:t> </w:t>
      </w:r>
      <w:r>
        <w:rPr>
          <w:rFonts w:ascii="Georgia" w:hAnsi="Georgia"/>
          <w:color w:val="333333"/>
          <w:sz w:val="21"/>
          <w:szCs w:val="21"/>
        </w:rPr>
        <w:t>= 1.7 inches. It then turns out that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E</w:t>
      </w:r>
      <w:r>
        <w:rPr>
          <w:rStyle w:val="apple-converted-space"/>
          <w:rFonts w:ascii="Georgia" w:hAnsi="Georgia"/>
          <w:color w:val="333333"/>
          <w:sz w:val="21"/>
          <w:szCs w:val="21"/>
        </w:rPr>
        <w:t> </w:t>
      </w:r>
      <w:r>
        <w:rPr>
          <w:rFonts w:ascii="Georgia" w:hAnsi="Georgia"/>
          <w:color w:val="333333"/>
          <w:sz w:val="21"/>
          <w:szCs w:val="21"/>
        </w:rPr>
        <w:t>= 0.33 and we would state that we are 95% confident that the average height of all 18-year-old men is in the interval formed by</w:t>
      </w:r>
      <w:r>
        <w:rPr>
          <w:rStyle w:val="apple-converted-space"/>
          <w:rFonts w:ascii="Georgia" w:hAnsi="Georgia"/>
          <w:color w:val="333333"/>
          <w:sz w:val="21"/>
          <w:szCs w:val="21"/>
        </w:rPr>
        <w:t> </w:t>
      </w:r>
      <w:r>
        <w:rPr>
          <w:rStyle w:val="mn"/>
          <w:rFonts w:ascii="MathJax_Main" w:hAnsi="MathJax_Main"/>
          <w:b/>
          <w:color w:val="333333"/>
          <w:sz w:val="18"/>
          <w:szCs w:val="18"/>
        </w:rPr>
        <w:t>70.6</w:t>
      </w:r>
      <w:r>
        <w:rPr>
          <w:rStyle w:val="mo"/>
          <w:rFonts w:ascii="MathJax_Main" w:hAnsi="MathJax_Main"/>
          <w:b/>
          <w:color w:val="333333"/>
          <w:sz w:val="18"/>
          <w:szCs w:val="18"/>
        </w:rPr>
        <w:t>±</w:t>
      </w:r>
      <w:r>
        <w:rPr>
          <w:rStyle w:val="mn"/>
          <w:rFonts w:ascii="MathJax_Main" w:hAnsi="MathJax_Main"/>
          <w:b/>
          <w:color w:val="333333"/>
          <w:sz w:val="18"/>
          <w:szCs w:val="18"/>
        </w:rPr>
        <w:t>0.33</w:t>
      </w:r>
      <w:r>
        <w:rPr>
          <w:rStyle w:val="apple-converted-space"/>
          <w:rFonts w:ascii="Georgia" w:hAnsi="Georgia"/>
          <w:color w:val="333333"/>
          <w:sz w:val="21"/>
          <w:szCs w:val="21"/>
        </w:rPr>
        <w:t> </w:t>
      </w:r>
      <w:r>
        <w:rPr>
          <w:rFonts w:ascii="Georgia" w:hAnsi="Georgia"/>
          <w:color w:val="333333"/>
          <w:sz w:val="21"/>
          <w:szCs w:val="21"/>
        </w:rPr>
        <w:t>inches, that is, the average is between 70.27 and 70.93 inches. If the sample statistics had come from a smaller sample, say a sample of 50 men, the lower reliability would show up in the 95% confidence interval being longer, hence less precise in its estimate. In this example the 95% confidence interval for the same sample statistics but with</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n</w:t>
      </w:r>
      <w:r>
        <w:rPr>
          <w:rStyle w:val="apple-converted-space"/>
          <w:rFonts w:ascii="Georgia" w:hAnsi="Georgia"/>
          <w:color w:val="333333"/>
          <w:sz w:val="21"/>
          <w:szCs w:val="21"/>
        </w:rPr>
        <w:t> </w:t>
      </w:r>
      <w:r>
        <w:rPr>
          <w:rFonts w:ascii="Georgia" w:hAnsi="Georgia"/>
          <w:color w:val="333333"/>
          <w:sz w:val="21"/>
          <w:szCs w:val="21"/>
        </w:rPr>
        <w:t>= 50 is</w:t>
      </w:r>
      <w:r>
        <w:rPr>
          <w:rStyle w:val="apple-converted-space"/>
          <w:rFonts w:ascii="Georgia" w:hAnsi="Georgia"/>
          <w:color w:val="333333"/>
          <w:sz w:val="21"/>
          <w:szCs w:val="21"/>
        </w:rPr>
        <w:t> </w:t>
      </w:r>
      <w:r>
        <w:rPr>
          <w:rStyle w:val="mn"/>
          <w:rFonts w:ascii="MathJax_Main" w:hAnsi="MathJax_Main"/>
          <w:color w:val="333333"/>
          <w:sz w:val="18"/>
          <w:szCs w:val="18"/>
        </w:rPr>
        <w:t>70.6</w:t>
      </w:r>
      <w:r>
        <w:rPr>
          <w:rStyle w:val="mo"/>
          <w:rFonts w:ascii="MathJax_Main" w:hAnsi="MathJax_Main"/>
          <w:color w:val="333333"/>
          <w:sz w:val="18"/>
          <w:szCs w:val="18"/>
        </w:rPr>
        <w:t>±</w:t>
      </w:r>
      <w:r>
        <w:rPr>
          <w:rStyle w:val="mn"/>
          <w:rFonts w:ascii="MathJax_Main" w:hAnsi="MathJax_Main"/>
          <w:color w:val="333333"/>
          <w:sz w:val="18"/>
          <w:szCs w:val="18"/>
        </w:rPr>
        <w:t>0.47</w:t>
      </w:r>
      <w:r>
        <w:rPr>
          <w:rStyle w:val="apple-converted-space"/>
          <w:rFonts w:ascii="Georgia" w:hAnsi="Georgia"/>
          <w:color w:val="333333"/>
          <w:sz w:val="21"/>
          <w:szCs w:val="21"/>
        </w:rPr>
        <w:t> </w:t>
      </w:r>
      <w:r>
        <w:rPr>
          <w:rFonts w:ascii="Georgia" w:hAnsi="Georgia"/>
          <w:color w:val="333333"/>
          <w:sz w:val="21"/>
          <w:szCs w:val="21"/>
        </w:rPr>
        <w:t>inches, or from 70.13 to 71.07 inches.</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7.1</w:t>
      </w:r>
      <w:r>
        <w:rPr>
          <w:rStyle w:val="apple-converted-space"/>
          <w:rFonts w:ascii="Calibri" w:hAnsi="Calibri"/>
          <w:color w:val="333333"/>
        </w:rPr>
        <w:t> </w:t>
      </w:r>
      <w:r>
        <w:rPr>
          <w:rFonts w:ascii="Calibri" w:hAnsi="Calibri"/>
          <w:color w:val="333333"/>
        </w:rPr>
        <w:t>Large Sample Estimation of a Population Mean</w:t>
      </w:r>
    </w:p>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AD77BB" w:rsidRDefault="00B45BA0">
      <w:pPr>
        <w:numPr>
          <w:ilvl w:val="0"/>
          <w:numId w:val="161"/>
        </w:numPr>
        <w:shd w:val="clear" w:color="auto" w:fill="EAE9DC"/>
        <w:spacing w:after="0" w:line="360" w:lineRule="auto"/>
        <w:ind w:left="360" w:right="374"/>
        <w:textAlignment w:val="baseline"/>
        <w:rPr>
          <w:rFonts w:ascii="Calibri" w:hAnsi="Calibri"/>
          <w:color w:val="333333"/>
          <w:sz w:val="20"/>
          <w:szCs w:val="20"/>
        </w:rPr>
      </w:pPr>
      <w:r>
        <w:rPr>
          <w:rFonts w:ascii="Calibri" w:hAnsi="Calibri"/>
          <w:color w:val="333333"/>
          <w:sz w:val="20"/>
          <w:szCs w:val="20"/>
        </w:rPr>
        <w:t>To become familiar with the concept of an interval estimate of the population mean.</w:t>
      </w:r>
    </w:p>
    <w:p w:rsidR="00AD77BB" w:rsidRDefault="00B45BA0">
      <w:pPr>
        <w:numPr>
          <w:ilvl w:val="0"/>
          <w:numId w:val="161"/>
        </w:numPr>
        <w:shd w:val="clear" w:color="auto" w:fill="EAE9DC"/>
        <w:spacing w:after="0" w:line="360" w:lineRule="auto"/>
        <w:ind w:left="360" w:right="374"/>
        <w:textAlignment w:val="baseline"/>
        <w:rPr>
          <w:rFonts w:ascii="Calibri" w:hAnsi="Calibri"/>
          <w:color w:val="333333"/>
          <w:sz w:val="20"/>
          <w:szCs w:val="20"/>
        </w:rPr>
      </w:pPr>
      <w:r>
        <w:rPr>
          <w:rFonts w:ascii="Calibri" w:hAnsi="Calibri"/>
          <w:color w:val="333333"/>
          <w:sz w:val="20"/>
          <w:szCs w:val="20"/>
        </w:rPr>
        <w:t>To understand how to apply formulas for a confidence interval for a population mean.</w:t>
      </w:r>
    </w:p>
    <w:p w:rsidR="00AD77BB" w:rsidRDefault="00B45BA0">
      <w:pPr>
        <w:shd w:val="clear" w:color="auto" w:fill="FFFFFF" w:themeFill="background1"/>
        <w:spacing w:after="0" w:line="360" w:lineRule="auto"/>
        <w:ind w:right="375"/>
        <w:jc w:val="center"/>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76D3A79" wp14:editId="44690F72">
            <wp:extent cx="5743575" cy="5505450"/>
            <wp:effectExtent l="0" t="0" r="9525" b="0"/>
            <wp:docPr id="216"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43575" cy="550545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4"/>
        <w:textAlignment w:val="baseline"/>
        <w:rPr>
          <w:rFonts w:ascii="Georgia" w:hAnsi="Georgia"/>
          <w:color w:val="333333"/>
          <w:sz w:val="20"/>
          <w:szCs w:val="20"/>
          <w:shd w:val="clear" w:color="auto" w:fill="FFFFFF"/>
        </w:rPr>
      </w:pPr>
      <w:r>
        <w:rPr>
          <w:rFonts w:ascii="Georgia" w:hAnsi="Georgia"/>
          <w:color w:val="2689C6"/>
          <w:sz w:val="20"/>
          <w:szCs w:val="20"/>
          <w:shd w:val="clear" w:color="auto" w:fill="FFFFFF"/>
        </w:rPr>
        <w:t>Figure 7.2 "Computer Simulation of 40 95% Confidence Intervals for a Mean"</w:t>
      </w:r>
      <w:r>
        <w:rPr>
          <w:rFonts w:ascii="Georgia" w:hAnsi="Georgia"/>
          <w:color w:val="333333"/>
          <w:sz w:val="20"/>
          <w:szCs w:val="20"/>
          <w:shd w:val="clear" w:color="auto" w:fill="FFFFFF"/>
        </w:rPr>
        <w:t>shows the intervals generated by a computer simulation of drawing 40 samples from a normally distributed population and constructing the 95% confidence interval for each one. We expect that about </w:t>
      </w:r>
      <w:r>
        <w:rPr>
          <w:rFonts w:ascii="MathJax_Main" w:hAnsi="MathJax_Main"/>
          <w:b/>
          <w:color w:val="333333"/>
          <w:sz w:val="18"/>
          <w:szCs w:val="18"/>
          <w:shd w:val="clear" w:color="auto" w:fill="FFFFFF"/>
        </w:rPr>
        <w:t>(0.05)(40)=2</w:t>
      </w:r>
      <w:r>
        <w:rPr>
          <w:rFonts w:ascii="Georgia" w:hAnsi="Georgia"/>
          <w:color w:val="333333"/>
          <w:sz w:val="20"/>
          <w:szCs w:val="20"/>
          <w:shd w:val="clear" w:color="auto" w:fill="FFFFFF"/>
        </w:rPr>
        <w:t> of the intervals so constructed would fail to contain the population mean </w:t>
      </w:r>
      <w:r>
        <w:rPr>
          <w:rFonts w:ascii="Georgia" w:hAnsi="Georgia"/>
          <w:i/>
          <w:iCs/>
          <w:color w:val="333333"/>
          <w:sz w:val="20"/>
          <w:szCs w:val="20"/>
          <w:shd w:val="clear" w:color="auto" w:fill="FFFFFF"/>
        </w:rPr>
        <w:t>μ</w:t>
      </w:r>
      <w:r>
        <w:rPr>
          <w:rFonts w:ascii="Georgia" w:hAnsi="Georgia"/>
          <w:color w:val="333333"/>
          <w:sz w:val="20"/>
          <w:szCs w:val="20"/>
          <w:shd w:val="clear" w:color="auto" w:fill="FFFFFF"/>
        </w:rPr>
        <w:t>, and in this simulation two of the intervals, shown in red, do.</w:t>
      </w: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lastRenderedPageBreak/>
        <w:t>Figure 7.2</w:t>
      </w:r>
      <w:r>
        <w:rPr>
          <w:rFonts w:ascii="Georgia" w:eastAsia="Times New Roman" w:hAnsi="Georgia" w:cs="Times New Roman"/>
          <w:i/>
          <w:iCs/>
          <w:color w:val="BB9966"/>
          <w:sz w:val="19"/>
          <w:szCs w:val="19"/>
        </w:rPr>
        <w:t> Computer Simulation of 40 95% Confidence Intervals for a Mean</w:t>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sz w:val="26"/>
          <w:szCs w:val="26"/>
          <w:shd w:val="clear" w:color="auto" w:fill="FFFFFF"/>
        </w:rPr>
        <w:drawing>
          <wp:inline distT="0" distB="0" distL="0" distR="0" wp14:anchorId="0D8259F0" wp14:editId="5CC117A4">
            <wp:extent cx="4924425" cy="3648075"/>
            <wp:effectExtent l="0" t="0" r="9525" b="9525"/>
            <wp:docPr id="217" name="Picture 232" descr="http://images.flatworldknowledge.com/shafer/shafer-fig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images.flatworldknowledge.com/shafer/shafer-fig07_002.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924425" cy="364807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4"/>
        <w:textAlignment w:val="baseline"/>
        <w:rPr>
          <w:rStyle w:val="mo"/>
          <w:rFonts w:ascii="MathJax_Main" w:hAnsi="MathJax_Main"/>
          <w:b/>
          <w:sz w:val="18"/>
          <w:szCs w:val="18"/>
          <w:shd w:val="clear" w:color="auto" w:fill="FFFFFF"/>
        </w:rPr>
      </w:pPr>
      <w:r>
        <w:rPr>
          <w:rFonts w:ascii="Georgia" w:hAnsi="Georgia"/>
          <w:color w:val="333333"/>
          <w:sz w:val="20"/>
          <w:szCs w:val="20"/>
          <w:shd w:val="clear" w:color="auto" w:fill="FFFFFF"/>
        </w:rPr>
        <w:t>It is standard practice to identify the level of confidence in terms of the area</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shd w:val="clear" w:color="auto" w:fill="FFFFFF"/>
        </w:rPr>
        <w:t>α</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in the two tails of the distribution of</w:t>
      </w:r>
      <w:r>
        <w:rPr>
          <w:rStyle w:val="apple-converted-space"/>
          <w:rFonts w:ascii="Georgia" w:hAnsi="Georgia"/>
          <w:color w:val="333333"/>
          <w:sz w:val="20"/>
          <w:szCs w:val="20"/>
          <w:shd w:val="clear" w:color="auto" w:fill="FFFFFF"/>
        </w:rPr>
        <w:t> </w:t>
      </w:r>
      <w:r>
        <w:rPr>
          <w:rStyle w:val="mi"/>
          <w:rFonts w:ascii="MathJax_Math" w:hAnsi="MathJax_Math"/>
          <w:b/>
          <w:i/>
          <w:iCs/>
          <w:color w:val="333333"/>
          <w:sz w:val="15"/>
          <w:szCs w:val="15"/>
          <w:shd w:val="clear" w:color="auto" w:fill="FFFFFF"/>
        </w:rPr>
        <w:t>X</w:t>
      </w:r>
      <w:r>
        <w:rPr>
          <w:rStyle w:val="mi"/>
          <w:rFonts w:ascii="Times New Roman" w:hAnsi="Times New Roman" w:cs="Times New Roman"/>
          <w:b/>
          <w:i/>
          <w:iCs/>
          <w:color w:val="333333"/>
          <w:sz w:val="15"/>
          <w:szCs w:val="15"/>
          <w:shd w:val="clear" w:color="auto" w:fill="FFFFFF"/>
        </w:rPr>
        <w:t>^</w:t>
      </w:r>
      <w:r>
        <w:rPr>
          <w:rStyle w:val="mo"/>
          <w:rFonts w:ascii="MathJax_Main" w:hAnsi="MathJax_Main"/>
          <w:b/>
          <w:color w:val="333333"/>
          <w:sz w:val="18"/>
          <w:szCs w:val="18"/>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when the middle part specified by the level of confidence is taken out. This is shown in</w:t>
      </w:r>
      <w:r>
        <w:rPr>
          <w:rStyle w:val="apple-converted-space"/>
          <w:rFonts w:ascii="Georgia" w:hAnsi="Georgia"/>
          <w:color w:val="333333"/>
          <w:sz w:val="20"/>
          <w:szCs w:val="20"/>
          <w:shd w:val="clear" w:color="auto" w:fill="FFFFFF"/>
        </w:rPr>
        <w:t> </w:t>
      </w:r>
      <w:r>
        <w:rPr>
          <w:rFonts w:ascii="Georgia" w:hAnsi="Georgia"/>
          <w:color w:val="2689C6"/>
          <w:sz w:val="20"/>
          <w:szCs w:val="20"/>
          <w:shd w:val="clear" w:color="auto" w:fill="FFFFFF"/>
        </w:rPr>
        <w:t>Figure 7.3</w:t>
      </w:r>
      <w:r>
        <w:rPr>
          <w:rFonts w:ascii="Georgia" w:hAnsi="Georgia"/>
          <w:color w:val="333333"/>
          <w:sz w:val="20"/>
          <w:szCs w:val="20"/>
          <w:shd w:val="clear" w:color="auto" w:fill="FFFFFF"/>
        </w:rPr>
        <w:t>, drawn for the general situation, and in</w:t>
      </w:r>
      <w:r>
        <w:rPr>
          <w:rStyle w:val="apple-converted-space"/>
          <w:rFonts w:ascii="Georgia" w:hAnsi="Georgia"/>
          <w:color w:val="333333"/>
          <w:sz w:val="20"/>
          <w:szCs w:val="20"/>
          <w:shd w:val="clear" w:color="auto" w:fill="FFFFFF"/>
        </w:rPr>
        <w:t> </w:t>
      </w:r>
      <w:r>
        <w:rPr>
          <w:rFonts w:ascii="Georgia" w:hAnsi="Georgia"/>
          <w:color w:val="2689C6"/>
          <w:sz w:val="20"/>
          <w:szCs w:val="20"/>
          <w:shd w:val="clear" w:color="auto" w:fill="FFFFFF"/>
        </w:rPr>
        <w:t>Figure 7.4</w:t>
      </w:r>
      <w:r>
        <w:rPr>
          <w:rFonts w:ascii="Georgia" w:hAnsi="Georgia"/>
          <w:color w:val="333333"/>
          <w:sz w:val="20"/>
          <w:szCs w:val="20"/>
          <w:shd w:val="clear" w:color="auto" w:fill="FFFFFF"/>
        </w:rPr>
        <w:t>, drawn for 95% confidence. Remember from</w:t>
      </w:r>
      <w:r>
        <w:rPr>
          <w:rStyle w:val="apple-converted-space"/>
          <w:rFonts w:ascii="Georgia" w:hAnsi="Georgia"/>
          <w:color w:val="333333"/>
          <w:sz w:val="20"/>
          <w:szCs w:val="20"/>
          <w:shd w:val="clear" w:color="auto" w:fill="FFFFFF"/>
        </w:rPr>
        <w:t> </w:t>
      </w:r>
      <w:r>
        <w:rPr>
          <w:rFonts w:ascii="Georgia" w:hAnsi="Georgia"/>
          <w:color w:val="2689C6"/>
          <w:sz w:val="20"/>
          <w:szCs w:val="20"/>
          <w:shd w:val="clear" w:color="auto" w:fill="FFFFFF"/>
        </w:rPr>
        <w:t>Section 5.4.1 "Tails of the Standard Normal Distribution"</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in</w:t>
      </w:r>
      <w:r>
        <w:rPr>
          <w:rStyle w:val="apple-converted-space"/>
          <w:rFonts w:ascii="Georgia" w:hAnsi="Georgia"/>
          <w:color w:val="333333"/>
          <w:sz w:val="20"/>
          <w:szCs w:val="20"/>
          <w:shd w:val="clear" w:color="auto" w:fill="FFFFFF"/>
        </w:rPr>
        <w:t> </w:t>
      </w:r>
      <w:r>
        <w:rPr>
          <w:rFonts w:ascii="Georgia" w:hAnsi="Georgia"/>
          <w:color w:val="2689C6"/>
          <w:sz w:val="20"/>
          <w:szCs w:val="20"/>
          <w:shd w:val="clear" w:color="auto" w:fill="FFFFFF"/>
        </w:rPr>
        <w:t>Chapter 5 "Continuous Random Variables"</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that the</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z</w:t>
      </w:r>
      <w:r>
        <w:rPr>
          <w:rFonts w:ascii="Georgia" w:hAnsi="Georgia"/>
          <w:color w:val="333333"/>
          <w:sz w:val="20"/>
          <w:szCs w:val="20"/>
          <w:shd w:val="clear" w:color="auto" w:fill="FFFFFF"/>
        </w:rPr>
        <w:t>-value that cuts off a right tail of area</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c</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is denoted</w:t>
      </w:r>
      <w:r>
        <w:rPr>
          <w:rStyle w:val="Emphasis"/>
          <w:rFonts w:ascii="Georgia" w:hAnsi="Georgia"/>
          <w:color w:val="333333"/>
          <w:sz w:val="20"/>
          <w:szCs w:val="20"/>
          <w:shd w:val="clear" w:color="auto" w:fill="FFFFFF"/>
        </w:rPr>
        <w:t>z</w:t>
      </w:r>
      <w:r>
        <w:rPr>
          <w:rStyle w:val="Emphasis"/>
          <w:rFonts w:ascii="Georgia" w:hAnsi="Georgia"/>
          <w:color w:val="333333"/>
          <w:sz w:val="15"/>
          <w:szCs w:val="15"/>
          <w:shd w:val="clear" w:color="auto" w:fill="FFFFFF"/>
          <w:vertAlign w:val="subscript"/>
        </w:rPr>
        <w:t>c</w:t>
      </w:r>
      <w:r>
        <w:rPr>
          <w:rFonts w:ascii="Georgia" w:hAnsi="Georgia"/>
          <w:color w:val="333333"/>
          <w:sz w:val="20"/>
          <w:szCs w:val="20"/>
          <w:shd w:val="clear" w:color="auto" w:fill="FFFFFF"/>
        </w:rPr>
        <w:t>. Thus the number 1.960 in the example is</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shd w:val="clear" w:color="auto" w:fill="FFFFFF"/>
        </w:rPr>
        <w:t>z</w:t>
      </w:r>
      <w:r>
        <w:rPr>
          <w:rStyle w:val="mo"/>
          <w:rFonts w:ascii="MathJax_Main" w:hAnsi="MathJax_Main"/>
          <w:color w:val="333333"/>
          <w:sz w:val="14"/>
          <w:szCs w:val="14"/>
          <w:shd w:val="clear" w:color="auto" w:fill="FFFFFF"/>
        </w:rPr>
        <w:t>.</w:t>
      </w:r>
      <w:r>
        <w:rPr>
          <w:rStyle w:val="mn"/>
          <w:rFonts w:ascii="MathJax_Main" w:hAnsi="MathJax_Main"/>
          <w:color w:val="333333"/>
          <w:sz w:val="14"/>
          <w:szCs w:val="14"/>
          <w:shd w:val="clear" w:color="auto" w:fill="FFFFFF"/>
        </w:rPr>
        <w:t>025</w:t>
      </w:r>
      <w:r>
        <w:rPr>
          <w:rFonts w:ascii="Georgia" w:hAnsi="Georgia"/>
          <w:color w:val="333333"/>
          <w:sz w:val="20"/>
          <w:szCs w:val="20"/>
          <w:shd w:val="clear" w:color="auto" w:fill="FFFFFF"/>
        </w:rPr>
        <w:t>, which is</w:t>
      </w:r>
      <w:r>
        <w:rPr>
          <w:rStyle w:val="apple-converted-space"/>
          <w:rFonts w:ascii="Georgia" w:hAnsi="Georgia"/>
          <w:color w:val="333333"/>
          <w:sz w:val="20"/>
          <w:szCs w:val="20"/>
          <w:shd w:val="clear" w:color="auto" w:fill="FFFFFF"/>
        </w:rPr>
        <w:t> </w:t>
      </w:r>
      <w:r>
        <w:rPr>
          <w:rStyle w:val="mi"/>
          <w:rFonts w:ascii="MathJax_Math" w:hAnsi="MathJax_Math"/>
          <w:b/>
          <w:i/>
          <w:iCs/>
          <w:color w:val="333333"/>
          <w:sz w:val="18"/>
          <w:szCs w:val="18"/>
          <w:shd w:val="clear" w:color="auto" w:fill="FFFFFF"/>
        </w:rPr>
        <w:t>z</w:t>
      </w:r>
      <w:r>
        <w:rPr>
          <w:rStyle w:val="mi"/>
          <w:rFonts w:ascii="MathJax_Math" w:hAnsi="MathJax_Math"/>
          <w:b/>
          <w:i/>
          <w:iCs/>
          <w:color w:val="333333"/>
          <w:sz w:val="14"/>
          <w:szCs w:val="14"/>
          <w:shd w:val="clear" w:color="auto" w:fill="FFFFFF"/>
        </w:rPr>
        <w:t>α</w:t>
      </w:r>
      <w:r>
        <w:rPr>
          <w:rStyle w:val="mo"/>
          <w:rFonts w:ascii="MathJax_Size1" w:hAnsi="MathJax_Size1"/>
          <w:b/>
          <w:color w:val="333333"/>
          <w:sz w:val="14"/>
          <w:szCs w:val="14"/>
          <w:shd w:val="clear" w:color="auto" w:fill="FFFFFF"/>
        </w:rPr>
        <w:t>/</w:t>
      </w:r>
      <w:r>
        <w:rPr>
          <w:rStyle w:val="mn"/>
          <w:rFonts w:ascii="MathJax_Main" w:hAnsi="MathJax_Main"/>
          <w:b/>
          <w:color w:val="333333"/>
          <w:sz w:val="14"/>
          <w:szCs w:val="14"/>
          <w:shd w:val="clear" w:color="auto" w:fill="FFFFFF"/>
        </w:rPr>
        <w:t>2</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for</w:t>
      </w:r>
      <w:r>
        <w:rPr>
          <w:rStyle w:val="apple-converted-space"/>
          <w:rFonts w:ascii="Georgia" w:hAnsi="Georgia"/>
          <w:color w:val="333333"/>
          <w:sz w:val="20"/>
          <w:szCs w:val="20"/>
          <w:shd w:val="clear" w:color="auto" w:fill="FFFFFF"/>
        </w:rPr>
        <w:t> </w:t>
      </w:r>
      <w:r>
        <w:rPr>
          <w:rStyle w:val="mi"/>
          <w:rFonts w:ascii="MathJax_Math" w:hAnsi="MathJax_Math"/>
          <w:b/>
          <w:i/>
          <w:iCs/>
          <w:color w:val="333333"/>
          <w:sz w:val="18"/>
          <w:szCs w:val="18"/>
          <w:shd w:val="clear" w:color="auto" w:fill="FFFFFF"/>
        </w:rPr>
        <w:t>α</w:t>
      </w:r>
      <w:r>
        <w:rPr>
          <w:rStyle w:val="mo"/>
          <w:rFonts w:ascii="MathJax_Main" w:hAnsi="MathJax_Main"/>
          <w:b/>
          <w:color w:val="333333"/>
          <w:sz w:val="18"/>
          <w:szCs w:val="18"/>
          <w:shd w:val="clear" w:color="auto" w:fill="FFFFFF"/>
        </w:rPr>
        <w:t>=</w:t>
      </w:r>
      <w:r>
        <w:rPr>
          <w:rStyle w:val="mn"/>
          <w:rFonts w:ascii="MathJax_Main" w:hAnsi="MathJax_Main"/>
          <w:b/>
          <w:color w:val="333333"/>
          <w:sz w:val="18"/>
          <w:szCs w:val="18"/>
          <w:shd w:val="clear" w:color="auto" w:fill="FFFFFF"/>
        </w:rPr>
        <w:t>1</w:t>
      </w:r>
      <w:r>
        <w:rPr>
          <w:rStyle w:val="mo"/>
          <w:rFonts w:ascii="MathJax_Main" w:hAnsi="MathJax_Main"/>
          <w:b/>
          <w:color w:val="333333"/>
          <w:sz w:val="18"/>
          <w:szCs w:val="18"/>
          <w:shd w:val="clear" w:color="auto" w:fill="FFFFFF"/>
        </w:rPr>
        <w:t>−</w:t>
      </w:r>
      <w:r>
        <w:rPr>
          <w:rStyle w:val="mn"/>
          <w:rFonts w:ascii="MathJax_Main" w:hAnsi="MathJax_Main"/>
          <w:b/>
          <w:color w:val="333333"/>
          <w:sz w:val="18"/>
          <w:szCs w:val="18"/>
          <w:shd w:val="clear" w:color="auto" w:fill="FFFFFF"/>
        </w:rPr>
        <w:t>0.95</w:t>
      </w:r>
      <w:r>
        <w:rPr>
          <w:rStyle w:val="mo"/>
          <w:rFonts w:ascii="MathJax_Main" w:hAnsi="MathJax_Main"/>
          <w:b/>
          <w:color w:val="333333"/>
          <w:sz w:val="18"/>
          <w:szCs w:val="18"/>
          <w:shd w:val="clear" w:color="auto" w:fill="FFFFFF"/>
        </w:rPr>
        <w:t>=</w:t>
      </w:r>
      <w:r>
        <w:rPr>
          <w:rStyle w:val="mn"/>
          <w:rFonts w:ascii="MathJax_Main" w:hAnsi="MathJax_Main"/>
          <w:b/>
          <w:color w:val="333333"/>
          <w:sz w:val="18"/>
          <w:szCs w:val="18"/>
          <w:shd w:val="clear" w:color="auto" w:fill="FFFFFF"/>
        </w:rPr>
        <w:t>0.05</w:t>
      </w:r>
      <w:r>
        <w:rPr>
          <w:rStyle w:val="mo"/>
          <w:rFonts w:ascii="MathJax_Main" w:hAnsi="MathJax_Main"/>
          <w:b/>
          <w:color w:val="333333"/>
          <w:sz w:val="18"/>
          <w:szCs w:val="18"/>
          <w:shd w:val="clear" w:color="auto" w:fill="FFFFFF"/>
        </w:rPr>
        <w:t>.</w:t>
      </w: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t>Figure 7.3</w:t>
      </w:r>
    </w:p>
    <w:p w:rsidR="00AD77BB" w:rsidRDefault="00B45BA0">
      <w:pPr>
        <w:shd w:val="clear" w:color="auto" w:fill="FFFFFF" w:themeFill="background1"/>
        <w:spacing w:after="0" w:line="360" w:lineRule="auto"/>
        <w:ind w:right="374"/>
        <w:textAlignment w:val="baseline"/>
        <w:rPr>
          <w:rFonts w:ascii="MathJax_Main" w:eastAsia="Times New Roman" w:hAnsi="MathJax_Main" w:cs="Times New Roman"/>
          <w:color w:val="555555"/>
          <w:sz w:val="21"/>
          <w:szCs w:val="21"/>
          <w:shd w:val="clear" w:color="auto" w:fill="FFFFFF"/>
        </w:rPr>
      </w:pPr>
      <w:r>
        <w:rPr>
          <w:rFonts w:ascii="Calibri" w:eastAsia="Times New Roman" w:hAnsi="Calibri" w:cs="Times New Roman"/>
          <w:noProof/>
          <w:color w:val="2689C6"/>
          <w:sz w:val="26"/>
          <w:szCs w:val="26"/>
          <w:shd w:val="clear" w:color="auto" w:fill="FFFFFF"/>
        </w:rPr>
        <w:drawing>
          <wp:inline distT="0" distB="0" distL="0" distR="0" wp14:anchorId="76B4C50B" wp14:editId="0FF8285E">
            <wp:extent cx="4105275" cy="2352675"/>
            <wp:effectExtent l="0" t="0" r="9525" b="9525"/>
            <wp:docPr id="218" name="Picture 233" descr="http://images.flatworldknowledge.com/shafer/shafer-fig0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images.flatworldknowledge.com/shafer/shafer-fig07_003.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105275" cy="235267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4"/>
        <w:textAlignment w:val="baseline"/>
        <w:rPr>
          <w:rFonts w:ascii="MathJax_Main" w:eastAsia="Times New Roman" w:hAnsi="MathJax_Main" w:cs="Times New Roman"/>
          <w:b/>
          <w:color w:val="555555"/>
          <w:sz w:val="21"/>
          <w:szCs w:val="21"/>
          <w:shd w:val="clear" w:color="auto" w:fill="FFFFFF"/>
        </w:rPr>
      </w:pPr>
      <w:r>
        <w:rPr>
          <w:rFonts w:ascii="MathJax_Main" w:eastAsia="Times New Roman" w:hAnsi="MathJax_Main" w:cs="Times New Roman"/>
          <w:b/>
          <w:color w:val="555555"/>
          <w:sz w:val="21"/>
          <w:szCs w:val="21"/>
          <w:shd w:val="clear" w:color="auto" w:fill="FFFFFF"/>
        </w:rPr>
        <w:lastRenderedPageBreak/>
        <w:t>100(1−</w:t>
      </w:r>
      <w:r>
        <w:rPr>
          <w:rFonts w:ascii="MathJax_Math" w:eastAsia="Times New Roman" w:hAnsi="MathJax_Math" w:cs="Times New Roman"/>
          <w:b/>
          <w:i/>
          <w:iCs/>
          <w:color w:val="555555"/>
          <w:sz w:val="21"/>
          <w:szCs w:val="21"/>
          <w:shd w:val="clear" w:color="auto" w:fill="FFFFFF"/>
        </w:rPr>
        <w:t>α</w:t>
      </w:r>
      <w:r>
        <w:rPr>
          <w:rFonts w:ascii="MathJax_Main" w:eastAsia="Times New Roman" w:hAnsi="MathJax_Main" w:cs="Times New Roman"/>
          <w:b/>
          <w:color w:val="555555"/>
          <w:sz w:val="21"/>
          <w:szCs w:val="21"/>
          <w:shd w:val="clear" w:color="auto" w:fill="FFFFFF"/>
        </w:rPr>
        <w:t>)</w:t>
      </w:r>
      <w:r>
        <w:rPr>
          <w:rFonts w:ascii="Calibri" w:eastAsia="Times New Roman" w:hAnsi="Calibri" w:cs="Times New Roman"/>
          <w:b/>
          <w:color w:val="555555"/>
          <w:sz w:val="26"/>
          <w:szCs w:val="26"/>
          <w:shd w:val="clear" w:color="auto" w:fill="FFFFFF"/>
        </w:rPr>
        <w:t> </w:t>
      </w:r>
      <w:r>
        <w:rPr>
          <w:rFonts w:ascii="MathJax_Math" w:eastAsia="Times New Roman" w:hAnsi="MathJax_Math" w:cs="Times New Roman"/>
          <w:b/>
          <w:i/>
          <w:iCs/>
          <w:color w:val="555555"/>
          <w:sz w:val="21"/>
          <w:szCs w:val="21"/>
          <w:shd w:val="clear" w:color="auto" w:fill="FFFFFF"/>
        </w:rPr>
        <w:t>α</w:t>
      </w:r>
      <w:r>
        <w:rPr>
          <w:rFonts w:ascii="MathJax_Main" w:eastAsia="Times New Roman" w:hAnsi="MathJax_Main" w:cs="Times New Roman"/>
          <w:b/>
          <w:color w:val="555555"/>
          <w:sz w:val="21"/>
          <w:szCs w:val="21"/>
          <w:shd w:val="clear" w:color="auto" w:fill="FFFFFF"/>
        </w:rPr>
        <w:t>/2.</w:t>
      </w: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t>Figure 7.4</w:t>
      </w:r>
    </w:p>
    <w:p w:rsidR="00AD77BB" w:rsidRDefault="00B45BA0">
      <w:pPr>
        <w:shd w:val="clear" w:color="auto" w:fill="FFFFFF" w:themeFill="background1"/>
        <w:spacing w:after="0" w:line="360" w:lineRule="auto"/>
        <w:ind w:right="374"/>
        <w:textAlignment w:val="baseline"/>
        <w:rPr>
          <w:rFonts w:ascii="MathJax_Math" w:eastAsia="Times New Roman" w:hAnsi="MathJax_Math" w:cs="Times New Roman"/>
          <w:i/>
          <w:iCs/>
          <w:color w:val="555555"/>
          <w:sz w:val="21"/>
          <w:szCs w:val="21"/>
          <w:shd w:val="clear" w:color="auto" w:fill="FFFFFF"/>
        </w:rPr>
      </w:pPr>
      <w:r>
        <w:rPr>
          <w:rFonts w:ascii="Calibri" w:eastAsia="Times New Roman" w:hAnsi="Calibri" w:cs="Times New Roman"/>
          <w:noProof/>
          <w:color w:val="2689C6"/>
          <w:sz w:val="26"/>
          <w:szCs w:val="26"/>
          <w:shd w:val="clear" w:color="auto" w:fill="FFFFFF"/>
        </w:rPr>
        <w:drawing>
          <wp:inline distT="0" distB="0" distL="0" distR="0" wp14:anchorId="3E314AE2" wp14:editId="04128471">
            <wp:extent cx="4457700" cy="2628900"/>
            <wp:effectExtent l="0" t="0" r="0" b="0"/>
            <wp:docPr id="219" name="Picture 234" descr="http://images.flatworldknowledge.com/shafer/shafer-fig0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images.flatworldknowledge.com/shafer/shafer-fig07_004.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457700" cy="262890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4"/>
        <w:textAlignment w:val="baseline"/>
        <w:rPr>
          <w:rFonts w:ascii="MathJax_Main" w:eastAsia="Times New Roman" w:hAnsi="MathJax_Main" w:cs="Times New Roman"/>
          <w:b/>
          <w:color w:val="555555"/>
          <w:sz w:val="21"/>
          <w:szCs w:val="21"/>
          <w:shd w:val="clear" w:color="auto" w:fill="FFFFFF"/>
        </w:rPr>
      </w:pPr>
      <w:r>
        <w:rPr>
          <w:rFonts w:ascii="MathJax_Math" w:eastAsia="Times New Roman" w:hAnsi="MathJax_Math" w:cs="Times New Roman"/>
          <w:b/>
          <w:i/>
          <w:iCs/>
          <w:color w:val="555555"/>
          <w:sz w:val="21"/>
          <w:szCs w:val="21"/>
          <w:shd w:val="clear" w:color="auto" w:fill="FFFFFF"/>
        </w:rPr>
        <w:t>α</w:t>
      </w:r>
      <w:r>
        <w:rPr>
          <w:rFonts w:ascii="MathJax_Main" w:eastAsia="Times New Roman" w:hAnsi="MathJax_Main" w:cs="Times New Roman"/>
          <w:b/>
          <w:color w:val="555555"/>
          <w:sz w:val="21"/>
          <w:szCs w:val="21"/>
          <w:shd w:val="clear" w:color="auto" w:fill="FFFFFF"/>
        </w:rPr>
        <w:t>/2=0.025.</w:t>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drawing>
          <wp:inline distT="0" distB="0" distL="0" distR="0" wp14:anchorId="556F8957" wp14:editId="32F4A17A">
            <wp:extent cx="5114925" cy="4629150"/>
            <wp:effectExtent l="0" t="0" r="9525" b="0"/>
            <wp:docPr id="220"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114925" cy="4629150"/>
                    </a:xfrm>
                    <a:prstGeom prst="rect">
                      <a:avLst/>
                    </a:prstGeom>
                    <a:noFill/>
                    <a:ln>
                      <a:noFill/>
                    </a:ln>
                  </pic:spPr>
                </pic:pic>
              </a:graphicData>
            </a:graphic>
          </wp:inline>
        </w:drawing>
      </w: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drawing>
          <wp:inline distT="0" distB="0" distL="0" distR="0" wp14:anchorId="6DE39B1C" wp14:editId="4FC2808D">
            <wp:extent cx="5486400" cy="6610350"/>
            <wp:effectExtent l="0" t="0" r="0" b="0"/>
            <wp:docPr id="221"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6610350"/>
                    </a:xfrm>
                    <a:prstGeom prst="rect">
                      <a:avLst/>
                    </a:prstGeom>
                    <a:noFill/>
                    <a:ln>
                      <a:noFill/>
                    </a:ln>
                  </pic:spPr>
                </pic:pic>
              </a:graphicData>
            </a:graphic>
          </wp:inline>
        </w:drawing>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2</w:t>
      </w:r>
    </w:p>
    <w:p w:rsidR="00AD77BB" w:rsidRDefault="00B45BA0">
      <w:pPr>
        <w:pStyle w:val="para"/>
        <w:shd w:val="clear" w:color="auto" w:fill="DAEEF3" w:themeFill="accent5" w:themeFillTint="33"/>
        <w:spacing w:before="0" w:beforeAutospacing="0" w:after="0" w:afterAutospacing="0" w:line="360" w:lineRule="auto"/>
        <w:ind w:left="300" w:right="374"/>
        <w:textAlignment w:val="baseline"/>
        <w:rPr>
          <w:rFonts w:ascii="Calibri" w:hAnsi="Calibri"/>
          <w:color w:val="333333"/>
          <w:sz w:val="21"/>
          <w:szCs w:val="21"/>
        </w:rPr>
      </w:pPr>
      <w:r>
        <w:rPr>
          <w:rFonts w:ascii="Calibri" w:hAnsi="Calibri"/>
          <w:color w:val="333333"/>
          <w:sz w:val="21"/>
          <w:szCs w:val="21"/>
        </w:rPr>
        <w:t>Use</w:t>
      </w:r>
      <w:r>
        <w:rPr>
          <w:rStyle w:val="apple-converted-space"/>
          <w:rFonts w:ascii="Calibri" w:hAnsi="Calibri"/>
          <w:color w:val="333333"/>
          <w:sz w:val="21"/>
          <w:szCs w:val="21"/>
        </w:rPr>
        <w:t> </w:t>
      </w:r>
      <w:r>
        <w:rPr>
          <w:rFonts w:ascii="Calibri" w:hAnsi="Calibri"/>
          <w:color w:val="2689C6"/>
          <w:sz w:val="21"/>
          <w:szCs w:val="21"/>
        </w:rPr>
        <w:t>Figure 12.3 "Critical Values of "</w:t>
      </w:r>
      <w:r>
        <w:rPr>
          <w:rStyle w:val="apple-converted-space"/>
          <w:rFonts w:ascii="Calibri" w:hAnsi="Calibri"/>
          <w:color w:val="333333"/>
          <w:sz w:val="21"/>
          <w:szCs w:val="21"/>
        </w:rPr>
        <w:t> </w:t>
      </w:r>
      <w:r>
        <w:rPr>
          <w:rFonts w:ascii="Calibri" w:hAnsi="Calibri"/>
          <w:color w:val="333333"/>
          <w:sz w:val="21"/>
          <w:szCs w:val="21"/>
        </w:rPr>
        <w:t>to find the number</w:t>
      </w:r>
      <w:r>
        <w:rPr>
          <w:rStyle w:val="apple-converted-space"/>
          <w:rFonts w:ascii="Calibri" w:hAnsi="Calibri"/>
          <w:color w:val="333333"/>
          <w:sz w:val="21"/>
          <w:szCs w:val="21"/>
        </w:rPr>
        <w:t> </w:t>
      </w:r>
      <w:r>
        <w:rPr>
          <w:rStyle w:val="mi"/>
          <w:rFonts w:ascii="MathJax_Math" w:hAnsi="MathJax_Math"/>
          <w:i/>
          <w:iCs/>
          <w:color w:val="333333"/>
          <w:sz w:val="15"/>
          <w:szCs w:val="15"/>
        </w:rPr>
        <w:t>z</w:t>
      </w:r>
      <w:r>
        <w:rPr>
          <w:rStyle w:val="mi"/>
          <w:rFonts w:ascii="MathJax_Math" w:hAnsi="MathJax_Math"/>
          <w:i/>
          <w:iCs/>
          <w:color w:val="333333"/>
          <w:sz w:val="12"/>
          <w:szCs w:val="12"/>
        </w:rPr>
        <w:t>α</w:t>
      </w:r>
      <w:r>
        <w:rPr>
          <w:rStyle w:val="mo"/>
          <w:rFonts w:ascii="MathJax_Size1" w:hAnsi="MathJax_Size1"/>
          <w:color w:val="333333"/>
          <w:sz w:val="12"/>
          <w:szCs w:val="12"/>
        </w:rPr>
        <w:t>/</w:t>
      </w:r>
      <w:r>
        <w:rPr>
          <w:rStyle w:val="mn"/>
          <w:rFonts w:ascii="MathJax_Main" w:hAnsi="MathJax_Main"/>
          <w:color w:val="333333"/>
          <w:sz w:val="12"/>
          <w:szCs w:val="12"/>
        </w:rPr>
        <w:t>2</w:t>
      </w:r>
      <w:r>
        <w:rPr>
          <w:rStyle w:val="apple-converted-space"/>
          <w:rFonts w:ascii="Calibri" w:hAnsi="Calibri"/>
          <w:color w:val="333333"/>
          <w:sz w:val="21"/>
          <w:szCs w:val="21"/>
        </w:rPr>
        <w:t> </w:t>
      </w:r>
      <w:r>
        <w:rPr>
          <w:rFonts w:ascii="Calibri" w:hAnsi="Calibri"/>
          <w:color w:val="333333"/>
          <w:sz w:val="21"/>
          <w:szCs w:val="21"/>
        </w:rPr>
        <w:t>needed in construction of a confidence interval:</w:t>
      </w:r>
    </w:p>
    <w:p w:rsidR="00AD77BB" w:rsidRDefault="00B45BA0">
      <w:pPr>
        <w:numPr>
          <w:ilvl w:val="0"/>
          <w:numId w:val="162"/>
        </w:numPr>
        <w:shd w:val="clear" w:color="auto" w:fill="DAEEF3" w:themeFill="accent5" w:themeFillTint="33"/>
        <w:spacing w:after="0" w:line="360" w:lineRule="auto"/>
        <w:ind w:right="374"/>
        <w:textAlignment w:val="baseline"/>
        <w:rPr>
          <w:rFonts w:ascii="Calibri" w:hAnsi="Calibri"/>
          <w:color w:val="333333"/>
          <w:sz w:val="20"/>
          <w:szCs w:val="20"/>
        </w:rPr>
      </w:pPr>
      <w:r>
        <w:rPr>
          <w:rFonts w:ascii="Calibri" w:hAnsi="Calibri"/>
          <w:color w:val="333333"/>
          <w:sz w:val="20"/>
          <w:szCs w:val="20"/>
        </w:rPr>
        <w:t>when the level of confidence is 90%;</w:t>
      </w:r>
    </w:p>
    <w:p w:rsidR="00AD77BB" w:rsidRDefault="00B45BA0">
      <w:pPr>
        <w:numPr>
          <w:ilvl w:val="0"/>
          <w:numId w:val="162"/>
        </w:numPr>
        <w:shd w:val="clear" w:color="auto" w:fill="DAEEF3" w:themeFill="accent5" w:themeFillTint="33"/>
        <w:spacing w:after="0" w:line="360" w:lineRule="auto"/>
        <w:ind w:left="504" w:right="374" w:hanging="504"/>
        <w:textAlignment w:val="baseline"/>
        <w:rPr>
          <w:rFonts w:ascii="Calibri" w:hAnsi="Calibri"/>
          <w:color w:val="333333"/>
          <w:sz w:val="20"/>
          <w:szCs w:val="20"/>
        </w:rPr>
      </w:pPr>
      <w:r>
        <w:rPr>
          <w:rFonts w:ascii="Calibri" w:hAnsi="Calibri"/>
          <w:color w:val="333333"/>
          <w:sz w:val="20"/>
          <w:szCs w:val="20"/>
        </w:rPr>
        <w:t>when the level of confidence is 99%.</w:t>
      </w:r>
    </w:p>
    <w:p w:rsidR="00AD77BB" w:rsidRDefault="00B45BA0">
      <w:pPr>
        <w:pStyle w:val="simpara"/>
        <w:shd w:val="clear" w:color="auto" w:fill="DAEEF3" w:themeFill="accent5" w:themeFillTint="33"/>
        <w:spacing w:before="150" w:beforeAutospacing="0" w:after="0" w:afterAutospacing="0" w:line="360" w:lineRule="auto"/>
        <w:ind w:left="300" w:right="374"/>
        <w:textAlignment w:val="baseline"/>
        <w:rPr>
          <w:rFonts w:ascii="Calibri" w:hAnsi="Calibri"/>
          <w:color w:val="333333"/>
          <w:sz w:val="21"/>
          <w:szCs w:val="21"/>
        </w:rPr>
      </w:pPr>
      <w:r>
        <w:rPr>
          <w:rFonts w:ascii="Calibri" w:hAnsi="Calibri"/>
          <w:color w:val="333333"/>
          <w:sz w:val="21"/>
          <w:szCs w:val="21"/>
        </w:rPr>
        <w:lastRenderedPageBreak/>
        <w:t>Solution:</w:t>
      </w:r>
    </w:p>
    <w:p w:rsidR="00AD77BB" w:rsidRDefault="00B45BA0">
      <w:pPr>
        <w:numPr>
          <w:ilvl w:val="0"/>
          <w:numId w:val="163"/>
        </w:numPr>
        <w:shd w:val="clear" w:color="auto" w:fill="DAEEF3" w:themeFill="accent5" w:themeFillTint="33"/>
        <w:spacing w:after="0" w:line="360" w:lineRule="auto"/>
        <w:ind w:right="374"/>
        <w:textAlignment w:val="baseline"/>
        <w:rPr>
          <w:rFonts w:ascii="Calibri" w:hAnsi="Calibri"/>
          <w:color w:val="333333"/>
          <w:sz w:val="20"/>
          <w:szCs w:val="20"/>
        </w:rPr>
      </w:pPr>
      <w:r>
        <w:rPr>
          <w:rFonts w:ascii="Calibri" w:hAnsi="Calibri"/>
          <w:color w:val="333333"/>
          <w:sz w:val="20"/>
          <w:szCs w:val="20"/>
        </w:rPr>
        <w:t>In the next section we will learn about a continuous random variable that has a probability distribution called the Student</w:t>
      </w:r>
      <w:r>
        <w:rPr>
          <w:rStyle w:val="apple-converted-space"/>
          <w:rFonts w:ascii="Calibri" w:hAnsi="Calibri"/>
          <w:color w:val="333333"/>
          <w:sz w:val="20"/>
          <w:szCs w:val="20"/>
        </w:rPr>
        <w:t> </w:t>
      </w:r>
      <w:r>
        <w:rPr>
          <w:rStyle w:val="Emphasis"/>
          <w:rFonts w:ascii="Calibri" w:hAnsi="Calibri"/>
          <w:color w:val="333333"/>
          <w:sz w:val="20"/>
          <w:szCs w:val="20"/>
        </w:rPr>
        <w:t>t</w:t>
      </w:r>
      <w:r>
        <w:rPr>
          <w:rFonts w:ascii="Calibri" w:hAnsi="Calibri"/>
          <w:color w:val="333333"/>
          <w:sz w:val="20"/>
          <w:szCs w:val="20"/>
        </w:rPr>
        <w:t>-distribution.</w:t>
      </w:r>
      <w:r>
        <w:rPr>
          <w:rStyle w:val="apple-converted-space"/>
          <w:rFonts w:ascii="Calibri" w:hAnsi="Calibri"/>
          <w:color w:val="333333"/>
          <w:sz w:val="20"/>
          <w:szCs w:val="20"/>
        </w:rPr>
        <w:t> </w:t>
      </w:r>
      <w:r>
        <w:rPr>
          <w:rFonts w:ascii="Calibri" w:hAnsi="Calibri"/>
          <w:color w:val="2689C6"/>
          <w:sz w:val="20"/>
          <w:szCs w:val="20"/>
        </w:rPr>
        <w:t>Figure 12.3 "Critical Values of "</w:t>
      </w:r>
      <w:r>
        <w:rPr>
          <w:rStyle w:val="apple-converted-space"/>
          <w:rFonts w:ascii="Calibri" w:hAnsi="Calibri"/>
          <w:color w:val="333333"/>
          <w:sz w:val="20"/>
          <w:szCs w:val="20"/>
        </w:rPr>
        <w:t> </w:t>
      </w:r>
      <w:r>
        <w:rPr>
          <w:rFonts w:ascii="Calibri" w:hAnsi="Calibri"/>
          <w:color w:val="333333"/>
          <w:sz w:val="20"/>
          <w:szCs w:val="20"/>
        </w:rPr>
        <w:t>gives the value</w:t>
      </w:r>
      <w:r>
        <w:rPr>
          <w:rStyle w:val="apple-converted-space"/>
          <w:rFonts w:ascii="Calibri" w:hAnsi="Calibri"/>
          <w:color w:val="333333"/>
          <w:sz w:val="20"/>
          <w:szCs w:val="20"/>
        </w:rPr>
        <w:t> </w:t>
      </w:r>
      <w:r>
        <w:rPr>
          <w:rStyle w:val="Emphasis"/>
          <w:rFonts w:ascii="Calibri" w:hAnsi="Calibri"/>
          <w:color w:val="333333"/>
          <w:sz w:val="20"/>
          <w:szCs w:val="20"/>
        </w:rPr>
        <w:t>t</w:t>
      </w:r>
      <w:r>
        <w:rPr>
          <w:rStyle w:val="Emphasis"/>
          <w:rFonts w:ascii="Calibri" w:hAnsi="Calibri"/>
          <w:color w:val="333333"/>
          <w:sz w:val="15"/>
          <w:szCs w:val="15"/>
          <w:vertAlign w:val="subscript"/>
        </w:rPr>
        <w:t>c</w:t>
      </w:r>
      <w:r>
        <w:rPr>
          <w:rStyle w:val="apple-converted-space"/>
          <w:rFonts w:ascii="Calibri" w:hAnsi="Calibri"/>
          <w:color w:val="333333"/>
          <w:sz w:val="20"/>
          <w:szCs w:val="20"/>
        </w:rPr>
        <w:t> </w:t>
      </w:r>
      <w:r>
        <w:rPr>
          <w:rFonts w:ascii="Calibri" w:hAnsi="Calibri"/>
          <w:color w:val="333333"/>
          <w:sz w:val="20"/>
          <w:szCs w:val="20"/>
        </w:rPr>
        <w:t>that cuts off a right tail of area</w:t>
      </w:r>
      <w:r>
        <w:rPr>
          <w:rStyle w:val="apple-converted-space"/>
          <w:rFonts w:ascii="Calibri" w:hAnsi="Calibri"/>
          <w:color w:val="333333"/>
          <w:sz w:val="20"/>
          <w:szCs w:val="20"/>
        </w:rPr>
        <w:t> </w:t>
      </w:r>
      <w:r>
        <w:rPr>
          <w:rStyle w:val="Emphasis"/>
          <w:rFonts w:ascii="Calibri" w:hAnsi="Calibri"/>
          <w:color w:val="333333"/>
          <w:sz w:val="20"/>
          <w:szCs w:val="20"/>
        </w:rPr>
        <w:t>c</w:t>
      </w:r>
      <w:r>
        <w:rPr>
          <w:rStyle w:val="apple-converted-space"/>
          <w:rFonts w:ascii="Calibri" w:hAnsi="Calibri"/>
          <w:color w:val="333333"/>
          <w:sz w:val="20"/>
          <w:szCs w:val="20"/>
        </w:rPr>
        <w:t> </w:t>
      </w:r>
      <w:r>
        <w:rPr>
          <w:rFonts w:ascii="Calibri" w:hAnsi="Calibri"/>
          <w:color w:val="333333"/>
          <w:sz w:val="20"/>
          <w:szCs w:val="20"/>
        </w:rPr>
        <w:t>for different values of</w:t>
      </w:r>
      <w:r>
        <w:rPr>
          <w:rStyle w:val="apple-converted-space"/>
          <w:rFonts w:ascii="Calibri" w:hAnsi="Calibri"/>
          <w:color w:val="333333"/>
          <w:sz w:val="20"/>
          <w:szCs w:val="20"/>
        </w:rPr>
        <w:t> </w:t>
      </w:r>
      <w:r>
        <w:rPr>
          <w:rStyle w:val="Emphasis"/>
          <w:rFonts w:ascii="Calibri" w:hAnsi="Calibri"/>
          <w:color w:val="333333"/>
          <w:sz w:val="20"/>
          <w:szCs w:val="20"/>
        </w:rPr>
        <w:t>c</w:t>
      </w:r>
      <w:r>
        <w:rPr>
          <w:rFonts w:ascii="Calibri" w:hAnsi="Calibri"/>
          <w:color w:val="333333"/>
          <w:sz w:val="20"/>
          <w:szCs w:val="20"/>
        </w:rPr>
        <w:t>. The last line of that table, the one whose heading is the symbol</w:t>
      </w:r>
      <w:r>
        <w:rPr>
          <w:rStyle w:val="apple-converted-space"/>
          <w:rFonts w:ascii="Calibri" w:hAnsi="Calibri"/>
          <w:color w:val="333333"/>
          <w:sz w:val="20"/>
          <w:szCs w:val="20"/>
        </w:rPr>
        <w:t> </w:t>
      </w:r>
      <w:r>
        <w:rPr>
          <w:rStyle w:val="mi"/>
          <w:rFonts w:ascii="MathJax_Main" w:hAnsi="MathJax_Main"/>
          <w:color w:val="333333"/>
          <w:sz w:val="15"/>
          <w:szCs w:val="15"/>
        </w:rPr>
        <w:t>∞</w:t>
      </w:r>
      <w:r>
        <w:rPr>
          <w:rStyle w:val="apple-converted-space"/>
          <w:rFonts w:ascii="Calibri" w:hAnsi="Calibri"/>
          <w:color w:val="333333"/>
          <w:sz w:val="20"/>
          <w:szCs w:val="20"/>
        </w:rPr>
        <w:t> </w:t>
      </w:r>
      <w:r>
        <w:rPr>
          <w:rFonts w:ascii="Calibri" w:hAnsi="Calibri"/>
          <w:color w:val="333333"/>
          <w:sz w:val="20"/>
          <w:szCs w:val="20"/>
        </w:rPr>
        <w:t>for infinity and</w:t>
      </w:r>
      <w:r>
        <w:rPr>
          <w:rStyle w:val="apple-converted-space"/>
          <w:rFonts w:ascii="Calibri" w:hAnsi="Calibri"/>
          <w:color w:val="333333"/>
          <w:sz w:val="20"/>
          <w:szCs w:val="20"/>
        </w:rPr>
        <w:t> </w:t>
      </w:r>
      <w:r>
        <w:rPr>
          <w:rStyle w:val="mo"/>
          <w:rFonts w:ascii="MathJax_Main" w:hAnsi="MathJax_Main"/>
          <w:color w:val="333333"/>
          <w:sz w:val="15"/>
          <w:szCs w:val="15"/>
        </w:rPr>
        <w:t>[</w:t>
      </w:r>
      <w:r>
        <w:rPr>
          <w:rStyle w:val="mi"/>
          <w:rFonts w:ascii="MathJax_Math" w:hAnsi="MathJax_Math"/>
          <w:i/>
          <w:iCs/>
          <w:color w:val="333333"/>
          <w:sz w:val="15"/>
          <w:szCs w:val="15"/>
        </w:rPr>
        <w:t>z</w:t>
      </w:r>
      <w:r>
        <w:rPr>
          <w:rStyle w:val="mo"/>
          <w:rFonts w:ascii="MathJax_Main" w:hAnsi="MathJax_Main"/>
          <w:color w:val="333333"/>
          <w:sz w:val="15"/>
          <w:szCs w:val="15"/>
        </w:rPr>
        <w:t>]</w:t>
      </w:r>
      <w:r>
        <w:rPr>
          <w:rFonts w:ascii="Calibri" w:hAnsi="Calibri"/>
          <w:color w:val="333333"/>
          <w:sz w:val="20"/>
          <w:szCs w:val="20"/>
        </w:rPr>
        <w:t>, gives the corresponding</w:t>
      </w:r>
      <w:r>
        <w:rPr>
          <w:rStyle w:val="apple-converted-space"/>
          <w:rFonts w:ascii="Calibri" w:hAnsi="Calibri"/>
          <w:color w:val="333333"/>
          <w:sz w:val="20"/>
          <w:szCs w:val="20"/>
        </w:rPr>
        <w:t> </w:t>
      </w:r>
      <w:r>
        <w:rPr>
          <w:rStyle w:val="Emphasis"/>
          <w:rFonts w:ascii="Calibri" w:hAnsi="Calibri"/>
          <w:color w:val="333333"/>
          <w:sz w:val="20"/>
          <w:szCs w:val="20"/>
        </w:rPr>
        <w:t>z</w:t>
      </w:r>
      <w:r>
        <w:rPr>
          <w:rFonts w:ascii="Calibri" w:hAnsi="Calibri"/>
          <w:color w:val="333333"/>
          <w:sz w:val="20"/>
          <w:szCs w:val="20"/>
        </w:rPr>
        <w:t>-value</w:t>
      </w:r>
      <w:r>
        <w:rPr>
          <w:rStyle w:val="apple-converted-space"/>
          <w:rFonts w:ascii="Calibri" w:hAnsi="Calibri"/>
          <w:color w:val="333333"/>
          <w:sz w:val="20"/>
          <w:szCs w:val="20"/>
        </w:rPr>
        <w:t> </w:t>
      </w:r>
      <w:r>
        <w:rPr>
          <w:rStyle w:val="Emphasis"/>
          <w:rFonts w:ascii="Calibri" w:hAnsi="Calibri"/>
          <w:color w:val="333333"/>
          <w:sz w:val="20"/>
          <w:szCs w:val="20"/>
        </w:rPr>
        <w:t>z</w:t>
      </w:r>
      <w:r>
        <w:rPr>
          <w:rStyle w:val="Emphasis"/>
          <w:rFonts w:ascii="Calibri" w:hAnsi="Calibri"/>
          <w:color w:val="333333"/>
          <w:sz w:val="15"/>
          <w:szCs w:val="15"/>
          <w:vertAlign w:val="subscript"/>
        </w:rPr>
        <w:t>c</w:t>
      </w:r>
      <w:r>
        <w:rPr>
          <w:rStyle w:val="apple-converted-space"/>
          <w:rFonts w:ascii="Calibri" w:hAnsi="Calibri"/>
          <w:color w:val="333333"/>
          <w:sz w:val="20"/>
          <w:szCs w:val="20"/>
        </w:rPr>
        <w:t> </w:t>
      </w:r>
      <w:r>
        <w:rPr>
          <w:rFonts w:ascii="Calibri" w:hAnsi="Calibri"/>
          <w:color w:val="333333"/>
          <w:sz w:val="20"/>
          <w:szCs w:val="20"/>
        </w:rPr>
        <w:t>that cuts off a right tail of the same area</w:t>
      </w:r>
      <w:r>
        <w:rPr>
          <w:rStyle w:val="apple-converted-space"/>
          <w:rFonts w:ascii="Calibri" w:hAnsi="Calibri"/>
          <w:color w:val="333333"/>
          <w:sz w:val="20"/>
          <w:szCs w:val="20"/>
        </w:rPr>
        <w:t> </w:t>
      </w:r>
      <w:r>
        <w:rPr>
          <w:rStyle w:val="Emphasis"/>
          <w:rFonts w:ascii="Calibri" w:hAnsi="Calibri"/>
          <w:color w:val="333333"/>
          <w:sz w:val="20"/>
          <w:szCs w:val="20"/>
        </w:rPr>
        <w:t>c</w:t>
      </w:r>
      <w:r>
        <w:rPr>
          <w:rFonts w:ascii="Calibri" w:hAnsi="Calibri"/>
          <w:color w:val="333333"/>
          <w:sz w:val="20"/>
          <w:szCs w:val="20"/>
        </w:rPr>
        <w:t>. In particular,</w:t>
      </w:r>
      <w:r>
        <w:rPr>
          <w:rStyle w:val="apple-converted-space"/>
          <w:rFonts w:ascii="Calibri" w:hAnsi="Calibri"/>
          <w:color w:val="333333"/>
          <w:sz w:val="20"/>
          <w:szCs w:val="20"/>
        </w:rPr>
        <w:t> </w:t>
      </w:r>
      <w:r>
        <w:rPr>
          <w:rStyle w:val="Emphasis"/>
          <w:rFonts w:ascii="Calibri" w:hAnsi="Calibri"/>
          <w:color w:val="333333"/>
          <w:sz w:val="20"/>
          <w:szCs w:val="20"/>
        </w:rPr>
        <w:t>z</w:t>
      </w:r>
      <w:r>
        <w:rPr>
          <w:rFonts w:ascii="Calibri" w:hAnsi="Calibri"/>
          <w:color w:val="333333"/>
          <w:sz w:val="15"/>
          <w:szCs w:val="15"/>
          <w:vertAlign w:val="subscript"/>
        </w:rPr>
        <w:t>0.05</w:t>
      </w:r>
      <w:r>
        <w:rPr>
          <w:rStyle w:val="apple-converted-space"/>
          <w:rFonts w:ascii="Calibri" w:hAnsi="Calibri"/>
          <w:color w:val="333333"/>
          <w:sz w:val="20"/>
          <w:szCs w:val="20"/>
        </w:rPr>
        <w:t> </w:t>
      </w:r>
      <w:r>
        <w:rPr>
          <w:rFonts w:ascii="Calibri" w:hAnsi="Calibri"/>
          <w:color w:val="333333"/>
          <w:sz w:val="20"/>
          <w:szCs w:val="20"/>
        </w:rPr>
        <w:t>is the number in that row and in the column with the heading</w:t>
      </w:r>
      <w:r>
        <w:rPr>
          <w:rStyle w:val="apple-converted-space"/>
          <w:rFonts w:ascii="Calibri" w:hAnsi="Calibri"/>
          <w:color w:val="333333"/>
          <w:sz w:val="20"/>
          <w:szCs w:val="20"/>
        </w:rPr>
        <w:t> </w:t>
      </w:r>
      <w:r>
        <w:rPr>
          <w:rStyle w:val="Emphasis"/>
          <w:rFonts w:ascii="Calibri" w:hAnsi="Calibri"/>
          <w:color w:val="333333"/>
          <w:sz w:val="20"/>
          <w:szCs w:val="20"/>
        </w:rPr>
        <w:t>t</w:t>
      </w:r>
      <w:r>
        <w:rPr>
          <w:rFonts w:ascii="Calibri" w:hAnsi="Calibri"/>
          <w:color w:val="333333"/>
          <w:sz w:val="15"/>
          <w:szCs w:val="15"/>
          <w:vertAlign w:val="subscript"/>
        </w:rPr>
        <w:t>0.05</w:t>
      </w:r>
      <w:r>
        <w:rPr>
          <w:rFonts w:ascii="Calibri" w:hAnsi="Calibri"/>
          <w:color w:val="333333"/>
          <w:sz w:val="20"/>
          <w:szCs w:val="20"/>
        </w:rPr>
        <w:t>. We read off directly that</w:t>
      </w:r>
      <w:r>
        <w:rPr>
          <w:rStyle w:val="apple-converted-space"/>
          <w:rFonts w:ascii="Calibri" w:hAnsi="Calibri"/>
          <w:color w:val="333333"/>
          <w:sz w:val="20"/>
          <w:szCs w:val="20"/>
        </w:rPr>
        <w:t> </w:t>
      </w:r>
      <w:r>
        <w:rPr>
          <w:rStyle w:val="mi"/>
          <w:rFonts w:ascii="MathJax_Math" w:hAnsi="MathJax_Math"/>
          <w:i/>
          <w:iCs/>
          <w:color w:val="333333"/>
          <w:sz w:val="15"/>
          <w:szCs w:val="15"/>
        </w:rPr>
        <w:t>z</w:t>
      </w:r>
      <w:r>
        <w:rPr>
          <w:rStyle w:val="mn"/>
          <w:rFonts w:ascii="MathJax_Main" w:hAnsi="MathJax_Main"/>
          <w:color w:val="333333"/>
          <w:sz w:val="12"/>
          <w:szCs w:val="12"/>
        </w:rPr>
        <w:t>0.05</w:t>
      </w:r>
      <w:r>
        <w:rPr>
          <w:rStyle w:val="mo"/>
          <w:rFonts w:ascii="MathJax_Main" w:hAnsi="MathJax_Main"/>
          <w:color w:val="333333"/>
          <w:sz w:val="15"/>
          <w:szCs w:val="15"/>
        </w:rPr>
        <w:t>=</w:t>
      </w:r>
      <w:r>
        <w:rPr>
          <w:rStyle w:val="mn"/>
          <w:rFonts w:ascii="MathJax_Main" w:hAnsi="MathJax_Main"/>
          <w:color w:val="333333"/>
          <w:sz w:val="15"/>
          <w:szCs w:val="15"/>
        </w:rPr>
        <w:t>1.645</w:t>
      </w:r>
      <w:r>
        <w:rPr>
          <w:rStyle w:val="mo"/>
          <w:rFonts w:ascii="MathJax_Main" w:hAnsi="MathJax_Main"/>
          <w:color w:val="333333"/>
          <w:sz w:val="15"/>
          <w:szCs w:val="15"/>
        </w:rPr>
        <w:t>.</w:t>
      </w:r>
    </w:p>
    <w:p w:rsidR="00AD77BB" w:rsidRDefault="00B45BA0">
      <w:pPr>
        <w:numPr>
          <w:ilvl w:val="0"/>
          <w:numId w:val="163"/>
        </w:numPr>
        <w:shd w:val="clear" w:color="auto" w:fill="DAEEF3" w:themeFill="accent5" w:themeFillTint="33"/>
        <w:spacing w:after="0" w:line="360" w:lineRule="auto"/>
        <w:ind w:left="360" w:right="374" w:hanging="360"/>
        <w:textAlignment w:val="baseline"/>
        <w:rPr>
          <w:rFonts w:ascii="Calibri" w:hAnsi="Calibri"/>
          <w:color w:val="333333"/>
          <w:sz w:val="20"/>
          <w:szCs w:val="20"/>
        </w:rPr>
      </w:pPr>
      <w:r>
        <w:rPr>
          <w:rFonts w:ascii="Calibri" w:hAnsi="Calibri"/>
          <w:color w:val="333333"/>
          <w:sz w:val="20"/>
          <w:szCs w:val="20"/>
        </w:rPr>
        <w:t>In</w:t>
      </w:r>
      <w:r>
        <w:rPr>
          <w:rStyle w:val="apple-converted-space"/>
          <w:rFonts w:ascii="Calibri" w:hAnsi="Calibri"/>
          <w:color w:val="333333"/>
          <w:sz w:val="20"/>
          <w:szCs w:val="20"/>
        </w:rPr>
        <w:t> </w:t>
      </w:r>
      <w:r>
        <w:rPr>
          <w:rFonts w:ascii="Calibri" w:hAnsi="Calibri"/>
          <w:color w:val="2689C6"/>
          <w:sz w:val="20"/>
          <w:szCs w:val="20"/>
        </w:rPr>
        <w:t>Figure 12.3 "Critical Values of "</w:t>
      </w:r>
      <w:r>
        <w:rPr>
          <w:rStyle w:val="apple-converted-space"/>
          <w:rFonts w:ascii="Calibri" w:hAnsi="Calibri"/>
          <w:color w:val="333333"/>
          <w:sz w:val="20"/>
          <w:szCs w:val="20"/>
        </w:rPr>
        <w:t> </w:t>
      </w:r>
      <w:r>
        <w:rPr>
          <w:rStyle w:val="Emphasis"/>
          <w:rFonts w:ascii="Calibri" w:hAnsi="Calibri"/>
          <w:color w:val="333333"/>
          <w:sz w:val="20"/>
          <w:szCs w:val="20"/>
        </w:rPr>
        <w:t>z</w:t>
      </w:r>
      <w:r>
        <w:rPr>
          <w:rFonts w:ascii="Calibri" w:hAnsi="Calibri"/>
          <w:color w:val="333333"/>
          <w:sz w:val="15"/>
          <w:szCs w:val="15"/>
          <w:vertAlign w:val="subscript"/>
        </w:rPr>
        <w:t>0.005</w:t>
      </w:r>
      <w:r>
        <w:rPr>
          <w:rStyle w:val="apple-converted-space"/>
          <w:rFonts w:ascii="Calibri" w:hAnsi="Calibri"/>
          <w:color w:val="333333"/>
          <w:sz w:val="20"/>
          <w:szCs w:val="20"/>
        </w:rPr>
        <w:t> </w:t>
      </w:r>
      <w:r>
        <w:rPr>
          <w:rFonts w:ascii="Calibri" w:hAnsi="Calibri"/>
          <w:color w:val="333333"/>
          <w:sz w:val="20"/>
          <w:szCs w:val="20"/>
        </w:rPr>
        <w:t>is the number in the last row and in the column headed</w:t>
      </w:r>
      <w:r>
        <w:rPr>
          <w:rStyle w:val="apple-converted-space"/>
          <w:rFonts w:ascii="Calibri" w:hAnsi="Calibri"/>
          <w:color w:val="333333"/>
          <w:sz w:val="20"/>
          <w:szCs w:val="20"/>
        </w:rPr>
        <w:t> </w:t>
      </w:r>
      <w:r>
        <w:rPr>
          <w:rStyle w:val="Emphasis"/>
          <w:rFonts w:ascii="Calibri" w:hAnsi="Calibri"/>
          <w:color w:val="333333"/>
          <w:sz w:val="20"/>
          <w:szCs w:val="20"/>
        </w:rPr>
        <w:t>t</w:t>
      </w:r>
      <w:r>
        <w:rPr>
          <w:rFonts w:ascii="Calibri" w:hAnsi="Calibri"/>
          <w:color w:val="333333"/>
          <w:sz w:val="15"/>
          <w:szCs w:val="15"/>
          <w:vertAlign w:val="subscript"/>
        </w:rPr>
        <w:t>0.005</w:t>
      </w:r>
      <w:r>
        <w:rPr>
          <w:rFonts w:ascii="Calibri" w:hAnsi="Calibri"/>
          <w:color w:val="333333"/>
          <w:sz w:val="20"/>
          <w:szCs w:val="20"/>
        </w:rPr>
        <w:t>, namely 2.576.</w:t>
      </w:r>
    </w:p>
    <w:p w:rsidR="00AD77BB" w:rsidRDefault="00AD77BB">
      <w:pPr>
        <w:shd w:val="clear" w:color="auto" w:fill="FFFFFF" w:themeFill="background1"/>
        <w:spacing w:after="0" w:line="360" w:lineRule="auto"/>
        <w:ind w:right="374"/>
        <w:textAlignment w:val="baseline"/>
      </w:pPr>
    </w:p>
    <w:p w:rsidR="00AD77BB" w:rsidRDefault="00B45BA0">
      <w:pPr>
        <w:shd w:val="clear" w:color="auto" w:fill="FFFFFF" w:themeFill="background1"/>
        <w:spacing w:after="0" w:line="360" w:lineRule="auto"/>
        <w:ind w:right="374"/>
        <w:textAlignment w:val="baseline"/>
        <w:rPr>
          <w:rFonts w:ascii="Georgia" w:hAnsi="Georgia"/>
          <w:color w:val="333333"/>
          <w:sz w:val="20"/>
          <w:szCs w:val="20"/>
          <w:shd w:val="clear" w:color="auto" w:fill="FFFFFF"/>
        </w:rPr>
      </w:pPr>
      <w:r>
        <w:rPr>
          <w:rFonts w:ascii="Georgia" w:hAnsi="Georgia"/>
          <w:color w:val="2689C6"/>
          <w:sz w:val="20"/>
          <w:szCs w:val="20"/>
          <w:shd w:val="clear" w:color="auto" w:fill="FFFFFF"/>
        </w:rPr>
        <w:t>Figure 12.3 "Critical Values of "</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can be used to find</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z</w:t>
      </w:r>
      <w:r>
        <w:rPr>
          <w:rStyle w:val="Emphasis"/>
          <w:rFonts w:ascii="Georgia" w:hAnsi="Georgia"/>
          <w:color w:val="333333"/>
          <w:sz w:val="15"/>
          <w:szCs w:val="15"/>
          <w:shd w:val="clear" w:color="auto" w:fill="FFFFFF"/>
          <w:vertAlign w:val="subscript"/>
        </w:rPr>
        <w:t>c</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only for those values of</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c</w:t>
      </w:r>
      <w:r>
        <w:rPr>
          <w:rFonts w:ascii="Georgia" w:hAnsi="Georgia"/>
          <w:color w:val="333333"/>
          <w:sz w:val="20"/>
          <w:szCs w:val="20"/>
          <w:shd w:val="clear" w:color="auto" w:fill="FFFFFF"/>
        </w:rPr>
        <w:t>for which there is a column with the heading</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t</w:t>
      </w:r>
      <w:r>
        <w:rPr>
          <w:rStyle w:val="Emphasis"/>
          <w:rFonts w:ascii="Georgia" w:hAnsi="Georgia"/>
          <w:color w:val="333333"/>
          <w:sz w:val="15"/>
          <w:szCs w:val="15"/>
          <w:shd w:val="clear" w:color="auto" w:fill="FFFFFF"/>
          <w:vertAlign w:val="subscript"/>
        </w:rPr>
        <w:t>c</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appearing in the table; otherwise we must use</w:t>
      </w:r>
      <w:r>
        <w:rPr>
          <w:rStyle w:val="apple-converted-space"/>
          <w:rFonts w:ascii="Georgia" w:hAnsi="Georgia"/>
          <w:color w:val="333333"/>
          <w:sz w:val="20"/>
          <w:szCs w:val="20"/>
          <w:shd w:val="clear" w:color="auto" w:fill="FFFFFF"/>
        </w:rPr>
        <w:t> </w:t>
      </w:r>
      <w:r>
        <w:rPr>
          <w:rFonts w:ascii="Georgia" w:hAnsi="Georgia"/>
          <w:color w:val="2689C6"/>
          <w:sz w:val="20"/>
          <w:szCs w:val="20"/>
          <w:shd w:val="clear" w:color="auto" w:fill="FFFFFF"/>
        </w:rPr>
        <w:t>Figure 12.2 "Cumulative Normal Probability"</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in reverse. But when it can be done it is both faster and more accurate to use the last line of</w:t>
      </w:r>
      <w:r>
        <w:rPr>
          <w:rStyle w:val="apple-converted-space"/>
          <w:rFonts w:ascii="Georgia" w:hAnsi="Georgia"/>
          <w:color w:val="333333"/>
          <w:sz w:val="20"/>
          <w:szCs w:val="20"/>
          <w:shd w:val="clear" w:color="auto" w:fill="FFFFFF"/>
        </w:rPr>
        <w:t> </w:t>
      </w:r>
      <w:r>
        <w:rPr>
          <w:rFonts w:ascii="Georgia" w:hAnsi="Georgia"/>
          <w:color w:val="2689C6"/>
          <w:sz w:val="20"/>
          <w:szCs w:val="20"/>
          <w:shd w:val="clear" w:color="auto" w:fill="FFFFFF"/>
        </w:rPr>
        <w:t>Figure 12.3 "Critical Values of "</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to find</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z</w:t>
      </w:r>
      <w:r>
        <w:rPr>
          <w:rStyle w:val="Emphasis"/>
          <w:rFonts w:ascii="Georgia" w:hAnsi="Georgia"/>
          <w:color w:val="333333"/>
          <w:sz w:val="15"/>
          <w:szCs w:val="15"/>
          <w:shd w:val="clear" w:color="auto" w:fill="FFFFFF"/>
          <w:vertAlign w:val="subscript"/>
        </w:rPr>
        <w:t>c</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than it is to do so using</w:t>
      </w:r>
      <w:r>
        <w:rPr>
          <w:rStyle w:val="apple-converted-space"/>
          <w:rFonts w:ascii="Georgia" w:hAnsi="Georgia"/>
          <w:color w:val="333333"/>
          <w:sz w:val="20"/>
          <w:szCs w:val="20"/>
          <w:shd w:val="clear" w:color="auto" w:fill="FFFFFF"/>
        </w:rPr>
        <w:t> </w:t>
      </w:r>
      <w:r>
        <w:rPr>
          <w:rFonts w:ascii="Georgia" w:hAnsi="Georgia"/>
          <w:color w:val="2689C6"/>
          <w:sz w:val="20"/>
          <w:szCs w:val="20"/>
          <w:shd w:val="clear" w:color="auto" w:fill="FFFFFF"/>
        </w:rPr>
        <w:t>Figure 12.2 "Cumulative Normal Probability"</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in reverse.</w:t>
      </w:r>
    </w:p>
    <w:p w:rsidR="00AD77BB" w:rsidRDefault="00AD77BB">
      <w:pPr>
        <w:shd w:val="clear" w:color="auto" w:fill="FFFFFF" w:themeFill="background1"/>
        <w:spacing w:after="0" w:line="360" w:lineRule="auto"/>
        <w:ind w:right="374"/>
        <w:textAlignment w:val="baseline"/>
        <w:rPr>
          <w:rFonts w:ascii="Georgia" w:hAnsi="Georgia"/>
          <w:color w:val="333333"/>
          <w:sz w:val="20"/>
          <w:szCs w:val="20"/>
          <w:shd w:val="clear" w:color="auto" w:fill="FFFFFF"/>
        </w:rPr>
      </w:pP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73CA72F7" wp14:editId="38A97474">
            <wp:extent cx="5105400" cy="6134100"/>
            <wp:effectExtent l="0" t="0" r="0" b="0"/>
            <wp:docPr id="222"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105400" cy="613410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57E5503E" wp14:editId="13444D04">
            <wp:extent cx="5276850" cy="4667250"/>
            <wp:effectExtent l="0" t="0" r="0" b="0"/>
            <wp:docPr id="223"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276850" cy="4667250"/>
                    </a:xfrm>
                    <a:prstGeom prst="rect">
                      <a:avLst/>
                    </a:prstGeom>
                    <a:noFill/>
                    <a:ln>
                      <a:noFill/>
                    </a:ln>
                  </pic:spPr>
                </pic:pic>
              </a:graphicData>
            </a:graphic>
          </wp:inline>
        </w:drawing>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EXERCISES</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BASIC</w:t>
      </w:r>
    </w:p>
    <w:p w:rsidR="00AD77BB" w:rsidRDefault="00B45BA0">
      <w:pPr>
        <w:numPr>
          <w:ilvl w:val="0"/>
          <w:numId w:val="164"/>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random sample is drawn from a population of known standard deviation 11.3. Construct a 90% confidence interval for the population mean based on the information given (not all of the information given need be used).</w:t>
      </w:r>
    </w:p>
    <w:p w:rsidR="00AD77BB" w:rsidRDefault="00B45BA0">
      <w:pPr>
        <w:numPr>
          <w:ilvl w:val="1"/>
          <w:numId w:val="1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36,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−=105.2</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11.2</w:t>
      </w:r>
    </w:p>
    <w:p w:rsidR="00AD77BB" w:rsidRDefault="00B45BA0">
      <w:pPr>
        <w:numPr>
          <w:ilvl w:val="1"/>
          <w:numId w:val="1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100,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−=105.2</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11.2</w:t>
      </w:r>
    </w:p>
    <w:p w:rsidR="00AD77BB" w:rsidRDefault="00B45BA0">
      <w:pPr>
        <w:numPr>
          <w:ilvl w:val="0"/>
          <w:numId w:val="164"/>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random sample is drawn from a population of known standard deviation 22.1. Construct a 95% confidence interval for the population mean based on the information given (not all of the information given need be used).</w:t>
      </w:r>
    </w:p>
    <w:p w:rsidR="00AD77BB" w:rsidRDefault="00B45BA0">
      <w:pPr>
        <w:numPr>
          <w:ilvl w:val="1"/>
          <w:numId w:val="1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121,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−=82.4</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21.9</w:t>
      </w:r>
    </w:p>
    <w:p w:rsidR="00AD77BB" w:rsidRDefault="00B45BA0">
      <w:pPr>
        <w:numPr>
          <w:ilvl w:val="1"/>
          <w:numId w:val="1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81,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−=82.4</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21.9</w:t>
      </w:r>
    </w:p>
    <w:p w:rsidR="00AD77BB" w:rsidRDefault="00B45BA0">
      <w:pPr>
        <w:numPr>
          <w:ilvl w:val="0"/>
          <w:numId w:val="164"/>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random sample is drawn from a population of unknown standard deviation. Construct a 99% confidence interval for the population mean based on the information given.</w:t>
      </w:r>
    </w:p>
    <w:p w:rsidR="00AD77BB" w:rsidRDefault="00B45BA0">
      <w:pPr>
        <w:numPr>
          <w:ilvl w:val="1"/>
          <w:numId w:val="1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lastRenderedPageBreak/>
        <w:t>n</w:t>
      </w:r>
      <w:r>
        <w:rPr>
          <w:rFonts w:ascii="Calibri" w:eastAsia="Times New Roman" w:hAnsi="Calibri" w:cs="Times New Roman"/>
          <w:color w:val="333333"/>
          <w:sz w:val="20"/>
          <w:szCs w:val="20"/>
        </w:rPr>
        <w:t> = 49,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−=17.1</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2.1</w:t>
      </w:r>
    </w:p>
    <w:p w:rsidR="00AD77BB" w:rsidRDefault="00B45BA0">
      <w:pPr>
        <w:numPr>
          <w:ilvl w:val="1"/>
          <w:numId w:val="16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169,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−=17.1</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2.1</w:t>
      </w:r>
    </w:p>
    <w:p w:rsidR="00AD77BB" w:rsidRDefault="00B45BA0">
      <w:pPr>
        <w:numPr>
          <w:ilvl w:val="0"/>
          <w:numId w:val="16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random sample is drawn from a population of unknown standard deviation. Construct a 98% confidence interval for the population mean based on the information given.</w:t>
      </w:r>
    </w:p>
    <w:p w:rsidR="00AD77BB" w:rsidRDefault="00B45BA0">
      <w:pPr>
        <w:numPr>
          <w:ilvl w:val="1"/>
          <w:numId w:val="16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225,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−=92.0</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8.4</w:t>
      </w:r>
    </w:p>
    <w:p w:rsidR="00AD77BB" w:rsidRDefault="00B45BA0">
      <w:pPr>
        <w:numPr>
          <w:ilvl w:val="1"/>
          <w:numId w:val="16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64,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−=92.0</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8.4</w:t>
      </w:r>
    </w:p>
    <w:p w:rsidR="00AD77BB" w:rsidRDefault="00B45BA0">
      <w:pPr>
        <w:numPr>
          <w:ilvl w:val="0"/>
          <w:numId w:val="16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random sample of size 144 is drawn from a population whose distribution, mean, and standard deviation are all unknown. The summary statistics are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−=58.2</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2.6.</w:t>
      </w:r>
    </w:p>
    <w:p w:rsidR="00AD77BB" w:rsidRDefault="00B45BA0">
      <w:pPr>
        <w:numPr>
          <w:ilvl w:val="1"/>
          <w:numId w:val="16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an 80% confidence interval for the population mean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w:t>
      </w:r>
    </w:p>
    <w:p w:rsidR="00AD77BB" w:rsidRDefault="00B45BA0">
      <w:pPr>
        <w:numPr>
          <w:ilvl w:val="1"/>
          <w:numId w:val="16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a 90% confidence interval for the population mean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w:t>
      </w:r>
    </w:p>
    <w:p w:rsidR="00AD77BB" w:rsidRDefault="00B45BA0">
      <w:pPr>
        <w:numPr>
          <w:ilvl w:val="1"/>
          <w:numId w:val="16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Comment on why one interval is longer than the other.</w:t>
      </w:r>
    </w:p>
    <w:p w:rsidR="00AD77BB" w:rsidRDefault="00B45BA0">
      <w:pPr>
        <w:numPr>
          <w:ilvl w:val="0"/>
          <w:numId w:val="16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random sample of size 256 is drawn from a population whose distribution, mean, and standard deviation are all unknown. The summary statistics are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−=1011</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34.</w:t>
      </w:r>
    </w:p>
    <w:p w:rsidR="00AD77BB" w:rsidRDefault="00B45BA0">
      <w:pPr>
        <w:numPr>
          <w:ilvl w:val="1"/>
          <w:numId w:val="16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a 90% confidence interval for the population mean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w:t>
      </w:r>
    </w:p>
    <w:p w:rsidR="00AD77BB" w:rsidRDefault="00B45BA0">
      <w:pPr>
        <w:numPr>
          <w:ilvl w:val="1"/>
          <w:numId w:val="16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a 99% confidence interval for the population mean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w:t>
      </w:r>
    </w:p>
    <w:p w:rsidR="00AD77BB" w:rsidRDefault="00B45BA0">
      <w:pPr>
        <w:numPr>
          <w:ilvl w:val="1"/>
          <w:numId w:val="164"/>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Comment on why one interval is longer than the other.</w:t>
      </w:r>
    </w:p>
    <w:p w:rsidR="00AD77BB" w:rsidRDefault="00AD77BB">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APPLICATIONS</w:t>
      </w:r>
    </w:p>
    <w:p w:rsidR="00AD77BB" w:rsidRDefault="00B45BA0">
      <w:pPr>
        <w:pStyle w:val="para"/>
        <w:numPr>
          <w:ilvl w:val="0"/>
          <w:numId w:val="165"/>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A government agency was charged by the legislature with estimating the length of time it takes citizens to fill out various forms. Two hundred randomly selected adults were timed as they filled out a particular form. The times required had mean 12.8 minutes with standard deviation 1.7 minutes. Construct a 90% confidence interval for the mean time taken for all adults to fill out this form.</w:t>
      </w:r>
    </w:p>
    <w:p w:rsidR="00AD77BB" w:rsidRDefault="00B45BA0">
      <w:pPr>
        <w:pStyle w:val="para"/>
        <w:numPr>
          <w:ilvl w:val="0"/>
          <w:numId w:val="165"/>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Four hundred randomly selected working adults in a certain state, including those who worked at home, were asked the distance from their home to their workplace. The average distance was 8.84 miles with standard deviation 2.70 miles. Construct a 99% confidence interval for the mean distance from home to work for all residents of this state.</w:t>
      </w:r>
    </w:p>
    <w:p w:rsidR="00AD77BB" w:rsidRDefault="00B45BA0">
      <w:pPr>
        <w:pStyle w:val="para"/>
        <w:numPr>
          <w:ilvl w:val="0"/>
          <w:numId w:val="165"/>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On every passenger vehicle that it tests an automotive magazine measures, at true speed 55 mph, the difference between the true speed of the vehicle and the speed indicated by the speedometer. For 36 vehicles tested the mean difference was −1.2 mph with standard deviation 0.2 mph. Construct a 90% confidence interval for the mean difference between true speed and indicated speed for all vehicles.</w:t>
      </w:r>
    </w:p>
    <w:p w:rsidR="00AD77BB" w:rsidRDefault="00B45BA0">
      <w:pPr>
        <w:pStyle w:val="para"/>
        <w:numPr>
          <w:ilvl w:val="0"/>
          <w:numId w:val="165"/>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lastRenderedPageBreak/>
        <w:t>A corporation monitors time spent by office workers browsing the web on their computers instead of working. In a sample of computer records of 50 workers, the average amount of time spent browsing in an eight-hour work day was 27.8 minutes with standard deviation 8.2 minutes. Construct a 99.5% confidence interval for the mean time spent by all office workers in browsing the web in an eight-hour day.</w:t>
      </w:r>
    </w:p>
    <w:p w:rsidR="00AD77BB" w:rsidRDefault="00B45BA0">
      <w:pPr>
        <w:pStyle w:val="para"/>
        <w:numPr>
          <w:ilvl w:val="0"/>
          <w:numId w:val="165"/>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A sample of 250 workers aged 16 and older produced an average length of time with the current employer (“job tenure”) of 4.4 years with standard deviation 3.8 years. Construct a 99.9% confidence interval for the mean job tenure of all workers aged 16 or older.</w:t>
      </w:r>
    </w:p>
    <w:p w:rsidR="00AD77BB" w:rsidRDefault="00B45BA0">
      <w:pPr>
        <w:pStyle w:val="para"/>
        <w:numPr>
          <w:ilvl w:val="0"/>
          <w:numId w:val="165"/>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The amount of a particular biochemical substance related to bone breakdown was measured in 30 healthy women. The sample mean and standard deviation were 3.3 nanograms per milliliter (ng/mL) and 1.4 ng/mL. Construct an 80% confidence interval for the mean level of this substance in all healthy women.</w:t>
      </w:r>
    </w:p>
    <w:p w:rsidR="00AD77BB" w:rsidRDefault="00B45BA0">
      <w:pPr>
        <w:pStyle w:val="para"/>
        <w:numPr>
          <w:ilvl w:val="0"/>
          <w:numId w:val="165"/>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A corporation that owns apartment complexes wishes to estimate the average length of time residents remain in the same apartment before moving out. A sample of 150 rental contracts gave a mean length of occupancy of 3.7 years with standard deviation 1.2 years. Construct a 95% confidence interval for the mean length of occupancy of apartments owned by this corporation.</w:t>
      </w:r>
    </w:p>
    <w:p w:rsidR="00AD77BB" w:rsidRDefault="00B45BA0">
      <w:pPr>
        <w:pStyle w:val="para"/>
        <w:numPr>
          <w:ilvl w:val="0"/>
          <w:numId w:val="165"/>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The designer of a garbage truck that lifts roll-out containers must estimate the mean weight the truck will lift at each collection point. A random sample of 325 containers of garbage on current collection routes yielded</w:t>
      </w:r>
      <w:r>
        <w:rPr>
          <w:rStyle w:val="apple-converted-space"/>
          <w:rFonts w:ascii="Calibri" w:hAnsi="Calibri"/>
          <w:color w:val="333333"/>
          <w:sz w:val="20"/>
          <w:szCs w:val="20"/>
        </w:rPr>
        <w:t> </w:t>
      </w:r>
      <w:r>
        <w:rPr>
          <w:rStyle w:val="mi"/>
          <w:rFonts w:ascii="MathJax_Math" w:hAnsi="MathJax_Math"/>
          <w:i/>
          <w:iCs/>
          <w:color w:val="333333"/>
          <w:sz w:val="15"/>
          <w:szCs w:val="15"/>
        </w:rPr>
        <w:t>x</w:t>
      </w:r>
      <w:r>
        <w:rPr>
          <w:rStyle w:val="mo"/>
          <w:rFonts w:ascii="MathJax_Main" w:hAnsi="MathJax_Main"/>
          <w:color w:val="333333"/>
          <w:sz w:val="15"/>
          <w:szCs w:val="15"/>
        </w:rPr>
        <w:t>−=</w:t>
      </w:r>
      <w:r>
        <w:rPr>
          <w:rStyle w:val="mn"/>
          <w:rFonts w:ascii="MathJax_Main" w:hAnsi="MathJax_Main"/>
          <w:color w:val="333333"/>
          <w:sz w:val="15"/>
          <w:szCs w:val="15"/>
        </w:rPr>
        <w:t>75.3</w:t>
      </w:r>
      <w:r>
        <w:rPr>
          <w:rStyle w:val="apple-converted-space"/>
          <w:rFonts w:ascii="Calibri" w:hAnsi="Calibri"/>
          <w:color w:val="333333"/>
          <w:sz w:val="20"/>
          <w:szCs w:val="20"/>
        </w:rPr>
        <w:t> </w:t>
      </w:r>
      <w:r>
        <w:rPr>
          <w:rFonts w:ascii="Calibri" w:hAnsi="Calibri"/>
          <w:color w:val="333333"/>
          <w:sz w:val="20"/>
          <w:szCs w:val="20"/>
        </w:rPr>
        <w:t>lb,</w:t>
      </w:r>
      <w:r>
        <w:rPr>
          <w:rStyle w:val="apple-converted-space"/>
          <w:rFonts w:ascii="Calibri" w:hAnsi="Calibri"/>
          <w:color w:val="333333"/>
          <w:sz w:val="20"/>
          <w:szCs w:val="20"/>
        </w:rPr>
        <w:t> </w:t>
      </w:r>
      <w:r>
        <w:rPr>
          <w:rStyle w:val="Emphasis"/>
          <w:rFonts w:ascii="Calibri" w:hAnsi="Calibri"/>
          <w:color w:val="333333"/>
          <w:sz w:val="20"/>
          <w:szCs w:val="20"/>
        </w:rPr>
        <w:t>s</w:t>
      </w:r>
      <w:r>
        <w:rPr>
          <w:rStyle w:val="apple-converted-space"/>
          <w:rFonts w:ascii="Calibri" w:hAnsi="Calibri"/>
          <w:color w:val="333333"/>
          <w:sz w:val="20"/>
          <w:szCs w:val="20"/>
        </w:rPr>
        <w:t> </w:t>
      </w:r>
      <w:r>
        <w:rPr>
          <w:rFonts w:ascii="Calibri" w:hAnsi="Calibri"/>
          <w:color w:val="333333"/>
          <w:sz w:val="20"/>
          <w:szCs w:val="20"/>
        </w:rPr>
        <w:t>= 12.8 lb. Construct a 99.8% confidence interval for the mean weight the trucks must lift each time.</w:t>
      </w:r>
    </w:p>
    <w:p w:rsidR="00AD77BB" w:rsidRDefault="00B45BA0">
      <w:pPr>
        <w:pStyle w:val="para"/>
        <w:numPr>
          <w:ilvl w:val="0"/>
          <w:numId w:val="165"/>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In order to estimate the mean amount of damage sustained by vehicles when a deer is struck, an insurance company examined the records of 50 such occurrences, and obtained a sample mean of $2,785 with sample standard deviation $221. Construct a 95% confidence interval for the mean amount of damage in all such accidents.</w:t>
      </w:r>
    </w:p>
    <w:p w:rsidR="00AD77BB" w:rsidRDefault="00B45BA0">
      <w:pPr>
        <w:pStyle w:val="para"/>
        <w:numPr>
          <w:ilvl w:val="0"/>
          <w:numId w:val="165"/>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In order to estimate the mean FICO credit score of its members, a credit union samples the scores of 95 members, and obtains a sample mean of 738.2 with sample standard deviation 64.2. Construct a 99% confidence interval for the mean FICO score of all of its members.</w:t>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3E4B5AE9" wp14:editId="6BEB68EB">
            <wp:extent cx="5867400" cy="6276975"/>
            <wp:effectExtent l="0" t="0" r="0" b="9525"/>
            <wp:docPr id="224"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867400" cy="627697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4124FC21" wp14:editId="42E94219">
            <wp:extent cx="5867400" cy="6391275"/>
            <wp:effectExtent l="0" t="0" r="0" b="9525"/>
            <wp:docPr id="225"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867400" cy="6391275"/>
                    </a:xfrm>
                    <a:prstGeom prst="rect">
                      <a:avLst/>
                    </a:prstGeom>
                    <a:noFill/>
                    <a:ln>
                      <a:noFill/>
                    </a:ln>
                  </pic:spPr>
                </pic:pic>
              </a:graphicData>
            </a:graphic>
          </wp:inline>
        </w:drawing>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LARGE DATA SET EXERCISES</w:t>
      </w:r>
    </w:p>
    <w:p w:rsidR="00AD77BB" w:rsidRDefault="00B45BA0">
      <w:pPr>
        <w:pStyle w:val="para"/>
        <w:numPr>
          <w:ilvl w:val="0"/>
          <w:numId w:val="16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Large Data Set 1 records the SAT scores of 1,000 students. Regarding it as a random sample of all high school students, use it to construct a 99% confidence interval for the mean SAT score of all students.</w:t>
      </w:r>
    </w:p>
    <w:p w:rsidR="00AD77BB" w:rsidRDefault="00B45BA0">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2689C6"/>
          <w:sz w:val="20"/>
          <w:szCs w:val="20"/>
        </w:rPr>
        <w:t>http://www.1.xls</w:t>
      </w:r>
    </w:p>
    <w:p w:rsidR="00AD77BB" w:rsidRDefault="00B45BA0">
      <w:pPr>
        <w:pStyle w:val="para"/>
        <w:numPr>
          <w:ilvl w:val="0"/>
          <w:numId w:val="16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Large Data Set 1 records the GPAs of 1,000 college students. Regarding it as a random sample of all college students, use it to construct a 95% confidence interval for the mean GPA of all students.</w:t>
      </w:r>
    </w:p>
    <w:p w:rsidR="00AD77BB" w:rsidRDefault="00B45BA0">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2689C6"/>
          <w:sz w:val="20"/>
          <w:szCs w:val="20"/>
        </w:rPr>
        <w:t>http://www.1.xls</w:t>
      </w:r>
    </w:p>
    <w:p w:rsidR="00AD77BB" w:rsidRDefault="00B45BA0">
      <w:pPr>
        <w:pStyle w:val="para"/>
        <w:numPr>
          <w:ilvl w:val="0"/>
          <w:numId w:val="16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lastRenderedPageBreak/>
        <w:t>Large Data Set 1 lists the SAT scores of 1,000 students.</w:t>
      </w:r>
    </w:p>
    <w:p w:rsidR="00AD77BB" w:rsidRDefault="00B45BA0">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2689C6"/>
          <w:sz w:val="20"/>
          <w:szCs w:val="20"/>
        </w:rPr>
        <w:t>http://www.1.xls</w:t>
      </w:r>
    </w:p>
    <w:p w:rsidR="00AD77BB" w:rsidRDefault="00B45BA0">
      <w:pPr>
        <w:numPr>
          <w:ilvl w:val="1"/>
          <w:numId w:val="16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Regard the data as arising from a census of all students at a high school, in which the SAT score of every student was measured. Compute the population mean</w:t>
      </w:r>
      <w:r>
        <w:rPr>
          <w:rStyle w:val="apple-converted-space"/>
          <w:rFonts w:ascii="Calibri" w:hAnsi="Calibri"/>
          <w:color w:val="333333"/>
          <w:sz w:val="20"/>
          <w:szCs w:val="20"/>
        </w:rPr>
        <w:t> </w:t>
      </w:r>
      <w:r>
        <w:rPr>
          <w:rStyle w:val="Emphasis"/>
          <w:rFonts w:ascii="Calibri" w:hAnsi="Calibri"/>
          <w:color w:val="333333"/>
          <w:sz w:val="20"/>
          <w:szCs w:val="20"/>
        </w:rPr>
        <w:t>μ</w:t>
      </w:r>
      <w:r>
        <w:rPr>
          <w:rFonts w:ascii="Calibri" w:hAnsi="Calibri"/>
          <w:color w:val="333333"/>
          <w:sz w:val="20"/>
          <w:szCs w:val="20"/>
        </w:rPr>
        <w:t>.</w:t>
      </w:r>
    </w:p>
    <w:p w:rsidR="00AD77BB" w:rsidRDefault="00B45BA0">
      <w:pPr>
        <w:numPr>
          <w:ilvl w:val="1"/>
          <w:numId w:val="16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Regard the first 36 students as a random sample and use it to construct a 99% confidence for the mean</w:t>
      </w:r>
      <w:r>
        <w:rPr>
          <w:rStyle w:val="apple-converted-space"/>
          <w:rFonts w:ascii="Calibri" w:hAnsi="Calibri"/>
          <w:color w:val="333333"/>
          <w:sz w:val="20"/>
          <w:szCs w:val="20"/>
        </w:rPr>
        <w:t> </w:t>
      </w:r>
      <w:r>
        <w:rPr>
          <w:rStyle w:val="Emphasis"/>
          <w:rFonts w:ascii="Calibri" w:hAnsi="Calibri"/>
          <w:color w:val="333333"/>
          <w:sz w:val="20"/>
          <w:szCs w:val="20"/>
        </w:rPr>
        <w:t>μ</w:t>
      </w:r>
      <w:r>
        <w:rPr>
          <w:rStyle w:val="apple-converted-space"/>
          <w:rFonts w:ascii="Calibri" w:hAnsi="Calibri"/>
          <w:color w:val="333333"/>
          <w:sz w:val="20"/>
          <w:szCs w:val="20"/>
        </w:rPr>
        <w:t> </w:t>
      </w:r>
      <w:r>
        <w:rPr>
          <w:rFonts w:ascii="Calibri" w:hAnsi="Calibri"/>
          <w:color w:val="333333"/>
          <w:sz w:val="20"/>
          <w:szCs w:val="20"/>
        </w:rPr>
        <w:t>of all 1,000 SAT scores. Does it actually capture the mean</w:t>
      </w:r>
      <w:r>
        <w:rPr>
          <w:rStyle w:val="apple-converted-space"/>
          <w:rFonts w:ascii="Calibri" w:hAnsi="Calibri"/>
          <w:color w:val="333333"/>
          <w:sz w:val="20"/>
          <w:szCs w:val="20"/>
        </w:rPr>
        <w:t> </w:t>
      </w:r>
      <w:r>
        <w:rPr>
          <w:rStyle w:val="Emphasis"/>
          <w:rFonts w:ascii="Calibri" w:hAnsi="Calibri"/>
          <w:color w:val="333333"/>
          <w:sz w:val="20"/>
          <w:szCs w:val="20"/>
        </w:rPr>
        <w:t>μ</w:t>
      </w:r>
      <w:r>
        <w:rPr>
          <w:rFonts w:ascii="Calibri" w:hAnsi="Calibri"/>
          <w:color w:val="333333"/>
          <w:sz w:val="20"/>
          <w:szCs w:val="20"/>
        </w:rPr>
        <w:t>?</w:t>
      </w:r>
    </w:p>
    <w:p w:rsidR="00AD77BB" w:rsidRDefault="00B45BA0">
      <w:pPr>
        <w:pStyle w:val="para"/>
        <w:numPr>
          <w:ilvl w:val="0"/>
          <w:numId w:val="16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Large Data Set 1 lists the GPAs of 1,000 students.</w:t>
      </w:r>
    </w:p>
    <w:p w:rsidR="00AD77BB" w:rsidRDefault="00B45BA0">
      <w:pPr>
        <w:pStyle w:val="para"/>
        <w:shd w:val="clear" w:color="auto" w:fill="E3EFF7"/>
        <w:spacing w:before="0" w:beforeAutospacing="0" w:after="0" w:afterAutospacing="0" w:line="366" w:lineRule="atLeast"/>
        <w:textAlignment w:val="baseline"/>
        <w:rPr>
          <w:rFonts w:ascii="Calibri" w:hAnsi="Calibri"/>
          <w:color w:val="333333"/>
          <w:sz w:val="20"/>
          <w:szCs w:val="20"/>
        </w:rPr>
      </w:pPr>
      <w:r>
        <w:rPr>
          <w:rFonts w:ascii="Calibri" w:hAnsi="Calibri"/>
          <w:color w:val="2689C6"/>
          <w:sz w:val="20"/>
          <w:szCs w:val="20"/>
        </w:rPr>
        <w:t>http://www.1.xls</w:t>
      </w:r>
    </w:p>
    <w:p w:rsidR="00AD77BB" w:rsidRDefault="00B45BA0">
      <w:pPr>
        <w:pStyle w:val="ListParagraph"/>
        <w:numPr>
          <w:ilvl w:val="0"/>
          <w:numId w:val="167"/>
        </w:numPr>
        <w:shd w:val="clear" w:color="auto" w:fill="E3EFF7"/>
        <w:spacing w:after="0" w:line="366" w:lineRule="atLeast"/>
        <w:textAlignment w:val="baseline"/>
        <w:rPr>
          <w:rFonts w:ascii="Calibri" w:hAnsi="Calibri"/>
          <w:color w:val="333333"/>
          <w:sz w:val="20"/>
          <w:szCs w:val="20"/>
        </w:rPr>
      </w:pPr>
      <w:r>
        <w:rPr>
          <w:rFonts w:ascii="Calibri" w:hAnsi="Calibri"/>
          <w:color w:val="333333"/>
          <w:sz w:val="20"/>
          <w:szCs w:val="20"/>
        </w:rPr>
        <w:t xml:space="preserve"> Regard the data as arising from a census of all freshman at a small college at the end of their first academic year of college study, in which the GPA of every such person was measured. Compute the population mean</w:t>
      </w:r>
      <w:r>
        <w:rPr>
          <w:rStyle w:val="apple-converted-space"/>
          <w:rFonts w:ascii="Calibri" w:hAnsi="Calibri"/>
          <w:color w:val="333333"/>
          <w:sz w:val="20"/>
          <w:szCs w:val="20"/>
        </w:rPr>
        <w:t> </w:t>
      </w:r>
      <w:r>
        <w:rPr>
          <w:rStyle w:val="Emphasis"/>
          <w:rFonts w:ascii="Calibri" w:hAnsi="Calibri"/>
          <w:color w:val="333333"/>
          <w:sz w:val="20"/>
          <w:szCs w:val="20"/>
        </w:rPr>
        <w:t>μ</w:t>
      </w:r>
      <w:r>
        <w:rPr>
          <w:rFonts w:ascii="Calibri" w:hAnsi="Calibri"/>
          <w:color w:val="333333"/>
          <w:sz w:val="20"/>
          <w:szCs w:val="20"/>
        </w:rPr>
        <w:t>.</w:t>
      </w:r>
    </w:p>
    <w:p w:rsidR="00AD77BB" w:rsidRDefault="00B45BA0">
      <w:pPr>
        <w:numPr>
          <w:ilvl w:val="0"/>
          <w:numId w:val="167"/>
        </w:numPr>
        <w:shd w:val="clear" w:color="auto" w:fill="E3EFF7"/>
        <w:spacing w:after="0" w:line="366" w:lineRule="atLeast"/>
        <w:textAlignment w:val="baseline"/>
        <w:rPr>
          <w:rFonts w:ascii="Calibri" w:hAnsi="Calibri"/>
          <w:color w:val="333333"/>
          <w:sz w:val="20"/>
          <w:szCs w:val="20"/>
        </w:rPr>
      </w:pPr>
      <w:r>
        <w:rPr>
          <w:rFonts w:ascii="Calibri" w:hAnsi="Calibri"/>
          <w:color w:val="333333"/>
          <w:sz w:val="20"/>
          <w:szCs w:val="20"/>
        </w:rPr>
        <w:t>Regard the first 36 students as a random sample and use it to construct a 95% confidence for the mean</w:t>
      </w:r>
      <w:r>
        <w:rPr>
          <w:rStyle w:val="apple-converted-space"/>
          <w:rFonts w:ascii="Calibri" w:hAnsi="Calibri"/>
          <w:color w:val="333333"/>
          <w:sz w:val="20"/>
          <w:szCs w:val="20"/>
        </w:rPr>
        <w:t> </w:t>
      </w:r>
      <w:r>
        <w:rPr>
          <w:rStyle w:val="Emphasis"/>
          <w:rFonts w:ascii="Calibri" w:hAnsi="Calibri"/>
          <w:color w:val="333333"/>
          <w:sz w:val="20"/>
          <w:szCs w:val="20"/>
        </w:rPr>
        <w:t>μ</w:t>
      </w:r>
      <w:r>
        <w:rPr>
          <w:rStyle w:val="apple-converted-space"/>
          <w:rFonts w:ascii="Calibri" w:hAnsi="Calibri"/>
          <w:color w:val="333333"/>
          <w:sz w:val="20"/>
          <w:szCs w:val="20"/>
        </w:rPr>
        <w:t> </w:t>
      </w:r>
      <w:r>
        <w:rPr>
          <w:rFonts w:ascii="Calibri" w:hAnsi="Calibri"/>
          <w:color w:val="333333"/>
          <w:sz w:val="20"/>
          <w:szCs w:val="20"/>
        </w:rPr>
        <w:t>of all 1,000 GPAs. Does it actually capture the mean</w:t>
      </w:r>
      <w:r>
        <w:rPr>
          <w:rStyle w:val="Emphasis"/>
          <w:rFonts w:ascii="Calibri" w:hAnsi="Calibri"/>
          <w:color w:val="333333"/>
          <w:sz w:val="20"/>
          <w:szCs w:val="20"/>
        </w:rPr>
        <w:t>μ</w:t>
      </w:r>
      <w:r>
        <w:rPr>
          <w:rFonts w:ascii="Calibri" w:hAnsi="Calibri"/>
          <w:color w:val="333333"/>
          <w:sz w:val="20"/>
          <w:szCs w:val="20"/>
        </w:rPr>
        <w:t>?</w:t>
      </w:r>
    </w:p>
    <w:p w:rsidR="00AD77BB" w:rsidRDefault="00B45BA0">
      <w:pPr>
        <w:shd w:val="clear" w:color="auto" w:fill="DAEEF3" w:themeFill="accent5" w:themeFillTint="33"/>
        <w:spacing w:after="0" w:line="360" w:lineRule="auto"/>
        <w:ind w:left="720"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shd w:val="clear" w:color="auto" w:fill="DAEEF3" w:themeFill="accent5" w:themeFillTint="33"/>
        </w:rPr>
        <w:drawing>
          <wp:inline distT="0" distB="0" distL="0" distR="0" wp14:anchorId="7796F261" wp14:editId="74DD6D98">
            <wp:extent cx="4305300" cy="4305300"/>
            <wp:effectExtent l="0" t="0" r="0" b="0"/>
            <wp:docPr id="226"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305300" cy="4305300"/>
                    </a:xfrm>
                    <a:prstGeom prst="rect">
                      <a:avLst/>
                    </a:prstGeom>
                    <a:noFill/>
                    <a:ln>
                      <a:noFill/>
                    </a:ln>
                  </pic:spPr>
                </pic:pic>
              </a:graphicData>
            </a:graphic>
          </wp:inline>
        </w:drawing>
      </w:r>
    </w:p>
    <w:p w:rsidR="00AD77BB" w:rsidRDefault="00AD77BB">
      <w:pPr>
        <w:shd w:val="clear" w:color="auto" w:fill="FFFFFF"/>
        <w:spacing w:after="0" w:line="439" w:lineRule="atLeast"/>
        <w:textAlignment w:val="baseline"/>
        <w:outlineLvl w:val="1"/>
        <w:rPr>
          <w:rFonts w:ascii="Calibri" w:eastAsia="Times New Roman" w:hAnsi="Calibri" w:cs="Times New Roman"/>
          <w:b/>
          <w:bCs/>
          <w:color w:val="333333"/>
          <w:sz w:val="35"/>
          <w:szCs w:val="35"/>
        </w:rPr>
      </w:pPr>
    </w:p>
    <w:p w:rsidR="00AD77BB" w:rsidRDefault="00AD77BB">
      <w:pPr>
        <w:shd w:val="clear" w:color="auto" w:fill="FFFFFF"/>
        <w:spacing w:after="0" w:line="439" w:lineRule="atLeast"/>
        <w:textAlignment w:val="baseline"/>
        <w:outlineLvl w:val="1"/>
        <w:rPr>
          <w:rFonts w:ascii="Calibri" w:eastAsia="Times New Roman" w:hAnsi="Calibri" w:cs="Times New Roman"/>
          <w:b/>
          <w:bCs/>
          <w:color w:val="333333"/>
          <w:sz w:val="35"/>
          <w:szCs w:val="35"/>
        </w:rPr>
      </w:pPr>
    </w:p>
    <w:p w:rsidR="00AD77BB" w:rsidRDefault="00B45BA0">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7.2</w:t>
      </w:r>
      <w:r>
        <w:rPr>
          <w:rFonts w:ascii="Calibri" w:eastAsia="Times New Roman" w:hAnsi="Calibri" w:cs="Times New Roman"/>
          <w:b/>
          <w:bCs/>
          <w:color w:val="333333"/>
          <w:sz w:val="36"/>
          <w:szCs w:val="36"/>
        </w:rPr>
        <w:t> Small Sample Estimation of a Population Mean</w:t>
      </w:r>
    </w:p>
    <w:p w:rsidR="00AD77BB" w:rsidRDefault="00B45BA0">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AD77BB" w:rsidRDefault="00B45BA0">
      <w:pPr>
        <w:numPr>
          <w:ilvl w:val="0"/>
          <w:numId w:val="168"/>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become familiar with Student’s </w:t>
      </w:r>
      <w:r>
        <w:rPr>
          <w:rFonts w:ascii="Calibri" w:eastAsia="Times New Roman" w:hAnsi="Calibri" w:cs="Times New Roman"/>
          <w:i/>
          <w:iCs/>
          <w:color w:val="333333"/>
          <w:sz w:val="20"/>
          <w:szCs w:val="20"/>
        </w:rPr>
        <w:t>t</w:t>
      </w:r>
      <w:r>
        <w:rPr>
          <w:rFonts w:ascii="Calibri" w:eastAsia="Times New Roman" w:hAnsi="Calibri" w:cs="Times New Roman"/>
          <w:color w:val="333333"/>
          <w:sz w:val="20"/>
          <w:szCs w:val="20"/>
        </w:rPr>
        <w:t>-distribution.</w:t>
      </w:r>
    </w:p>
    <w:p w:rsidR="00AD77BB" w:rsidRDefault="00B45BA0">
      <w:pPr>
        <w:numPr>
          <w:ilvl w:val="0"/>
          <w:numId w:val="168"/>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understand how to apply additional formulas for a confidence interval for a population mean.</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confidence interval formulas in the previous section are based on the Central Limit Theorem, the statement that for large samples </w:t>
      </w:r>
      <w:r>
        <w:rPr>
          <w:rFonts w:ascii="MathJax_Math" w:eastAsia="Times New Roman" w:hAnsi="MathJax_Math" w:cs="Times New Roman"/>
          <w:i/>
          <w:iCs/>
          <w:color w:val="333333"/>
          <w:sz w:val="15"/>
          <w:szCs w:val="15"/>
        </w:rPr>
        <w:t>X</w:t>
      </w:r>
      <w:r>
        <w:rPr>
          <w:rFonts w:ascii="Times New Roman" w:eastAsia="Times New Roman" w:hAnsi="Times New Roman" w:cs="Times New Roman"/>
          <w:i/>
          <w:iCs/>
          <w:color w:val="333333"/>
          <w:sz w:val="15"/>
          <w:szCs w:val="15"/>
        </w:rPr>
        <w:t>^</w:t>
      </w:r>
      <w:r>
        <w:rPr>
          <w:rFonts w:ascii="MathJax_Main" w:eastAsia="Times New Roman" w:hAnsi="MathJax_Main" w:cs="Times New Roman"/>
          <w:color w:val="333333"/>
          <w:sz w:val="18"/>
          <w:szCs w:val="18"/>
        </w:rPr>
        <w:t>−−</w:t>
      </w:r>
      <w:r>
        <w:rPr>
          <w:rFonts w:ascii="Georgia" w:eastAsia="Times New Roman" w:hAnsi="Georgia" w:cs="Times New Roman"/>
          <w:color w:val="333333"/>
          <w:sz w:val="21"/>
          <w:szCs w:val="21"/>
        </w:rPr>
        <w:t> is normally distributed with mean </w:t>
      </w:r>
      <w:r>
        <w:rPr>
          <w:rFonts w:ascii="Georgia" w:eastAsia="Times New Roman" w:hAnsi="Georgia" w:cs="Times New Roman"/>
          <w:i/>
          <w:iCs/>
          <w:color w:val="333333"/>
          <w:sz w:val="20"/>
          <w:szCs w:val="20"/>
        </w:rPr>
        <w:t>μ</w:t>
      </w:r>
      <w:r>
        <w:rPr>
          <w:rFonts w:ascii="Georgia" w:eastAsia="Times New Roman" w:hAnsi="Georgia" w:cs="Times New Roman"/>
          <w:color w:val="333333"/>
          <w:sz w:val="21"/>
          <w:szCs w:val="21"/>
        </w:rPr>
        <w:t> and standard deviation </w:t>
      </w:r>
      <w:r>
        <w:rPr>
          <w:rFonts w:ascii="MathJax_Math" w:eastAsia="Times New Roman" w:hAnsi="MathJax_Math" w:cs="Times New Roman"/>
          <w:i/>
          <w:iCs/>
          <w:color w:val="333333"/>
          <w:sz w:val="18"/>
          <w:szCs w:val="18"/>
        </w:rPr>
        <w:t>σ</w:t>
      </w:r>
      <w:r>
        <w:rPr>
          <w:rFonts w:ascii="MathJax_Size1" w:eastAsia="Times New Roman" w:hAnsi="MathJax_Size1" w:cs="Times New Roman"/>
          <w:color w:val="333333"/>
          <w:sz w:val="18"/>
          <w:szCs w:val="18"/>
        </w:rPr>
        <w:t>/</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n</w:t>
      </w:r>
      <w:r>
        <w:rPr>
          <w:rFonts w:ascii="MathJax_Main" w:eastAsia="Times New Roman" w:hAnsi="MathJax_Main" w:cs="Times New Roman"/>
          <w:color w:val="333333"/>
          <w:sz w:val="18"/>
          <w:szCs w:val="18"/>
        </w:rPr>
        <w:t>.</w:t>
      </w:r>
      <w:r>
        <w:rPr>
          <w:rFonts w:ascii="Georgia" w:eastAsia="Times New Roman" w:hAnsi="Georgia" w:cs="Times New Roman"/>
          <w:color w:val="333333"/>
          <w:sz w:val="21"/>
          <w:szCs w:val="21"/>
        </w:rPr>
        <w:t> When the population mean </w:t>
      </w:r>
      <w:r>
        <w:rPr>
          <w:rFonts w:ascii="Georgia" w:eastAsia="Times New Roman" w:hAnsi="Georgia" w:cs="Times New Roman"/>
          <w:i/>
          <w:iCs/>
          <w:color w:val="333333"/>
          <w:sz w:val="20"/>
          <w:szCs w:val="20"/>
        </w:rPr>
        <w:t>μ</w:t>
      </w:r>
      <w:r>
        <w:rPr>
          <w:rFonts w:ascii="Georgia" w:eastAsia="Times New Roman" w:hAnsi="Georgia" w:cs="Times New Roman"/>
          <w:color w:val="333333"/>
          <w:sz w:val="21"/>
          <w:szCs w:val="21"/>
        </w:rPr>
        <w:t> is estimated with a small sample (</w:t>
      </w:r>
      <w:r>
        <w:rPr>
          <w:rFonts w:ascii="Georgia" w:eastAsia="Times New Roman" w:hAnsi="Georgia" w:cs="Times New Roman"/>
          <w:i/>
          <w:iCs/>
          <w:color w:val="333333"/>
          <w:sz w:val="20"/>
          <w:szCs w:val="20"/>
        </w:rPr>
        <w:t>n</w:t>
      </w:r>
      <w:r>
        <w:rPr>
          <w:rFonts w:ascii="Georgia" w:eastAsia="Times New Roman" w:hAnsi="Georgia" w:cs="Times New Roman"/>
          <w:color w:val="333333"/>
          <w:sz w:val="21"/>
          <w:szCs w:val="21"/>
        </w:rPr>
        <w:t> &lt; 30), the Central Limit Theorem does not apply. In order to proceed we assume that the numerical population from which the sample is taken has a normal distribution to begin with. If this condition is satisfied then when the population standard deviation </w:t>
      </w:r>
      <w:r>
        <w:rPr>
          <w:rFonts w:ascii="Georgia" w:eastAsia="Times New Roman" w:hAnsi="Georgia" w:cs="Times New Roman"/>
          <w:i/>
          <w:iCs/>
          <w:color w:val="333333"/>
          <w:sz w:val="20"/>
          <w:szCs w:val="20"/>
        </w:rPr>
        <w:t>σ</w:t>
      </w:r>
      <w:r>
        <w:rPr>
          <w:rFonts w:ascii="Georgia" w:eastAsia="Times New Roman" w:hAnsi="Georgia" w:cs="Times New Roman"/>
          <w:color w:val="333333"/>
          <w:sz w:val="21"/>
          <w:szCs w:val="21"/>
        </w:rPr>
        <w:t> is known the old formula </w:t>
      </w:r>
      <w:r>
        <w:rPr>
          <w:rFonts w:ascii="MathJax_Math" w:eastAsia="Times New Roman" w:hAnsi="MathJax_Math" w:cs="Times New Roman"/>
          <w:b/>
          <w:i/>
          <w:iCs/>
          <w:color w:val="333333"/>
          <w:sz w:val="18"/>
          <w:szCs w:val="18"/>
        </w:rPr>
        <w:t>x</w:t>
      </w:r>
      <w:r>
        <w:rPr>
          <w:rFonts w:ascii="Times New Roman" w:eastAsia="Times New Roman" w:hAnsi="Times New Roman" w:cs="Times New Roman"/>
          <w:b/>
          <w:i/>
          <w:iCs/>
          <w:color w:val="333333"/>
          <w:sz w:val="18"/>
          <w:szCs w:val="18"/>
        </w:rPr>
        <w:t>^</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z</w:t>
      </w:r>
      <w:r>
        <w:rPr>
          <w:rFonts w:ascii="MathJax_Math" w:eastAsia="Times New Roman" w:hAnsi="MathJax_Math" w:cs="Times New Roman"/>
          <w:b/>
          <w:i/>
          <w:iCs/>
          <w:color w:val="333333"/>
          <w:sz w:val="14"/>
          <w:szCs w:val="14"/>
        </w:rPr>
        <w:t>α</w:t>
      </w:r>
      <w:r>
        <w:rPr>
          <w:rFonts w:ascii="MathJax_Size1" w:eastAsia="Times New Roman" w:hAnsi="MathJax_Size1" w:cs="Times New Roman"/>
          <w:b/>
          <w:color w:val="333333"/>
          <w:sz w:val="14"/>
          <w:szCs w:val="14"/>
        </w:rPr>
        <w:t>/</w:t>
      </w:r>
      <w:r>
        <w:rPr>
          <w:rFonts w:ascii="MathJax_Main" w:eastAsia="Times New Roman" w:hAnsi="MathJax_Main" w:cs="Times New Roman"/>
          <w:b/>
          <w:color w:val="333333"/>
          <w:sz w:val="14"/>
          <w:szCs w:val="14"/>
        </w:rPr>
        <w:t>2</w:t>
      </w:r>
      <w:r>
        <w:rPr>
          <w:rFonts w:ascii="MathJax_Size1" w:eastAsia="Times New Roman" w:hAnsi="MathJax_Size1" w:cs="Times New Roman"/>
          <w:b/>
          <w:color w:val="333333"/>
          <w:sz w:val="18"/>
          <w:szCs w:val="18"/>
        </w:rPr>
        <w:t>(</w:t>
      </w:r>
      <w:r>
        <w:rPr>
          <w:rFonts w:ascii="MathJax_Math" w:eastAsia="Times New Roman" w:hAnsi="MathJax_Math" w:cs="Times New Roman"/>
          <w:b/>
          <w:i/>
          <w:iCs/>
          <w:color w:val="333333"/>
          <w:sz w:val="18"/>
          <w:szCs w:val="18"/>
        </w:rPr>
        <w:t>σ</w:t>
      </w:r>
      <w:r>
        <w:rPr>
          <w:rFonts w:ascii="MathJax_Size1" w:eastAsia="Times New Roman" w:hAnsi="MathJax_Size1" w:cs="Times New Roman"/>
          <w:b/>
          <w:color w:val="333333"/>
          <w:sz w:val="18"/>
          <w:szCs w:val="18"/>
        </w:rPr>
        <w:t>/</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n</w:t>
      </w:r>
      <w:r>
        <w:rPr>
          <w:rFonts w:ascii="MathJax_Size1" w:eastAsia="Times New Roman" w:hAnsi="MathJax_Size1" w:cs="Times New Roman"/>
          <w:b/>
          <w:color w:val="333333"/>
          <w:sz w:val="18"/>
          <w:szCs w:val="18"/>
        </w:rPr>
        <w:t>)</w:t>
      </w:r>
      <w:r>
        <w:rPr>
          <w:rFonts w:ascii="Georgia" w:eastAsia="Times New Roman" w:hAnsi="Georgia" w:cs="Times New Roman"/>
          <w:b/>
          <w:color w:val="333333"/>
          <w:sz w:val="21"/>
          <w:szCs w:val="21"/>
        </w:rPr>
        <w:t> </w:t>
      </w:r>
      <w:r>
        <w:rPr>
          <w:rFonts w:ascii="Georgia" w:eastAsia="Times New Roman" w:hAnsi="Georgia" w:cs="Times New Roman"/>
          <w:color w:val="333333"/>
          <w:sz w:val="21"/>
          <w:szCs w:val="21"/>
        </w:rPr>
        <w:t>can still be used to construct a </w:t>
      </w:r>
      <w:r>
        <w:rPr>
          <w:rFonts w:ascii="MathJax_Main" w:eastAsia="Times New Roman" w:hAnsi="MathJax_Main" w:cs="Times New Roman"/>
          <w:b/>
          <w:color w:val="333333"/>
          <w:sz w:val="18"/>
          <w:szCs w:val="18"/>
        </w:rPr>
        <w:t>100(1−</w:t>
      </w:r>
      <w:r>
        <w:rPr>
          <w:rFonts w:ascii="MathJax_Math" w:eastAsia="Times New Roman" w:hAnsi="MathJax_Math" w:cs="Times New Roman"/>
          <w:b/>
          <w:i/>
          <w:iCs/>
          <w:color w:val="333333"/>
          <w:sz w:val="18"/>
          <w:szCs w:val="18"/>
        </w:rPr>
        <w:t>α</w:t>
      </w:r>
      <w:r>
        <w:rPr>
          <w:rFonts w:ascii="MathJax_Main" w:eastAsia="Times New Roman" w:hAnsi="MathJax_Main" w:cs="Times New Roman"/>
          <w:b/>
          <w:color w:val="333333"/>
          <w:sz w:val="18"/>
          <w:szCs w:val="18"/>
        </w:rPr>
        <w:t>)</w:t>
      </w:r>
      <w:r>
        <w:rPr>
          <w:rFonts w:ascii="Georgia" w:eastAsia="Times New Roman" w:hAnsi="Georgia" w:cs="Times New Roman"/>
          <w:b/>
          <w:color w:val="333333"/>
          <w:sz w:val="21"/>
          <w:szCs w:val="21"/>
        </w:rPr>
        <w:t>%</w:t>
      </w:r>
      <w:r>
        <w:rPr>
          <w:rFonts w:ascii="Georgia" w:eastAsia="Times New Roman" w:hAnsi="Georgia" w:cs="Times New Roman"/>
          <w:color w:val="333333"/>
          <w:sz w:val="21"/>
          <w:szCs w:val="21"/>
        </w:rPr>
        <w:t xml:space="preserve"> confidence interval for </w:t>
      </w:r>
      <w:r>
        <w:rPr>
          <w:rFonts w:ascii="Georgia" w:eastAsia="Times New Roman" w:hAnsi="Georgia" w:cs="Times New Roman"/>
          <w:i/>
          <w:iCs/>
          <w:color w:val="333333"/>
          <w:sz w:val="20"/>
          <w:szCs w:val="20"/>
        </w:rPr>
        <w:t>μ</w:t>
      </w:r>
      <w:r>
        <w:rPr>
          <w:rFonts w:ascii="Georgia" w:eastAsia="Times New Roman" w:hAnsi="Georgia" w:cs="Times New Roman"/>
          <w:color w:val="333333"/>
          <w:sz w:val="21"/>
          <w:szCs w:val="21"/>
        </w:rPr>
        <w:t>.</w:t>
      </w:r>
    </w:p>
    <w:p w:rsidR="00AD77BB" w:rsidRDefault="00AD77BB">
      <w:pPr>
        <w:shd w:val="clear" w:color="auto" w:fill="FFFFFF" w:themeFill="background1"/>
        <w:spacing w:after="0" w:line="360" w:lineRule="auto"/>
        <w:ind w:right="374"/>
        <w:textAlignment w:val="baseline"/>
        <w:rPr>
          <w:rFonts w:ascii="Georgia" w:hAnsi="Georgia"/>
          <w:color w:val="333333"/>
          <w:sz w:val="20"/>
          <w:szCs w:val="20"/>
          <w:shd w:val="clear" w:color="auto" w:fill="FFFFFF"/>
        </w:rPr>
      </w:pPr>
    </w:p>
    <w:p w:rsidR="00AD77BB" w:rsidRDefault="00B45BA0">
      <w:pPr>
        <w:shd w:val="clear" w:color="auto" w:fill="FFFFFF" w:themeFill="background1"/>
        <w:spacing w:after="0" w:line="360" w:lineRule="auto"/>
        <w:ind w:right="374"/>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If the population standard deviation is unknown and the sample size </w:t>
      </w:r>
      <w:r>
        <w:rPr>
          <w:rFonts w:ascii="Georgia" w:hAnsi="Georgia"/>
          <w:i/>
          <w:iCs/>
          <w:color w:val="333333"/>
          <w:sz w:val="20"/>
          <w:szCs w:val="20"/>
          <w:shd w:val="clear" w:color="auto" w:fill="FFFFFF"/>
        </w:rPr>
        <w:t>n</w:t>
      </w:r>
      <w:r>
        <w:rPr>
          <w:rFonts w:ascii="Georgia" w:hAnsi="Georgia"/>
          <w:color w:val="333333"/>
          <w:sz w:val="20"/>
          <w:szCs w:val="20"/>
          <w:shd w:val="clear" w:color="auto" w:fill="FFFFFF"/>
        </w:rPr>
        <w:t> is small then when we substitute the sample standard deviation </w:t>
      </w:r>
      <w:r>
        <w:rPr>
          <w:rFonts w:ascii="Georgia" w:hAnsi="Georgia"/>
          <w:i/>
          <w:iCs/>
          <w:color w:val="333333"/>
          <w:sz w:val="20"/>
          <w:szCs w:val="20"/>
          <w:shd w:val="clear" w:color="auto" w:fill="FFFFFF"/>
        </w:rPr>
        <w:t>s</w:t>
      </w:r>
      <w:r>
        <w:rPr>
          <w:rFonts w:ascii="Georgia" w:hAnsi="Georgia"/>
          <w:color w:val="333333"/>
          <w:sz w:val="20"/>
          <w:szCs w:val="20"/>
          <w:shd w:val="clear" w:color="auto" w:fill="FFFFFF"/>
        </w:rPr>
        <w:t> for </w:t>
      </w:r>
      <w:r>
        <w:rPr>
          <w:rFonts w:ascii="Georgia" w:hAnsi="Georgia"/>
          <w:i/>
          <w:iCs/>
          <w:color w:val="333333"/>
          <w:sz w:val="20"/>
          <w:szCs w:val="20"/>
          <w:shd w:val="clear" w:color="auto" w:fill="FFFFFF"/>
        </w:rPr>
        <w:t>σ</w:t>
      </w:r>
      <w:r>
        <w:rPr>
          <w:rFonts w:ascii="Georgia" w:hAnsi="Georgia"/>
          <w:color w:val="333333"/>
          <w:sz w:val="20"/>
          <w:szCs w:val="20"/>
          <w:shd w:val="clear" w:color="auto" w:fill="FFFFFF"/>
        </w:rPr>
        <w:t> the normal approximation is no longer valid. The solution is to use a different distribution, called </w:t>
      </w:r>
      <w:r>
        <w:rPr>
          <w:rFonts w:ascii="Georgia" w:hAnsi="Georgia"/>
          <w:b/>
          <w:color w:val="333333"/>
          <w:sz w:val="20"/>
          <w:szCs w:val="20"/>
          <w:shd w:val="clear" w:color="auto" w:fill="FFFFFF"/>
        </w:rPr>
        <w:t>Student’s t-distribution</w:t>
      </w:r>
      <w:r>
        <w:rPr>
          <w:rFonts w:ascii="Georgia" w:hAnsi="Georgia"/>
          <w:color w:val="333333"/>
          <w:sz w:val="20"/>
          <w:szCs w:val="20"/>
          <w:shd w:val="clear" w:color="auto" w:fill="FFFFFF"/>
        </w:rPr>
        <w:t> </w:t>
      </w:r>
      <w:r>
        <w:rPr>
          <w:rFonts w:ascii="Georgia" w:hAnsi="Georgia"/>
          <w:b/>
          <w:bCs/>
          <w:color w:val="333333"/>
          <w:sz w:val="20"/>
          <w:szCs w:val="20"/>
          <w:shd w:val="clear" w:color="auto" w:fill="FFFFFF"/>
        </w:rPr>
        <w:t>with</w:t>
      </w:r>
      <w:r>
        <w:rPr>
          <w:rFonts w:ascii="Georgia" w:hAnsi="Georgia"/>
          <w:color w:val="333333"/>
          <w:sz w:val="20"/>
          <w:szCs w:val="20"/>
          <w:shd w:val="clear" w:color="auto" w:fill="FFFFFF"/>
        </w:rPr>
        <w:t> </w:t>
      </w:r>
      <w:r>
        <w:rPr>
          <w:rFonts w:ascii="MathJax_Math" w:hAnsi="MathJax_Math"/>
          <w:i/>
          <w:iCs/>
          <w:color w:val="333333"/>
          <w:sz w:val="18"/>
          <w:szCs w:val="18"/>
          <w:shd w:val="clear" w:color="auto" w:fill="FFFFFF"/>
        </w:rPr>
        <w:t>n</w:t>
      </w:r>
      <w:r>
        <w:rPr>
          <w:rFonts w:ascii="MathJax_Main" w:hAnsi="MathJax_Main"/>
          <w:color w:val="333333"/>
          <w:sz w:val="18"/>
          <w:szCs w:val="18"/>
          <w:shd w:val="clear" w:color="auto" w:fill="FFFFFF"/>
        </w:rPr>
        <w:t>−</w:t>
      </w:r>
      <w:r>
        <w:rPr>
          <w:rFonts w:ascii="MathJax_Main" w:hAnsi="MathJax_Main"/>
          <w:b/>
          <w:color w:val="333333"/>
          <w:sz w:val="18"/>
          <w:szCs w:val="18"/>
          <w:shd w:val="clear" w:color="auto" w:fill="FFFFFF"/>
        </w:rPr>
        <w:t>1</w:t>
      </w:r>
      <w:r>
        <w:rPr>
          <w:rFonts w:ascii="Georgia" w:hAnsi="Georgia"/>
          <w:b/>
          <w:color w:val="333333"/>
          <w:sz w:val="20"/>
          <w:szCs w:val="20"/>
          <w:shd w:val="clear" w:color="auto" w:fill="FFFFFF"/>
        </w:rPr>
        <w:t> degrees of freedom</w:t>
      </w:r>
      <w:r>
        <w:rPr>
          <w:rFonts w:ascii="Georgia" w:hAnsi="Georgia"/>
          <w:color w:val="333333"/>
          <w:sz w:val="20"/>
          <w:szCs w:val="20"/>
          <w:shd w:val="clear" w:color="auto" w:fill="FFFFFF"/>
        </w:rPr>
        <w:t>. Student’s </w:t>
      </w:r>
      <w:r>
        <w:rPr>
          <w:rFonts w:ascii="Georgia" w:hAnsi="Georgia"/>
          <w:i/>
          <w:iCs/>
          <w:color w:val="333333"/>
          <w:sz w:val="20"/>
          <w:szCs w:val="20"/>
          <w:shd w:val="clear" w:color="auto" w:fill="FFFFFF"/>
        </w:rPr>
        <w:t>t</w:t>
      </w:r>
      <w:r>
        <w:rPr>
          <w:rFonts w:ascii="Georgia" w:hAnsi="Georgia"/>
          <w:color w:val="333333"/>
          <w:sz w:val="20"/>
          <w:szCs w:val="20"/>
          <w:shd w:val="clear" w:color="auto" w:fill="FFFFFF"/>
        </w:rPr>
        <w:t>-distribution is very much like the standard normal distribution in that it is centered at 0 and has the same qualitative bell shape, but it has heavier tails than the standard normal distribution does, as indicated by </w:t>
      </w:r>
      <w:r>
        <w:rPr>
          <w:rFonts w:ascii="Georgia" w:hAnsi="Georgia"/>
          <w:color w:val="2689C6"/>
          <w:sz w:val="20"/>
          <w:szCs w:val="20"/>
          <w:shd w:val="clear" w:color="auto" w:fill="FFFFFF"/>
        </w:rPr>
        <w:t>Figure 7.5 "Student’s "</w:t>
      </w:r>
      <w:r>
        <w:rPr>
          <w:rFonts w:ascii="Georgia" w:hAnsi="Georgia"/>
          <w:color w:val="333333"/>
          <w:sz w:val="20"/>
          <w:szCs w:val="20"/>
          <w:shd w:val="clear" w:color="auto" w:fill="FFFFFF"/>
        </w:rPr>
        <w:t>, in which the curve (in brown) that meets the dashed vertical line at the lowest point is the </w:t>
      </w:r>
      <w:r>
        <w:rPr>
          <w:rFonts w:ascii="Georgia" w:hAnsi="Georgia"/>
          <w:i/>
          <w:iCs/>
          <w:color w:val="333333"/>
          <w:sz w:val="20"/>
          <w:szCs w:val="20"/>
          <w:shd w:val="clear" w:color="auto" w:fill="FFFFFF"/>
        </w:rPr>
        <w:t>t</w:t>
      </w:r>
      <w:r>
        <w:rPr>
          <w:rFonts w:ascii="Georgia" w:hAnsi="Georgia"/>
          <w:color w:val="333333"/>
          <w:sz w:val="20"/>
          <w:szCs w:val="20"/>
          <w:shd w:val="clear" w:color="auto" w:fill="FFFFFF"/>
        </w:rPr>
        <w:t>-distribution with two degrees of freedom, the next curve (in blue) is the </w:t>
      </w:r>
      <w:r>
        <w:rPr>
          <w:rFonts w:ascii="Georgia" w:hAnsi="Georgia"/>
          <w:i/>
          <w:iCs/>
          <w:color w:val="333333"/>
          <w:sz w:val="20"/>
          <w:szCs w:val="20"/>
          <w:shd w:val="clear" w:color="auto" w:fill="FFFFFF"/>
        </w:rPr>
        <w:t>t</w:t>
      </w:r>
      <w:r>
        <w:rPr>
          <w:rFonts w:ascii="Georgia" w:hAnsi="Georgia"/>
          <w:color w:val="333333"/>
          <w:sz w:val="20"/>
          <w:szCs w:val="20"/>
          <w:shd w:val="clear" w:color="auto" w:fill="FFFFFF"/>
        </w:rPr>
        <w:t>-distribution with five degrees of freedom, and the thin curve (in red) is the standard normal distribution. As also indicated by the figure, as the sample size </w:t>
      </w:r>
      <w:r>
        <w:rPr>
          <w:rFonts w:ascii="Georgia" w:hAnsi="Georgia"/>
          <w:i/>
          <w:iCs/>
          <w:color w:val="333333"/>
          <w:sz w:val="20"/>
          <w:szCs w:val="20"/>
          <w:shd w:val="clear" w:color="auto" w:fill="FFFFFF"/>
        </w:rPr>
        <w:t>n</w:t>
      </w:r>
      <w:r>
        <w:rPr>
          <w:rFonts w:ascii="Georgia" w:hAnsi="Georgia"/>
          <w:color w:val="333333"/>
          <w:sz w:val="20"/>
          <w:szCs w:val="20"/>
          <w:shd w:val="clear" w:color="auto" w:fill="FFFFFF"/>
        </w:rPr>
        <w:t> increases, Student’s </w:t>
      </w:r>
      <w:r>
        <w:rPr>
          <w:rFonts w:ascii="Georgia" w:hAnsi="Georgia"/>
          <w:i/>
          <w:iCs/>
          <w:color w:val="333333"/>
          <w:sz w:val="20"/>
          <w:szCs w:val="20"/>
          <w:shd w:val="clear" w:color="auto" w:fill="FFFFFF"/>
        </w:rPr>
        <w:t>t</w:t>
      </w:r>
      <w:r>
        <w:rPr>
          <w:rFonts w:ascii="Georgia" w:hAnsi="Georgia"/>
          <w:color w:val="333333"/>
          <w:sz w:val="20"/>
          <w:szCs w:val="20"/>
          <w:shd w:val="clear" w:color="auto" w:fill="FFFFFF"/>
        </w:rPr>
        <w:t>-distribution ever more closely resembles the standard normal distribution. Although there is a different </w:t>
      </w:r>
      <w:r>
        <w:rPr>
          <w:rFonts w:ascii="Georgia" w:hAnsi="Georgia"/>
          <w:i/>
          <w:iCs/>
          <w:color w:val="333333"/>
          <w:sz w:val="20"/>
          <w:szCs w:val="20"/>
          <w:shd w:val="clear" w:color="auto" w:fill="FFFFFF"/>
        </w:rPr>
        <w:t>t</w:t>
      </w:r>
      <w:r>
        <w:rPr>
          <w:rFonts w:ascii="Georgia" w:hAnsi="Georgia"/>
          <w:color w:val="333333"/>
          <w:sz w:val="20"/>
          <w:szCs w:val="20"/>
          <w:shd w:val="clear" w:color="auto" w:fill="FFFFFF"/>
        </w:rPr>
        <w:t>-distribution for every value of </w:t>
      </w:r>
      <w:r>
        <w:rPr>
          <w:rFonts w:ascii="Georgia" w:hAnsi="Georgia"/>
          <w:i/>
          <w:iCs/>
          <w:color w:val="333333"/>
          <w:sz w:val="20"/>
          <w:szCs w:val="20"/>
          <w:shd w:val="clear" w:color="auto" w:fill="FFFFFF"/>
        </w:rPr>
        <w:t>n</w:t>
      </w:r>
      <w:r>
        <w:rPr>
          <w:rFonts w:ascii="Georgia" w:hAnsi="Georgia"/>
          <w:color w:val="333333"/>
          <w:sz w:val="20"/>
          <w:szCs w:val="20"/>
          <w:shd w:val="clear" w:color="auto" w:fill="FFFFFF"/>
        </w:rPr>
        <w:t>, once the sample size is 30 or more it is typically acceptable to use the standard normal distribution instead, as we will always do in this text.</w:t>
      </w: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t>Figure 7.5</w:t>
      </w:r>
      <w:r>
        <w:rPr>
          <w:rFonts w:ascii="Georgia" w:eastAsia="Times New Roman" w:hAnsi="Georgia" w:cs="Times New Roman"/>
          <w:i/>
          <w:iCs/>
          <w:color w:val="BB9966"/>
          <w:sz w:val="19"/>
          <w:szCs w:val="19"/>
        </w:rPr>
        <w:t> Student’s </w:t>
      </w:r>
      <w:r>
        <w:rPr>
          <w:rFonts w:ascii="Georgia" w:eastAsia="Times New Roman" w:hAnsi="Georgia" w:cs="Times New Roman"/>
          <w:i/>
          <w:iCs/>
          <w:color w:val="BB9966"/>
          <w:sz w:val="20"/>
          <w:szCs w:val="20"/>
        </w:rPr>
        <w:t>t</w:t>
      </w:r>
      <w:r>
        <w:rPr>
          <w:rFonts w:ascii="Georgia" w:eastAsia="Times New Roman" w:hAnsi="Georgia" w:cs="Times New Roman"/>
          <w:i/>
          <w:iCs/>
          <w:color w:val="BB9966"/>
          <w:sz w:val="19"/>
          <w:szCs w:val="19"/>
        </w:rPr>
        <w:t>-Distribution</w:t>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noProof/>
          <w:color w:val="2689C6"/>
          <w:sz w:val="26"/>
          <w:szCs w:val="26"/>
          <w:shd w:val="clear" w:color="auto" w:fill="FFFFFF"/>
        </w:rPr>
        <w:drawing>
          <wp:inline distT="0" distB="0" distL="0" distR="0" wp14:anchorId="6DC251E2" wp14:editId="52CC3A12">
            <wp:extent cx="2867025" cy="2009775"/>
            <wp:effectExtent l="0" t="0" r="9525" b="9525"/>
            <wp:docPr id="227" name="Picture 242" descr="http://images.flatworldknowledge.com/shafer/shafer-fig0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images.flatworldknowledge.com/shafer/shafer-fig07_005.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867025" cy="200977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4"/>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lastRenderedPageBreak/>
        <w:t>Just as the symbol</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z</w:t>
      </w:r>
      <w:r>
        <w:rPr>
          <w:rStyle w:val="Emphasis"/>
          <w:rFonts w:ascii="Georgia" w:hAnsi="Georgia"/>
          <w:color w:val="333333"/>
          <w:sz w:val="15"/>
          <w:szCs w:val="15"/>
          <w:shd w:val="clear" w:color="auto" w:fill="FFFFFF"/>
          <w:vertAlign w:val="subscript"/>
        </w:rPr>
        <w:t>c</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stands for the value that cuts off a right tail of area</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c</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in the standard normal distribution, so the symbol</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t</w:t>
      </w:r>
      <w:r>
        <w:rPr>
          <w:rStyle w:val="Emphasis"/>
          <w:rFonts w:ascii="Georgia" w:hAnsi="Georgia"/>
          <w:color w:val="333333"/>
          <w:sz w:val="15"/>
          <w:szCs w:val="15"/>
          <w:shd w:val="clear" w:color="auto" w:fill="FFFFFF"/>
          <w:vertAlign w:val="subscript"/>
        </w:rPr>
        <w:t>c</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stands for the value that cuts off a right tail of area</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c</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in the standard normal distribution. This gives us the following confidence interval formulas.</w:t>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drawing>
          <wp:inline distT="0" distB="0" distL="0" distR="0" wp14:anchorId="7FDC9ED3" wp14:editId="4DC60022">
            <wp:extent cx="5734050" cy="3600450"/>
            <wp:effectExtent l="0" t="0" r="0" b="0"/>
            <wp:docPr id="228"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734050" cy="360045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3FFFFF61" wp14:editId="5AF4FCB6">
            <wp:extent cx="5410200" cy="5829300"/>
            <wp:effectExtent l="0" t="0" r="0" b="0"/>
            <wp:docPr id="229"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10200" cy="582930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038FAF1B" wp14:editId="3A3D623F">
            <wp:extent cx="5438775" cy="6315075"/>
            <wp:effectExtent l="0" t="0" r="9525" b="9525"/>
            <wp:docPr id="230"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38775" cy="6315075"/>
                    </a:xfrm>
                    <a:prstGeom prst="rect">
                      <a:avLst/>
                    </a:prstGeom>
                    <a:noFill/>
                    <a:ln>
                      <a:noFill/>
                    </a:ln>
                  </pic:spPr>
                </pic:pic>
              </a:graphicData>
            </a:graphic>
          </wp:inline>
        </w:drawing>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Compare </w:t>
      </w:r>
      <w:r>
        <w:rPr>
          <w:rFonts w:ascii="Georgia" w:eastAsia="Times New Roman" w:hAnsi="Georgia" w:cs="Times New Roman"/>
          <w:color w:val="2689C6"/>
          <w:sz w:val="21"/>
          <w:szCs w:val="21"/>
        </w:rPr>
        <w:t>Note 7.9 "Example 4"</w:t>
      </w:r>
      <w:r>
        <w:rPr>
          <w:rFonts w:ascii="Georgia" w:eastAsia="Times New Roman" w:hAnsi="Georgia" w:cs="Times New Roman"/>
          <w:color w:val="333333"/>
          <w:sz w:val="21"/>
          <w:szCs w:val="21"/>
        </w:rPr>
        <w:t> in </w:t>
      </w:r>
      <w:r>
        <w:rPr>
          <w:rFonts w:ascii="Georgia" w:eastAsia="Times New Roman" w:hAnsi="Georgia" w:cs="Times New Roman"/>
          <w:color w:val="2689C6"/>
          <w:sz w:val="21"/>
          <w:szCs w:val="21"/>
        </w:rPr>
        <w:t>Section 7.1 "Large Sample Estimation of a Population Mean"</w:t>
      </w:r>
      <w:r>
        <w:rPr>
          <w:rFonts w:ascii="Georgia" w:eastAsia="Times New Roman" w:hAnsi="Georgia" w:cs="Times New Roman"/>
          <w:color w:val="333333"/>
          <w:sz w:val="21"/>
          <w:szCs w:val="21"/>
        </w:rPr>
        <w:t> and </w:t>
      </w:r>
      <w:r>
        <w:rPr>
          <w:rFonts w:ascii="Georgia" w:eastAsia="Times New Roman" w:hAnsi="Georgia" w:cs="Times New Roman"/>
          <w:color w:val="2689C6"/>
          <w:sz w:val="21"/>
          <w:szCs w:val="21"/>
        </w:rPr>
        <w:t>Note 7.16 "Example 6"</w:t>
      </w:r>
      <w:r>
        <w:rPr>
          <w:rFonts w:ascii="Georgia" w:eastAsia="Times New Roman" w:hAnsi="Georgia" w:cs="Times New Roman"/>
          <w:color w:val="333333"/>
          <w:sz w:val="21"/>
          <w:szCs w:val="21"/>
        </w:rPr>
        <w:t>. The summary statistics in the two samples are the same, but the 90% confidence interval for the average GPA of all students at the university in </w:t>
      </w:r>
      <w:r>
        <w:rPr>
          <w:rFonts w:ascii="Georgia" w:eastAsia="Times New Roman" w:hAnsi="Georgia" w:cs="Times New Roman"/>
          <w:color w:val="2689C6"/>
          <w:sz w:val="21"/>
          <w:szCs w:val="21"/>
        </w:rPr>
        <w:t>Note 7.9 "Example 4"</w:t>
      </w:r>
      <w:r>
        <w:rPr>
          <w:rFonts w:ascii="Georgia" w:eastAsia="Times New Roman" w:hAnsi="Georgia" w:cs="Times New Roman"/>
          <w:color w:val="333333"/>
          <w:sz w:val="21"/>
          <w:szCs w:val="21"/>
        </w:rPr>
        <w:t> in </w:t>
      </w:r>
      <w:r>
        <w:rPr>
          <w:rFonts w:ascii="Georgia" w:eastAsia="Times New Roman" w:hAnsi="Georgia" w:cs="Times New Roman"/>
          <w:color w:val="2689C6"/>
          <w:sz w:val="21"/>
          <w:szCs w:val="21"/>
        </w:rPr>
        <w:t>Section 7.1 "Large Sample Estimation of a Population Mean"</w:t>
      </w:r>
      <w:r>
        <w:rPr>
          <w:rFonts w:ascii="Georgia" w:eastAsia="Times New Roman" w:hAnsi="Georgia" w:cs="Times New Roman"/>
          <w:color w:val="333333"/>
          <w:sz w:val="21"/>
          <w:szCs w:val="21"/>
        </w:rPr>
        <w:t>, </w:t>
      </w:r>
      <w:r>
        <w:rPr>
          <w:rFonts w:ascii="MathJax_Main" w:eastAsia="Times New Roman" w:hAnsi="MathJax_Main" w:cs="Times New Roman"/>
          <w:b/>
          <w:color w:val="333333"/>
          <w:sz w:val="18"/>
          <w:szCs w:val="18"/>
        </w:rPr>
        <w:t>(2.63,2.79)</w:t>
      </w:r>
      <w:r>
        <w:rPr>
          <w:rFonts w:ascii="Georgia" w:eastAsia="Times New Roman" w:hAnsi="Georgia" w:cs="Times New Roman"/>
          <w:b/>
          <w:color w:val="333333"/>
          <w:sz w:val="21"/>
          <w:szCs w:val="21"/>
        </w:rPr>
        <w:t xml:space="preserve">, </w:t>
      </w:r>
      <w:r>
        <w:rPr>
          <w:rFonts w:ascii="Georgia" w:eastAsia="Times New Roman" w:hAnsi="Georgia" w:cs="Times New Roman"/>
          <w:color w:val="333333"/>
          <w:sz w:val="21"/>
          <w:szCs w:val="21"/>
        </w:rPr>
        <w:t>is shorter than the 90% confidence interval </w:t>
      </w:r>
      <w:r>
        <w:rPr>
          <w:rFonts w:ascii="MathJax_Main" w:eastAsia="Times New Roman" w:hAnsi="MathJax_Main" w:cs="Times New Roman"/>
          <w:b/>
          <w:color w:val="333333"/>
          <w:sz w:val="18"/>
          <w:szCs w:val="18"/>
        </w:rPr>
        <w:t>(2.45,2.97)</w:t>
      </w:r>
      <w:r>
        <w:rPr>
          <w:rFonts w:ascii="Georgia" w:eastAsia="Times New Roman" w:hAnsi="Georgia" w:cs="Times New Roman"/>
          <w:b/>
          <w:color w:val="333333"/>
          <w:sz w:val="21"/>
          <w:szCs w:val="21"/>
        </w:rPr>
        <w:t xml:space="preserve">, </w:t>
      </w:r>
      <w:r>
        <w:rPr>
          <w:rFonts w:ascii="Georgia" w:eastAsia="Times New Roman" w:hAnsi="Georgia" w:cs="Times New Roman"/>
          <w:color w:val="333333"/>
          <w:sz w:val="21"/>
          <w:szCs w:val="21"/>
        </w:rPr>
        <w:t>in </w:t>
      </w:r>
      <w:r>
        <w:rPr>
          <w:rFonts w:ascii="Georgia" w:eastAsia="Times New Roman" w:hAnsi="Georgia" w:cs="Times New Roman"/>
          <w:color w:val="2689C6"/>
          <w:sz w:val="21"/>
          <w:szCs w:val="21"/>
        </w:rPr>
        <w:t>Note 7.16 "Example 6"</w:t>
      </w:r>
      <w:r>
        <w:rPr>
          <w:rFonts w:ascii="Georgia" w:eastAsia="Times New Roman" w:hAnsi="Georgia" w:cs="Times New Roman"/>
          <w:color w:val="333333"/>
          <w:sz w:val="21"/>
          <w:szCs w:val="21"/>
        </w:rPr>
        <w:t>. This is partly because in </w:t>
      </w:r>
      <w:r>
        <w:rPr>
          <w:rFonts w:ascii="Georgia" w:eastAsia="Times New Roman" w:hAnsi="Georgia" w:cs="Times New Roman"/>
          <w:color w:val="2689C6"/>
          <w:sz w:val="21"/>
          <w:szCs w:val="21"/>
        </w:rPr>
        <w:t>Note 7.9 "Example 4"</w:t>
      </w:r>
      <w:r>
        <w:rPr>
          <w:rFonts w:ascii="Georgia" w:eastAsia="Times New Roman" w:hAnsi="Georgia" w:cs="Times New Roman"/>
          <w:color w:val="333333"/>
          <w:sz w:val="21"/>
          <w:szCs w:val="21"/>
        </w:rPr>
        <w:t> the sample size is larger; there is more information pertaining to the true value of </w:t>
      </w:r>
      <w:r>
        <w:rPr>
          <w:rFonts w:ascii="Georgia" w:eastAsia="Times New Roman" w:hAnsi="Georgia" w:cs="Times New Roman"/>
          <w:i/>
          <w:iCs/>
          <w:color w:val="333333"/>
          <w:sz w:val="20"/>
          <w:szCs w:val="20"/>
        </w:rPr>
        <w:t>μ</w:t>
      </w:r>
      <w:r>
        <w:rPr>
          <w:rFonts w:ascii="Georgia" w:eastAsia="Times New Roman" w:hAnsi="Georgia" w:cs="Times New Roman"/>
          <w:color w:val="333333"/>
          <w:sz w:val="21"/>
          <w:szCs w:val="21"/>
        </w:rPr>
        <w:t> in the large data set than in the small one.</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39892F"/>
        <w:spacing w:after="150" w:line="360" w:lineRule="auto"/>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AD77BB" w:rsidRDefault="00B45BA0">
      <w:pPr>
        <w:numPr>
          <w:ilvl w:val="0"/>
          <w:numId w:val="169"/>
        </w:numPr>
        <w:shd w:val="clear" w:color="auto" w:fill="ECF9EA"/>
        <w:spacing w:after="0"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In selecting the correct formula for construction of a confidence interval for a population mean ask two questions: is the population standard deviation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known or unknown, and is the sample large or small?</w:t>
      </w:r>
    </w:p>
    <w:p w:rsidR="00AD77BB" w:rsidRDefault="00B45BA0">
      <w:pPr>
        <w:numPr>
          <w:ilvl w:val="0"/>
          <w:numId w:val="169"/>
        </w:numPr>
        <w:shd w:val="clear" w:color="auto" w:fill="ECF9EA"/>
        <w:spacing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We can construct confidence intervals with small samples only if the population is normal.</w:t>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drawing>
          <wp:inline distT="0" distB="0" distL="0" distR="0" wp14:anchorId="5FEED0A5" wp14:editId="67C727E6">
            <wp:extent cx="5438775" cy="6610350"/>
            <wp:effectExtent l="0" t="0" r="9525" b="0"/>
            <wp:docPr id="231"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38775" cy="661035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5E529A37" wp14:editId="21F30CE5">
            <wp:extent cx="5391150" cy="5638800"/>
            <wp:effectExtent l="0" t="0" r="0" b="0"/>
            <wp:docPr id="232"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391150" cy="563880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044269AA" wp14:editId="02DC4247">
            <wp:extent cx="5353050" cy="5391150"/>
            <wp:effectExtent l="0" t="0" r="0" b="0"/>
            <wp:docPr id="233"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353050" cy="539115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56E75504" wp14:editId="03B54F47">
            <wp:extent cx="5362575" cy="5848350"/>
            <wp:effectExtent l="0" t="0" r="9525" b="0"/>
            <wp:docPr id="234"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362575" cy="584835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5DAF1296" wp14:editId="2068DC63">
            <wp:extent cx="5343525" cy="6181725"/>
            <wp:effectExtent l="0" t="0" r="9525" b="9525"/>
            <wp:docPr id="235"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343525" cy="618172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71DB77E9" wp14:editId="0B941D75">
            <wp:extent cx="5410200" cy="5829300"/>
            <wp:effectExtent l="0" t="0" r="0" b="0"/>
            <wp:docPr id="236"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10200" cy="582930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4C3AD610" wp14:editId="0833055F">
            <wp:extent cx="5638800" cy="6648450"/>
            <wp:effectExtent l="0" t="0" r="0" b="0"/>
            <wp:docPr id="237"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638800" cy="664845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2861D405" wp14:editId="4C0F9ABC">
            <wp:extent cx="5800725" cy="6686550"/>
            <wp:effectExtent l="0" t="0" r="9525" b="0"/>
            <wp:docPr id="238"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800725" cy="6686550"/>
                    </a:xfrm>
                    <a:prstGeom prst="rect">
                      <a:avLst/>
                    </a:prstGeom>
                    <a:noFill/>
                    <a:ln>
                      <a:noFill/>
                    </a:ln>
                  </pic:spPr>
                </pic:pic>
              </a:graphicData>
            </a:graphic>
          </wp:inline>
        </w:drawing>
      </w:r>
    </w:p>
    <w:p w:rsidR="00AD77BB" w:rsidRDefault="00AD77BB">
      <w:pPr>
        <w:shd w:val="clear" w:color="auto" w:fill="FFFFFF"/>
        <w:spacing w:after="0" w:line="439" w:lineRule="atLeast"/>
        <w:textAlignment w:val="baseline"/>
        <w:outlineLvl w:val="1"/>
        <w:rPr>
          <w:rFonts w:ascii="Calibri" w:eastAsia="Times New Roman" w:hAnsi="Calibri" w:cs="Times New Roman"/>
          <w:b/>
          <w:bCs/>
          <w:color w:val="333333"/>
          <w:sz w:val="35"/>
          <w:szCs w:val="35"/>
        </w:rPr>
      </w:pPr>
    </w:p>
    <w:p w:rsidR="00AD77BB" w:rsidRDefault="00AD77BB">
      <w:pPr>
        <w:shd w:val="clear" w:color="auto" w:fill="FFFFFF"/>
        <w:spacing w:after="0" w:line="439" w:lineRule="atLeast"/>
        <w:textAlignment w:val="baseline"/>
        <w:outlineLvl w:val="1"/>
        <w:rPr>
          <w:rFonts w:ascii="Calibri" w:eastAsia="Times New Roman" w:hAnsi="Calibri" w:cs="Times New Roman"/>
          <w:b/>
          <w:bCs/>
          <w:color w:val="333333"/>
          <w:sz w:val="35"/>
          <w:szCs w:val="35"/>
        </w:rPr>
      </w:pPr>
    </w:p>
    <w:p w:rsidR="00AD77BB" w:rsidRDefault="00AD77BB">
      <w:pPr>
        <w:shd w:val="clear" w:color="auto" w:fill="FFFFFF"/>
        <w:spacing w:after="0" w:line="439" w:lineRule="atLeast"/>
        <w:textAlignment w:val="baseline"/>
        <w:outlineLvl w:val="1"/>
        <w:rPr>
          <w:rFonts w:ascii="Calibri" w:eastAsia="Times New Roman" w:hAnsi="Calibri" w:cs="Times New Roman"/>
          <w:b/>
          <w:bCs/>
          <w:color w:val="333333"/>
          <w:sz w:val="35"/>
          <w:szCs w:val="35"/>
        </w:rPr>
      </w:pPr>
    </w:p>
    <w:p w:rsidR="00AD77BB" w:rsidRDefault="00AD77BB">
      <w:pPr>
        <w:shd w:val="clear" w:color="auto" w:fill="FFFFFF"/>
        <w:spacing w:after="0" w:line="439" w:lineRule="atLeast"/>
        <w:textAlignment w:val="baseline"/>
        <w:outlineLvl w:val="1"/>
        <w:rPr>
          <w:rFonts w:ascii="Calibri" w:eastAsia="Times New Roman" w:hAnsi="Calibri" w:cs="Times New Roman"/>
          <w:b/>
          <w:bCs/>
          <w:color w:val="333333"/>
          <w:sz w:val="35"/>
          <w:szCs w:val="35"/>
        </w:rPr>
      </w:pPr>
    </w:p>
    <w:p w:rsidR="00AD77BB" w:rsidRDefault="00AD77BB">
      <w:pPr>
        <w:shd w:val="clear" w:color="auto" w:fill="FFFFFF"/>
        <w:spacing w:after="0" w:line="439" w:lineRule="atLeast"/>
        <w:textAlignment w:val="baseline"/>
        <w:outlineLvl w:val="1"/>
        <w:rPr>
          <w:rFonts w:ascii="Calibri" w:eastAsia="Times New Roman" w:hAnsi="Calibri" w:cs="Times New Roman"/>
          <w:b/>
          <w:bCs/>
          <w:color w:val="333333"/>
          <w:sz w:val="35"/>
          <w:szCs w:val="35"/>
        </w:rPr>
      </w:pPr>
    </w:p>
    <w:p w:rsidR="00AD77BB" w:rsidRDefault="00B45BA0">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7.3</w:t>
      </w:r>
      <w:r>
        <w:rPr>
          <w:rFonts w:ascii="Calibri" w:eastAsia="Times New Roman" w:hAnsi="Calibri" w:cs="Times New Roman"/>
          <w:b/>
          <w:bCs/>
          <w:color w:val="333333"/>
          <w:sz w:val="36"/>
          <w:szCs w:val="36"/>
        </w:rPr>
        <w:t> Large Sample Estimation of a Population Proportion</w:t>
      </w:r>
    </w:p>
    <w:p w:rsidR="00AD77BB" w:rsidRDefault="00AD77BB">
      <w:pPr>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rsidR="00AD77BB" w:rsidRDefault="00B45BA0">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w:t>
      </w:r>
    </w:p>
    <w:p w:rsidR="00AD77BB" w:rsidRDefault="00B45BA0">
      <w:pPr>
        <w:numPr>
          <w:ilvl w:val="0"/>
          <w:numId w:val="170"/>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understand how to apply the formula for a confidence interval for a population proportion.</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Since from </w:t>
      </w:r>
      <w:r>
        <w:rPr>
          <w:rFonts w:ascii="Georgia" w:eastAsia="Times New Roman" w:hAnsi="Georgia" w:cs="Times New Roman"/>
          <w:color w:val="2689C6"/>
          <w:sz w:val="21"/>
          <w:szCs w:val="21"/>
        </w:rPr>
        <w:t>Section 6.3 "The Sample Proportion"</w:t>
      </w:r>
      <w:r>
        <w:rPr>
          <w:rFonts w:ascii="Georgia" w:eastAsia="Times New Roman" w:hAnsi="Georgia" w:cs="Times New Roman"/>
          <w:color w:val="333333"/>
          <w:sz w:val="21"/>
          <w:szCs w:val="21"/>
        </w:rPr>
        <w:t> in </w:t>
      </w:r>
      <w:r>
        <w:rPr>
          <w:rFonts w:ascii="Georgia" w:eastAsia="Times New Roman" w:hAnsi="Georgia" w:cs="Times New Roman"/>
          <w:color w:val="2689C6"/>
          <w:sz w:val="21"/>
          <w:szCs w:val="21"/>
        </w:rPr>
        <w:t>Chapter 6 "Sampling Distributions"</w:t>
      </w:r>
      <w:r>
        <w:rPr>
          <w:rFonts w:ascii="Georgia" w:eastAsia="Times New Roman" w:hAnsi="Georgia" w:cs="Times New Roman"/>
          <w:color w:val="333333"/>
          <w:sz w:val="21"/>
          <w:szCs w:val="21"/>
        </w:rPr>
        <w:t> we know the mean, standard deviation, and sampling distribution of the sample proportion </w:t>
      </w:r>
      <w:r>
        <w:rPr>
          <w:rFonts w:ascii="MathJax_Math" w:eastAsia="Times New Roman" w:hAnsi="MathJax_Math" w:cs="Times New Roman"/>
          <w:i/>
          <w:iCs/>
          <w:color w:val="333333"/>
          <w:sz w:val="18"/>
          <w:szCs w:val="18"/>
        </w:rPr>
        <w:t>p</w:t>
      </w:r>
      <w:r>
        <w:rPr>
          <w:rFonts w:ascii="MathJax_Main" w:eastAsia="Times New Roman" w:hAnsi="MathJax_Main" w:cs="Times New Roman"/>
          <w:color w:val="333333"/>
          <w:sz w:val="18"/>
          <w:szCs w:val="18"/>
        </w:rPr>
        <w:t>ˆ</w:t>
      </w:r>
      <w:r>
        <w:rPr>
          <w:rFonts w:ascii="Georgia" w:eastAsia="Times New Roman" w:hAnsi="Georgia" w:cs="Times New Roman"/>
          <w:color w:val="333333"/>
          <w:sz w:val="21"/>
          <w:szCs w:val="21"/>
        </w:rPr>
        <w:t>, the ideas of the previous two sections can be applied to produce a confidence interval for a population proportion. Here is the formula.</w:t>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drawing>
          <wp:inline distT="0" distB="0" distL="0" distR="0" wp14:anchorId="0DAFECC0" wp14:editId="311A3C0C">
            <wp:extent cx="5210175" cy="4143375"/>
            <wp:effectExtent l="0" t="0" r="9525" b="9525"/>
            <wp:docPr id="239"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210175" cy="414337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567E57F9" wp14:editId="4801CD77">
            <wp:extent cx="5219700" cy="5086350"/>
            <wp:effectExtent l="0" t="0" r="0" b="0"/>
            <wp:docPr id="240"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219700" cy="5086350"/>
                    </a:xfrm>
                    <a:prstGeom prst="rect">
                      <a:avLst/>
                    </a:prstGeom>
                    <a:noFill/>
                    <a:ln>
                      <a:noFill/>
                    </a:ln>
                  </pic:spPr>
                </pic:pic>
              </a:graphicData>
            </a:graphic>
          </wp:inline>
        </w:drawing>
      </w: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KEY TAKEAWAYS</w:t>
      </w:r>
    </w:p>
    <w:p w:rsidR="00AD77BB" w:rsidRDefault="00B45BA0">
      <w:pPr>
        <w:numPr>
          <w:ilvl w:val="0"/>
          <w:numId w:val="171"/>
        </w:numPr>
        <w:shd w:val="clear" w:color="auto" w:fill="DAEEF3" w:themeFill="accent5" w:themeFillTint="33"/>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We have a single formula for a confidence interval for a population proportion, which is valid when the sample is large.</w:t>
      </w:r>
    </w:p>
    <w:p w:rsidR="00AD77BB" w:rsidRDefault="00B45BA0">
      <w:pPr>
        <w:numPr>
          <w:ilvl w:val="0"/>
          <w:numId w:val="171"/>
        </w:numPr>
        <w:shd w:val="clear" w:color="auto" w:fill="DAEEF3" w:themeFill="accent5" w:themeFillTint="33"/>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condition that a sample be large is not that its size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be at least 30, but that the density function fit inside the interval </w:t>
      </w:r>
      <w:r>
        <w:rPr>
          <w:rFonts w:ascii="MathJax_Main" w:eastAsia="Times New Roman" w:hAnsi="MathJax_Main" w:cs="Times New Roman"/>
          <w:color w:val="333333"/>
          <w:sz w:val="15"/>
          <w:szCs w:val="15"/>
        </w:rPr>
        <w:t>[0,1].</w:t>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08341830" wp14:editId="5190A7A1">
            <wp:extent cx="5210175" cy="6238875"/>
            <wp:effectExtent l="0" t="0" r="9525" b="9525"/>
            <wp:docPr id="241"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210175" cy="623887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357B9C30" wp14:editId="6223A8F7">
            <wp:extent cx="5114925" cy="6010275"/>
            <wp:effectExtent l="0" t="0" r="9525" b="9525"/>
            <wp:docPr id="242"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114925" cy="6010275"/>
                    </a:xfrm>
                    <a:prstGeom prst="rect">
                      <a:avLst/>
                    </a:prstGeom>
                    <a:noFill/>
                    <a:ln>
                      <a:noFill/>
                    </a:ln>
                  </pic:spPr>
                </pic:pic>
              </a:graphicData>
            </a:graphic>
          </wp:inline>
        </w:drawing>
      </w:r>
    </w:p>
    <w:p w:rsidR="00AD77BB" w:rsidRDefault="00B45BA0">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 point estimate of the proportion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of all people who could read words disguised in this way.</w:t>
      </w:r>
    </w:p>
    <w:p w:rsidR="00AD77BB" w:rsidRDefault="00B45BA0">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Show that the sample is not sufficiently large to construct a confidence interval for the proportion of all people who could read words disguised in this way.</w:t>
      </w:r>
    </w:p>
    <w:p w:rsidR="00AD77BB" w:rsidRDefault="00B45BA0">
      <w:pPr>
        <w:numPr>
          <w:ilvl w:val="0"/>
          <w:numId w:val="172"/>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a random sample of 900 adults, 42 defined themselves as vegetarians.</w:t>
      </w:r>
    </w:p>
    <w:p w:rsidR="00AD77BB" w:rsidRDefault="00B45BA0">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 point estimate of the proportion of all adults who would define themselves as vegetarians.</w:t>
      </w:r>
    </w:p>
    <w:p w:rsidR="00AD77BB" w:rsidRDefault="00B45BA0">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Verify that the sample is sufficiently large to use it to construct a confidence interval for that proportion.</w:t>
      </w:r>
    </w:p>
    <w:p w:rsidR="00AD77BB" w:rsidRDefault="00B45BA0">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Construct an 80% confidence interval for the proportion of all adults who would define themselves as vegetarians.</w:t>
      </w:r>
    </w:p>
    <w:p w:rsidR="00AD77BB" w:rsidRDefault="00B45BA0">
      <w:pPr>
        <w:numPr>
          <w:ilvl w:val="0"/>
          <w:numId w:val="172"/>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a random sample of 250 employed people, 61 said that they bring work home with them at least occasionally.</w:t>
      </w:r>
    </w:p>
    <w:p w:rsidR="00AD77BB" w:rsidRDefault="00B45BA0">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 point estimate of the proportion of all employed people who bring work home with them at least occasionally.</w:t>
      </w:r>
    </w:p>
    <w:p w:rsidR="00AD77BB" w:rsidRDefault="00B45BA0">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a 99% confidence interval for that proportion.</w:t>
      </w:r>
    </w:p>
    <w:p w:rsidR="00AD77BB" w:rsidRDefault="00B45BA0">
      <w:pPr>
        <w:numPr>
          <w:ilvl w:val="0"/>
          <w:numId w:val="172"/>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a random sample of 1,250 household moves, 822 were moves to a location within the same county as the original residence.</w:t>
      </w:r>
    </w:p>
    <w:p w:rsidR="00AD77BB" w:rsidRDefault="00B45BA0">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 point estimate of the proportion of all household moves that are to a location within the same county as the original residence.</w:t>
      </w:r>
    </w:p>
    <w:p w:rsidR="00AD77BB" w:rsidRDefault="00B45BA0">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a 98% confidence interval for that proportion.</w:t>
      </w:r>
    </w:p>
    <w:p w:rsidR="00AD77BB" w:rsidRDefault="00B45BA0">
      <w:pPr>
        <w:numPr>
          <w:ilvl w:val="0"/>
          <w:numId w:val="172"/>
        </w:numPr>
        <w:shd w:val="clear" w:color="auto" w:fill="DAEEF3" w:themeFill="accent5" w:themeFillTint="33"/>
        <w:spacing w:after="0" w:line="360" w:lineRule="auto"/>
        <w:ind w:left="328" w:hangingChars="164" w:hanging="328"/>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a random sample of 12,447 hip replacement or revision surgery procedures nationwide, 162 patients developed a surgical site infection.</w:t>
      </w:r>
    </w:p>
    <w:p w:rsidR="00AD77BB" w:rsidRDefault="00B45BA0">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 point estimate of the proportion of all patients undergoing a hip surgery procedure who develop a surgical site infection.</w:t>
      </w:r>
    </w:p>
    <w:p w:rsidR="00AD77BB" w:rsidRDefault="00B45BA0">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Verify that the sample is sufficiently large to use it to construct a confidence interval for that proportion.</w:t>
      </w:r>
    </w:p>
    <w:p w:rsidR="00AD77BB" w:rsidRDefault="00B45BA0">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a 95% confidence interval for the proportion of all patients undergoing a hip surgery procedure who develop a surgical site infection.</w:t>
      </w:r>
    </w:p>
    <w:p w:rsidR="00AD77BB" w:rsidRDefault="00B45BA0">
      <w:pPr>
        <w:numPr>
          <w:ilvl w:val="0"/>
          <w:numId w:val="172"/>
        </w:numPr>
        <w:shd w:val="clear" w:color="auto" w:fill="DAEEF3" w:themeFill="accent5" w:themeFillTint="33"/>
        <w:spacing w:after="0" w:line="360" w:lineRule="auto"/>
        <w:ind w:left="328" w:hangingChars="164" w:hanging="328"/>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a certain region prepackaged products labeled 500 g must contain on average at least 500 grams of the product, and at least 90% of all packages must weigh at least 490 grams. In a random sample of 300 packages, 288 weighed at least 490 grams.</w:t>
      </w:r>
    </w:p>
    <w:p w:rsidR="00AD77BB" w:rsidRDefault="00B45BA0">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 point estimate of the proportion of all packages that weigh at least 490 grams.</w:t>
      </w:r>
    </w:p>
    <w:p w:rsidR="00AD77BB" w:rsidRDefault="00B45BA0">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Verify that the sample is sufficiently large to use it to construct a confidence interval for that proportion.</w:t>
      </w:r>
    </w:p>
    <w:p w:rsidR="00AD77BB" w:rsidRDefault="00B45BA0">
      <w:pPr>
        <w:numPr>
          <w:ilvl w:val="1"/>
          <w:numId w:val="17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a 99.8% confidence interval for the proportion of all packages that weigh at least 490 grams.</w:t>
      </w:r>
    </w:p>
    <w:p w:rsidR="00AD77BB" w:rsidRDefault="00B45BA0">
      <w:pPr>
        <w:shd w:val="clear" w:color="auto" w:fill="FFFFFF" w:themeFill="background1"/>
        <w:spacing w:after="0" w:line="360" w:lineRule="auto"/>
        <w:ind w:left="144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D15E92B" wp14:editId="1C9EDD81">
            <wp:extent cx="5019675" cy="5848350"/>
            <wp:effectExtent l="0" t="0" r="9525" b="0"/>
            <wp:docPr id="243"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019675" cy="5848350"/>
                    </a:xfrm>
                    <a:prstGeom prst="rect">
                      <a:avLst/>
                    </a:prstGeom>
                    <a:noFill/>
                    <a:ln>
                      <a:noFill/>
                    </a:ln>
                  </pic:spPr>
                </pic:pic>
              </a:graphicData>
            </a:graphic>
          </wp:inline>
        </w:drawing>
      </w:r>
    </w:p>
    <w:p w:rsidR="00AD77BB" w:rsidRDefault="00B45BA0">
      <w:pPr>
        <w:numPr>
          <w:ilvl w:val="0"/>
          <w:numId w:val="17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order to estimate the proportion of entering students who graduate within six years, the administration at a state university examined the records of 600 randomly selected students who entered the university six years ago, and found that 312 had graduated.</w:t>
      </w:r>
    </w:p>
    <w:p w:rsidR="00AD77BB" w:rsidRDefault="00B45BA0">
      <w:pPr>
        <w:numPr>
          <w:ilvl w:val="1"/>
          <w:numId w:val="17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 point estimate of the six-year graduation rate, the proportion of entering students who graduate within six years.</w:t>
      </w:r>
    </w:p>
    <w:p w:rsidR="00AD77BB" w:rsidRDefault="00B45BA0">
      <w:pPr>
        <w:numPr>
          <w:ilvl w:val="1"/>
          <w:numId w:val="17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Assuming that the sample is sufficiently large, construct a 98% confidence interval for the six-year graduation rate.</w:t>
      </w:r>
    </w:p>
    <w:p w:rsidR="00AD77BB" w:rsidRDefault="00B45BA0">
      <w:pPr>
        <w:numPr>
          <w:ilvl w:val="0"/>
          <w:numId w:val="173"/>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a random sample of 2,300 mortgages taken out in a certain region last year, 187 were adjustable-rate mortgages.</w:t>
      </w:r>
    </w:p>
    <w:p w:rsidR="00AD77BB" w:rsidRDefault="00B45BA0">
      <w:pPr>
        <w:numPr>
          <w:ilvl w:val="1"/>
          <w:numId w:val="17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Give a point estimate of the proportion of all mortgages taken out in this region last year that were adjustable-rate mortgages.</w:t>
      </w:r>
    </w:p>
    <w:p w:rsidR="00AD77BB" w:rsidRDefault="00B45BA0">
      <w:pPr>
        <w:numPr>
          <w:ilvl w:val="1"/>
          <w:numId w:val="17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Assuming that the sample is sufficiently large, construct a 99.9% confidence interval for the proportion of all mortgages taken out in this region last year that were adjustable-rate mortgages.</w:t>
      </w:r>
    </w:p>
    <w:p w:rsidR="00AD77BB" w:rsidRDefault="00B45BA0">
      <w:pPr>
        <w:numPr>
          <w:ilvl w:val="0"/>
          <w:numId w:val="173"/>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a research study in cattle breeding, 159 of 273 cows in several herds that were in estrus were detected by means of an intensive once a day, one-hour observation of the herds in early morning.</w:t>
      </w:r>
    </w:p>
    <w:p w:rsidR="00AD77BB" w:rsidRDefault="00B45BA0">
      <w:pPr>
        <w:numPr>
          <w:ilvl w:val="1"/>
          <w:numId w:val="17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 point estimate of the proportion of all cattle in estrus who are detected by this method.</w:t>
      </w:r>
    </w:p>
    <w:p w:rsidR="00AD77BB" w:rsidRDefault="00B45BA0">
      <w:pPr>
        <w:numPr>
          <w:ilvl w:val="1"/>
          <w:numId w:val="17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Assuming that the sample is sufficiently large, construct a 90% confidence interval for the proportion of all cattle in estrus who are detected by this method.</w:t>
      </w:r>
    </w:p>
    <w:p w:rsidR="00AD77BB" w:rsidRDefault="00B45BA0">
      <w:pPr>
        <w:pStyle w:val="ListParagraph"/>
        <w:numPr>
          <w:ilvl w:val="0"/>
          <w:numId w:val="173"/>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A survey of 21,250 households concerning telephone service gave the results shown in the table.</w:t>
      </w:r>
    </w:p>
    <w:tbl>
      <w:tblPr>
        <w:tblW w:w="0" w:type="auto"/>
        <w:tblCellMar>
          <w:left w:w="0" w:type="dxa"/>
          <w:right w:w="0" w:type="dxa"/>
        </w:tblCellMar>
        <w:tblLook w:val="04A0" w:firstRow="1" w:lastRow="0" w:firstColumn="1" w:lastColumn="0" w:noHBand="0" w:noVBand="1"/>
      </w:tblPr>
      <w:tblGrid>
        <w:gridCol w:w="1497"/>
        <w:gridCol w:w="1071"/>
        <w:gridCol w:w="1424"/>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Landline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No Landline</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Cell phone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12,474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5,844</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 cell phone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403</w:t>
            </w:r>
          </w:p>
        </w:tc>
      </w:tr>
    </w:tbl>
    <w:p w:rsidR="00AD77BB" w:rsidRDefault="00B45BA0">
      <w:pPr>
        <w:pStyle w:val="ListParagraph"/>
        <w:numPr>
          <w:ilvl w:val="0"/>
          <w:numId w:val="174"/>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 point estimate for the proportion of all households in which there is a cell phone but no landline.</w:t>
      </w:r>
    </w:p>
    <w:p w:rsidR="00AD77BB" w:rsidRDefault="00B45BA0">
      <w:pPr>
        <w:pStyle w:val="ListParagraph"/>
        <w:numPr>
          <w:ilvl w:val="0"/>
          <w:numId w:val="174"/>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Assuming the sample is sufficiently large, construct a 99.9% confidence interval for the proportion of all households in which there is a cell phone but no landline.</w:t>
      </w:r>
    </w:p>
    <w:p w:rsidR="00AD77BB" w:rsidRDefault="00B45BA0">
      <w:pPr>
        <w:numPr>
          <w:ilvl w:val="0"/>
          <w:numId w:val="174"/>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 point estimate for the proportion of all households in which there is no telephone service of either kind.</w:t>
      </w:r>
    </w:p>
    <w:p w:rsidR="00AD77BB" w:rsidRDefault="00B45BA0">
      <w:pPr>
        <w:numPr>
          <w:ilvl w:val="0"/>
          <w:numId w:val="174"/>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Assuming the sample is sufficiently large, construct a 99.9% confidence interval for the proportion of all all households in which there is no telephone service of either kind.</w:t>
      </w:r>
    </w:p>
    <w:p w:rsidR="00AD77BB" w:rsidRDefault="00AD77BB">
      <w:pPr>
        <w:shd w:val="clear" w:color="auto" w:fill="DAEEF3" w:themeFill="accent5" w:themeFillTint="33"/>
        <w:spacing w:after="0" w:line="360" w:lineRule="auto"/>
        <w:ind w:left="1080"/>
        <w:textAlignment w:val="baseline"/>
        <w:rPr>
          <w:rFonts w:ascii="Calibri" w:eastAsia="Times New Roman" w:hAnsi="Calibri" w:cs="Times New Roman"/>
          <w:color w:val="333333"/>
          <w:sz w:val="20"/>
          <w:szCs w:val="20"/>
        </w:rPr>
      </w:pP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ADDITIONAL EXERCISES</w:t>
      </w:r>
    </w:p>
    <w:p w:rsidR="00AD77BB" w:rsidRDefault="00B45BA0">
      <w:pPr>
        <w:numPr>
          <w:ilvl w:val="0"/>
          <w:numId w:val="175"/>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a random sample of 900 adults, 42 defined themselves as vegetarians. Of these 42, 29 were women.</w:t>
      </w:r>
    </w:p>
    <w:p w:rsidR="00AD77BB" w:rsidRDefault="00B45BA0">
      <w:pPr>
        <w:numPr>
          <w:ilvl w:val="1"/>
          <w:numId w:val="17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 point estimate of the proportion of all self-described vegetarians who are women.</w:t>
      </w:r>
    </w:p>
    <w:p w:rsidR="00AD77BB" w:rsidRDefault="00B45BA0">
      <w:pPr>
        <w:numPr>
          <w:ilvl w:val="1"/>
          <w:numId w:val="17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Verify that the sample is sufficiently large to use it to construct a confidence interval for that proportion.</w:t>
      </w:r>
    </w:p>
    <w:p w:rsidR="00AD77BB" w:rsidRDefault="00B45BA0">
      <w:pPr>
        <w:numPr>
          <w:ilvl w:val="1"/>
          <w:numId w:val="17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a 90% confidence interval for the proportion of all all self-described vegetarians who are women.</w:t>
      </w:r>
    </w:p>
    <w:p w:rsidR="00AD77BB" w:rsidRDefault="00B45BA0">
      <w:pPr>
        <w:numPr>
          <w:ilvl w:val="0"/>
          <w:numId w:val="175"/>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random sample of 185 college soccer players who had suffered injuries that resulted in loss of playing time was made with the results shown in the table. Injuries are classified according to severity of the injury and the condition under which it was sustained.</w:t>
      </w:r>
    </w:p>
    <w:p w:rsidR="00AD77BB" w:rsidRDefault="00AD77BB">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p>
    <w:tbl>
      <w:tblPr>
        <w:tblW w:w="0" w:type="auto"/>
        <w:tblInd w:w="450" w:type="dxa"/>
        <w:tblCellMar>
          <w:left w:w="0" w:type="dxa"/>
          <w:right w:w="0" w:type="dxa"/>
        </w:tblCellMar>
        <w:tblLook w:val="04A0" w:firstRow="1" w:lastRow="0" w:firstColumn="1" w:lastColumn="0" w:noHBand="0" w:noVBand="1"/>
      </w:tblPr>
      <w:tblGrid>
        <w:gridCol w:w="923"/>
        <w:gridCol w:w="804"/>
        <w:gridCol w:w="1150"/>
        <w:gridCol w:w="911"/>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Minor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Moderate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Serious</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Practice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Game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r>
    </w:tbl>
    <w:p w:rsidR="00AD77BB" w:rsidRDefault="00B45BA0">
      <w:pPr>
        <w:numPr>
          <w:ilvl w:val="1"/>
          <w:numId w:val="17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 point estimate for the proportion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of all injuries to college soccer players that are sustained in practice.</w:t>
      </w:r>
    </w:p>
    <w:p w:rsidR="00AD77BB" w:rsidRDefault="00B45BA0">
      <w:pPr>
        <w:numPr>
          <w:ilvl w:val="1"/>
          <w:numId w:val="17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a 95% confidence interval for the proportion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of all injuries to college soccer players that are sustained in practice.</w:t>
      </w:r>
    </w:p>
    <w:p w:rsidR="00AD77BB" w:rsidRDefault="00B45BA0">
      <w:pPr>
        <w:numPr>
          <w:ilvl w:val="1"/>
          <w:numId w:val="17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 point estimate for the proportion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of all injuries to college soccer players that are either moderate or serious.</w:t>
      </w:r>
    </w:p>
    <w:p w:rsidR="00AD77BB" w:rsidRDefault="00B45BA0">
      <w:pPr>
        <w:pStyle w:val="ListParagraph"/>
        <w:numPr>
          <w:ilvl w:val="0"/>
          <w:numId w:val="175"/>
        </w:numPr>
        <w:shd w:val="clear" w:color="auto" w:fill="DAEEF3" w:themeFill="accent5" w:themeFillTint="33"/>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The body mass index (BMI) was measured in 1,200 randomly selected adults, with the results shown in the table.</w:t>
      </w:r>
    </w:p>
    <w:tbl>
      <w:tblPr>
        <w:tblW w:w="0" w:type="auto"/>
        <w:tblCellMar>
          <w:left w:w="0" w:type="dxa"/>
          <w:right w:w="0" w:type="dxa"/>
        </w:tblCellMar>
        <w:tblLook w:val="04A0" w:firstRow="1" w:lastRow="0" w:firstColumn="1" w:lastColumn="0" w:noHBand="0" w:noVBand="1"/>
      </w:tblPr>
      <w:tblGrid>
        <w:gridCol w:w="910"/>
        <w:gridCol w:w="1284"/>
        <w:gridCol w:w="930"/>
        <w:gridCol w:w="970"/>
      </w:tblGrid>
      <w:tr w:rsidR="00AD77BB">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BMI</w:t>
            </w:r>
          </w:p>
        </w:tc>
      </w:tr>
      <w:tr w:rsidR="00AD77BB">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Under 18.5</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18.5–25</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Over 25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Women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335</w:t>
            </w:r>
          </w:p>
        </w:tc>
      </w:tr>
    </w:tbl>
    <w:p w:rsidR="00AD77BB" w:rsidRDefault="00B45BA0">
      <w:pPr>
        <w:numPr>
          <w:ilvl w:val="0"/>
          <w:numId w:val="176"/>
        </w:numPr>
        <w:shd w:val="clear" w:color="auto" w:fill="E3EFF7"/>
        <w:spacing w:after="0" w:line="366" w:lineRule="atLeast"/>
        <w:ind w:lef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 point estimate for the proportion of all men whose BMI is over 25.</w:t>
      </w:r>
    </w:p>
    <w:p w:rsidR="00AD77BB" w:rsidRDefault="00B45BA0">
      <w:pPr>
        <w:numPr>
          <w:ilvl w:val="0"/>
          <w:numId w:val="176"/>
        </w:numPr>
        <w:shd w:val="clear" w:color="auto" w:fill="E3EFF7"/>
        <w:spacing w:after="0" w:line="366" w:lineRule="atLeast"/>
        <w:ind w:lef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Assuming the sample is sufficiently large, construct a 99% confidence interval for the proportion of all men whose BMI is over 25.</w:t>
      </w:r>
    </w:p>
    <w:p w:rsidR="00AD77BB" w:rsidRDefault="00B45BA0">
      <w:pPr>
        <w:numPr>
          <w:ilvl w:val="0"/>
          <w:numId w:val="176"/>
        </w:numPr>
        <w:shd w:val="clear" w:color="auto" w:fill="E3EFF7"/>
        <w:spacing w:after="0" w:line="366" w:lineRule="atLeast"/>
        <w:ind w:lef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 point estimate for the proportion of all adults, regardless of gender, whose BMI is over 25.</w:t>
      </w:r>
    </w:p>
    <w:p w:rsidR="00AD77BB" w:rsidRDefault="00B45BA0">
      <w:pPr>
        <w:numPr>
          <w:ilvl w:val="0"/>
          <w:numId w:val="176"/>
        </w:numPr>
        <w:shd w:val="clear" w:color="auto" w:fill="E3EFF7"/>
        <w:spacing w:after="0" w:line="366" w:lineRule="atLeast"/>
        <w:ind w:lef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Assuming the sample is sufficiently large, construct a 99% confidence interval for the proportion of all adults, regardless of gender, whose BMI is over 25.</w:t>
      </w:r>
    </w:p>
    <w:p w:rsidR="00AD77BB" w:rsidRDefault="00AD77BB">
      <w:pPr>
        <w:spacing w:after="0" w:line="360" w:lineRule="auto"/>
        <w:ind w:left="1440"/>
        <w:textAlignment w:val="baseline"/>
        <w:rPr>
          <w:rFonts w:ascii="Calibri" w:eastAsia="Times New Roman" w:hAnsi="Calibri" w:cs="Times New Roman"/>
          <w:color w:val="333333"/>
          <w:sz w:val="20"/>
          <w:szCs w:val="20"/>
        </w:rPr>
      </w:pPr>
    </w:p>
    <w:p w:rsidR="00AD77BB" w:rsidRDefault="00B45BA0">
      <w:pPr>
        <w:shd w:val="clear" w:color="auto" w:fill="FFFFFF" w:themeFill="background1"/>
        <w:spacing w:after="0" w:line="360" w:lineRule="auto"/>
        <w:ind w:left="1440"/>
        <w:jc w:val="both"/>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5A47143" wp14:editId="6099D12F">
            <wp:extent cx="5457825" cy="6553200"/>
            <wp:effectExtent l="0" t="0" r="9525" b="0"/>
            <wp:docPr id="244"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53">
                      <a:extLst>
                        <a:ext uri="{28A0092B-C50C-407E-A947-70E740481C1C}">
                          <a14:useLocalDpi xmlns:a14="http://schemas.microsoft.com/office/drawing/2010/main" val="0"/>
                        </a:ext>
                      </a:extLst>
                    </a:blip>
                    <a:srcRect t="1022"/>
                    <a:stretch>
                      <a:fillRect/>
                    </a:stretch>
                  </pic:blipFill>
                  <pic:spPr bwMode="auto">
                    <a:xfrm>
                      <a:off x="0" y="0"/>
                      <a:ext cx="5457825" cy="6553200"/>
                    </a:xfrm>
                    <a:prstGeom prst="rect">
                      <a:avLst/>
                    </a:prstGeom>
                    <a:noFill/>
                    <a:ln>
                      <a:noFill/>
                    </a:ln>
                  </pic:spPr>
                </pic:pic>
              </a:graphicData>
            </a:graphic>
          </wp:inline>
        </w:drawing>
      </w:r>
    </w:p>
    <w:p w:rsidR="00AD77BB" w:rsidRDefault="00AD77BB">
      <w:pPr>
        <w:shd w:val="clear" w:color="auto" w:fill="FFFFFF" w:themeFill="background1"/>
        <w:spacing w:after="0" w:line="360" w:lineRule="auto"/>
        <w:ind w:left="1440"/>
        <w:jc w:val="both"/>
        <w:textAlignment w:val="baseline"/>
        <w:rPr>
          <w:rFonts w:ascii="Calibri" w:eastAsia="Times New Roman" w:hAnsi="Calibri" w:cs="Times New Roman"/>
          <w:color w:val="333333"/>
          <w:sz w:val="20"/>
          <w:szCs w:val="20"/>
        </w:rPr>
      </w:pP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07FADA9C" wp14:editId="3DA140AE">
            <wp:extent cx="5676900" cy="5391150"/>
            <wp:effectExtent l="0" t="0" r="0" b="0"/>
            <wp:docPr id="245"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676900" cy="539115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6E3B1AEA" wp14:editId="6C847CB0">
            <wp:extent cx="5819775" cy="6581775"/>
            <wp:effectExtent l="0" t="0" r="9525" b="9525"/>
            <wp:docPr id="246"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819775" cy="658177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31B06B8B" wp14:editId="581A73DC">
            <wp:extent cx="5895975" cy="6296025"/>
            <wp:effectExtent l="0" t="0" r="9525" b="9525"/>
            <wp:docPr id="247"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895975" cy="6296025"/>
                    </a:xfrm>
                    <a:prstGeom prst="rect">
                      <a:avLst/>
                    </a:prstGeom>
                    <a:noFill/>
                    <a:ln>
                      <a:noFill/>
                    </a:ln>
                  </pic:spPr>
                </pic:pic>
              </a:graphicData>
            </a:graphic>
          </wp:inline>
        </w:drawing>
      </w: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B45B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7.4</w:t>
      </w:r>
      <w:r>
        <w:rPr>
          <w:rStyle w:val="apple-converted-space"/>
          <w:rFonts w:ascii="Calibri" w:hAnsi="Calibri"/>
          <w:color w:val="333333"/>
        </w:rPr>
        <w:t> </w:t>
      </w:r>
      <w:r>
        <w:rPr>
          <w:rFonts w:ascii="Calibri" w:hAnsi="Calibri"/>
          <w:color w:val="333333"/>
        </w:rPr>
        <w:t>Sample Size Considerations</w:t>
      </w:r>
    </w:p>
    <w:p w:rsidR="00AD77BB" w:rsidRDefault="00AD77BB"/>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AD77BB" w:rsidRDefault="00B45BA0">
      <w:pPr>
        <w:numPr>
          <w:ilvl w:val="0"/>
          <w:numId w:val="177"/>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To learn how to apply formulas for estimating the size sample that will be needed in order to construct a confidence interval for a population mean or proportion that meets given criteria.</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lastRenderedPageBreak/>
        <w:t>Sampling is typically done with a set of clear objectives in mind. For example, an economist might wish to estimate the mean yearly income of workers in a particular industry at 90% confidence and to within $500. Since sampling costs time, effort, and money, it would be useful to be able to estimate the smallest size sample that is likely to meet these criteria.</w:t>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09DB99E3" wp14:editId="48AB6092">
            <wp:extent cx="5305425" cy="5943600"/>
            <wp:effectExtent l="0" t="0" r="9525" b="0"/>
            <wp:docPr id="248"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305425" cy="594360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71A4A956" wp14:editId="55014273">
            <wp:extent cx="5514975" cy="6419850"/>
            <wp:effectExtent l="0" t="0" r="9525" b="0"/>
            <wp:docPr id="249"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514975" cy="641985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2C5F1982" wp14:editId="57626100">
            <wp:extent cx="5534025" cy="6067425"/>
            <wp:effectExtent l="0" t="0" r="9525" b="9525"/>
            <wp:docPr id="250"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534025" cy="606742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74300F7E" wp14:editId="72CF5473">
            <wp:extent cx="4991100" cy="2057400"/>
            <wp:effectExtent l="0" t="0" r="0" b="0"/>
            <wp:docPr id="251"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991100" cy="2057400"/>
                    </a:xfrm>
                    <a:prstGeom prst="rect">
                      <a:avLst/>
                    </a:prstGeom>
                    <a:noFill/>
                    <a:ln>
                      <a:noFill/>
                    </a:ln>
                  </pic:spPr>
                </pic:pic>
              </a:graphicData>
            </a:graphic>
          </wp:inline>
        </w:drawing>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There is a dilemma here: the formula for estimating how large a sample to take contains the number </w:t>
      </w:r>
      <w:r>
        <w:rPr>
          <w:rFonts w:ascii="MathJax_Math" w:eastAsia="Times New Roman" w:hAnsi="MathJax_Math" w:cs="Times New Roman"/>
          <w:i/>
          <w:iCs/>
          <w:color w:val="333333"/>
          <w:sz w:val="18"/>
          <w:szCs w:val="18"/>
        </w:rPr>
        <w:t>p</w:t>
      </w:r>
      <w:r>
        <w:rPr>
          <w:rFonts w:ascii="MathJax_Main" w:eastAsia="Times New Roman" w:hAnsi="MathJax_Main" w:cs="Times New Roman"/>
          <w:color w:val="333333"/>
          <w:sz w:val="18"/>
          <w:szCs w:val="18"/>
        </w:rPr>
        <w:t>ˆ</w:t>
      </w:r>
      <w:r>
        <w:rPr>
          <w:rFonts w:ascii="Georgia" w:eastAsia="Times New Roman" w:hAnsi="Georgia" w:cs="Times New Roman"/>
          <w:color w:val="333333"/>
          <w:sz w:val="21"/>
          <w:szCs w:val="21"/>
        </w:rPr>
        <w:t>, which we know only after we have taken the sample. There are two ways out of this dilemma. Typically the researcher will have some idea as to the value of the population proportion </w:t>
      </w:r>
      <w:r>
        <w:rPr>
          <w:rFonts w:ascii="Georgia" w:eastAsia="Times New Roman" w:hAnsi="Georgia" w:cs="Times New Roman"/>
          <w:i/>
          <w:iCs/>
          <w:color w:val="333333"/>
          <w:sz w:val="20"/>
          <w:szCs w:val="20"/>
        </w:rPr>
        <w:t>p</w:t>
      </w:r>
      <w:r>
        <w:rPr>
          <w:rFonts w:ascii="Georgia" w:eastAsia="Times New Roman" w:hAnsi="Georgia" w:cs="Times New Roman"/>
          <w:color w:val="333333"/>
          <w:sz w:val="21"/>
          <w:szCs w:val="21"/>
        </w:rPr>
        <w:t>, hence of what the sample proportion </w:t>
      </w:r>
      <w:r>
        <w:rPr>
          <w:rFonts w:ascii="MathJax_Math" w:eastAsia="Times New Roman" w:hAnsi="MathJax_Math" w:cs="Times New Roman"/>
          <w:i/>
          <w:iCs/>
          <w:color w:val="333333"/>
          <w:sz w:val="18"/>
          <w:szCs w:val="18"/>
        </w:rPr>
        <w:t>p</w:t>
      </w:r>
      <w:r>
        <w:rPr>
          <w:rFonts w:ascii="MathJax_Main" w:eastAsia="Times New Roman" w:hAnsi="MathJax_Main" w:cs="Times New Roman"/>
          <w:color w:val="333333"/>
          <w:sz w:val="18"/>
          <w:szCs w:val="18"/>
        </w:rPr>
        <w:t>ˆ</w:t>
      </w:r>
      <w:r>
        <w:rPr>
          <w:rFonts w:ascii="Georgia" w:eastAsia="Times New Roman" w:hAnsi="Georgia" w:cs="Times New Roman"/>
          <w:color w:val="333333"/>
          <w:sz w:val="21"/>
          <w:szCs w:val="21"/>
        </w:rPr>
        <w:t> is likely to be. For example, if last month 37% of all voters thought that state taxes are too high, then it is likely that the proportion with that opinion this month will not be dramatically different, and we would use the value 0.37 for </w:t>
      </w:r>
      <w:r>
        <w:rPr>
          <w:rFonts w:ascii="MathJax_Math" w:eastAsia="Times New Roman" w:hAnsi="MathJax_Math" w:cs="Times New Roman"/>
          <w:i/>
          <w:iCs/>
          <w:color w:val="333333"/>
          <w:sz w:val="18"/>
          <w:szCs w:val="18"/>
        </w:rPr>
        <w:t>p</w:t>
      </w:r>
      <w:r>
        <w:rPr>
          <w:rFonts w:ascii="MathJax_Main" w:eastAsia="Times New Roman" w:hAnsi="MathJax_Main" w:cs="Times New Roman"/>
          <w:color w:val="333333"/>
          <w:sz w:val="18"/>
          <w:szCs w:val="18"/>
        </w:rPr>
        <w:t>ˆ</w:t>
      </w:r>
      <w:r>
        <w:rPr>
          <w:rFonts w:ascii="Georgia" w:eastAsia="Times New Roman" w:hAnsi="Georgia" w:cs="Times New Roman"/>
          <w:color w:val="333333"/>
          <w:sz w:val="21"/>
          <w:szCs w:val="21"/>
        </w:rPr>
        <w:t> in the formula.</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second approach to resolving the dilemma is simply to replace </w:t>
      </w:r>
      <w:r>
        <w:rPr>
          <w:rFonts w:ascii="MathJax_Math" w:eastAsia="Times New Roman" w:hAnsi="MathJax_Math" w:cs="Times New Roman"/>
          <w:i/>
          <w:iCs/>
          <w:color w:val="333333"/>
          <w:sz w:val="18"/>
          <w:szCs w:val="18"/>
        </w:rPr>
        <w:t>p</w:t>
      </w:r>
      <w:r>
        <w:rPr>
          <w:rFonts w:ascii="MathJax_Main" w:eastAsia="Times New Roman" w:hAnsi="MathJax_Main" w:cs="Times New Roman"/>
          <w:color w:val="333333"/>
          <w:sz w:val="18"/>
          <w:szCs w:val="18"/>
        </w:rPr>
        <w:t>ˆ</w:t>
      </w:r>
      <w:r>
        <w:rPr>
          <w:rFonts w:ascii="Georgia" w:eastAsia="Times New Roman" w:hAnsi="Georgia" w:cs="Times New Roman"/>
          <w:color w:val="333333"/>
          <w:sz w:val="21"/>
          <w:szCs w:val="21"/>
        </w:rPr>
        <w:t> in the formula by 0.5. This is because if </w:t>
      </w:r>
      <w:r>
        <w:rPr>
          <w:rFonts w:ascii="MathJax_Math" w:eastAsia="Times New Roman" w:hAnsi="MathJax_Math" w:cs="Times New Roman"/>
          <w:i/>
          <w:iCs/>
          <w:color w:val="333333"/>
          <w:sz w:val="18"/>
          <w:szCs w:val="18"/>
        </w:rPr>
        <w:t>p</w:t>
      </w:r>
      <w:r>
        <w:rPr>
          <w:rFonts w:ascii="MathJax_Main" w:eastAsia="Times New Roman" w:hAnsi="MathJax_Main" w:cs="Times New Roman"/>
          <w:color w:val="333333"/>
          <w:sz w:val="18"/>
          <w:szCs w:val="18"/>
        </w:rPr>
        <w:t>ˆ</w:t>
      </w:r>
      <w:r>
        <w:rPr>
          <w:rFonts w:ascii="Georgia" w:eastAsia="Times New Roman" w:hAnsi="Georgia" w:cs="Times New Roman"/>
          <w:color w:val="333333"/>
          <w:sz w:val="21"/>
          <w:szCs w:val="21"/>
        </w:rPr>
        <w:t> is large then </w:t>
      </w:r>
      <w:r>
        <w:rPr>
          <w:rFonts w:ascii="MathJax_Main" w:eastAsia="Times New Roman" w:hAnsi="MathJax_Main" w:cs="Times New Roman"/>
          <w:color w:val="333333"/>
          <w:sz w:val="18"/>
          <w:szCs w:val="18"/>
        </w:rPr>
        <w:t>1−</w:t>
      </w:r>
      <w:r>
        <w:rPr>
          <w:rFonts w:ascii="MathJax_Math" w:eastAsia="Times New Roman" w:hAnsi="MathJax_Math" w:cs="Times New Roman"/>
          <w:i/>
          <w:iCs/>
          <w:color w:val="333333"/>
          <w:sz w:val="18"/>
          <w:szCs w:val="18"/>
        </w:rPr>
        <w:t>p</w:t>
      </w:r>
      <w:r>
        <w:rPr>
          <w:rFonts w:ascii="MathJax_Main" w:eastAsia="Times New Roman" w:hAnsi="MathJax_Main" w:cs="Times New Roman"/>
          <w:color w:val="333333"/>
          <w:sz w:val="18"/>
          <w:szCs w:val="18"/>
        </w:rPr>
        <w:t>ˆ</w:t>
      </w:r>
      <w:r>
        <w:rPr>
          <w:rFonts w:ascii="Georgia" w:eastAsia="Times New Roman" w:hAnsi="Georgia" w:cs="Times New Roman"/>
          <w:color w:val="333333"/>
          <w:sz w:val="21"/>
          <w:szCs w:val="21"/>
        </w:rPr>
        <w:t> is small, and vice versa, which limits their product to a maximum value of 0.25, which occurs when </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ˆ=0.5</w:t>
      </w:r>
      <w:r>
        <w:rPr>
          <w:rFonts w:ascii="MathJax_Main" w:eastAsia="Times New Roman" w:hAnsi="MathJax_Main" w:cs="Times New Roman"/>
          <w:color w:val="333333"/>
          <w:sz w:val="18"/>
          <w:szCs w:val="18"/>
        </w:rPr>
        <w:t>.</w:t>
      </w:r>
      <w:r>
        <w:rPr>
          <w:rFonts w:ascii="Georgia" w:eastAsia="Times New Roman" w:hAnsi="Georgia" w:cs="Times New Roman"/>
          <w:color w:val="333333"/>
          <w:sz w:val="21"/>
          <w:szCs w:val="21"/>
        </w:rPr>
        <w:t> This is called the </w:t>
      </w:r>
      <w:r>
        <w:rPr>
          <w:rFonts w:ascii="Georgia" w:eastAsia="Times New Roman" w:hAnsi="Georgia" w:cs="Times New Roman"/>
          <w:b/>
          <w:color w:val="333333"/>
          <w:sz w:val="20"/>
          <w:szCs w:val="20"/>
        </w:rPr>
        <w:t>most conservative estimate</w:t>
      </w:r>
      <w:r>
        <w:rPr>
          <w:rFonts w:ascii="Georgia" w:eastAsia="Times New Roman" w:hAnsi="Georgia" w:cs="Times New Roman"/>
          <w:color w:val="333333"/>
          <w:sz w:val="21"/>
          <w:szCs w:val="21"/>
        </w:rPr>
        <w:t>, since it gives the largest possible estimate of </w:t>
      </w:r>
      <w:r>
        <w:rPr>
          <w:rFonts w:ascii="Georgia" w:eastAsia="Times New Roman" w:hAnsi="Georgia" w:cs="Times New Roman"/>
          <w:i/>
          <w:iCs/>
          <w:color w:val="333333"/>
          <w:sz w:val="20"/>
          <w:szCs w:val="20"/>
        </w:rPr>
        <w:t>n</w:t>
      </w:r>
      <w:r>
        <w:rPr>
          <w:rFonts w:ascii="Georgia" w:eastAsia="Times New Roman" w:hAnsi="Georgia" w:cs="Times New Roman"/>
          <w:color w:val="333333"/>
          <w:sz w:val="21"/>
          <w:szCs w:val="21"/>
        </w:rPr>
        <w:t>.</w:t>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16E7AD66" wp14:editId="50F3F201">
            <wp:extent cx="4591050" cy="5600700"/>
            <wp:effectExtent l="0" t="0" r="0" b="0"/>
            <wp:docPr id="252"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591050" cy="5600700"/>
                    </a:xfrm>
                    <a:prstGeom prst="rect">
                      <a:avLst/>
                    </a:prstGeom>
                    <a:noFill/>
                    <a:ln>
                      <a:noFill/>
                    </a:ln>
                  </pic:spPr>
                </pic:pic>
              </a:graphicData>
            </a:graphic>
          </wp:inline>
        </w:drawing>
      </w: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3997E2EF" wp14:editId="12E9CB1C">
            <wp:extent cx="4876800" cy="4638675"/>
            <wp:effectExtent l="0" t="0" r="0" b="9525"/>
            <wp:docPr id="253"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876800" cy="4638675"/>
                    </a:xfrm>
                    <a:prstGeom prst="rect">
                      <a:avLst/>
                    </a:prstGeom>
                    <a:noFill/>
                    <a:ln>
                      <a:noFill/>
                    </a:ln>
                  </pic:spPr>
                </pic:pic>
              </a:graphicData>
            </a:graphic>
          </wp:inline>
        </w:drawing>
      </w: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KEY TAKEAWAYS</w:t>
      </w:r>
    </w:p>
    <w:p w:rsidR="00AD77BB" w:rsidRDefault="00B45BA0">
      <w:pPr>
        <w:numPr>
          <w:ilvl w:val="0"/>
          <w:numId w:val="178"/>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 the population standard deviation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is known or can be estimated, then the minimum sample size needed to obtain a confidence interval for the population mean with a given maximum error of the estimate and a given level of confidence can be estimated.</w:t>
      </w:r>
    </w:p>
    <w:p w:rsidR="00AD77BB" w:rsidRDefault="00B45BA0">
      <w:pPr>
        <w:numPr>
          <w:ilvl w:val="0"/>
          <w:numId w:val="178"/>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minimum sample size needed to obtain a confidence interval for a population proportion with a given maximum error of the estimate and a given level of confidence can always be estimated. If there is prior knowledge of the population proportion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then the estimate can be sharpened.</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EXERCISES</w:t>
      </w:r>
    </w:p>
    <w:p w:rsidR="00AD77BB" w:rsidRDefault="00B45BA0">
      <w:pPr>
        <w:shd w:val="clear" w:color="auto" w:fill="DAEEF3" w:themeFill="accent5" w:themeFillTint="33"/>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BASIC</w:t>
      </w:r>
    </w:p>
    <w:p w:rsidR="00AD77BB" w:rsidRDefault="00B45BA0">
      <w:pPr>
        <w:numPr>
          <w:ilvl w:val="0"/>
          <w:numId w:val="179"/>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Estimate the minimum sample size needed to form a confidence interval for the mean of a population having the standard deviation shown, meeting the criteria given.</w:t>
      </w:r>
    </w:p>
    <w:p w:rsidR="00AD77BB" w:rsidRDefault="00B45BA0">
      <w:pPr>
        <w:numPr>
          <w:ilvl w:val="1"/>
          <w:numId w:val="17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 30, 95% confidence,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 10</w:t>
      </w:r>
    </w:p>
    <w:p w:rsidR="00AD77BB" w:rsidRDefault="00B45BA0">
      <w:pPr>
        <w:pStyle w:val="ListParagraph"/>
        <w:numPr>
          <w:ilvl w:val="1"/>
          <w:numId w:val="17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 xml:space="preserve"> σ</w:t>
      </w:r>
      <w:r>
        <w:rPr>
          <w:rFonts w:ascii="Calibri" w:eastAsia="Times New Roman" w:hAnsi="Calibri" w:cs="Times New Roman"/>
          <w:color w:val="333333"/>
          <w:sz w:val="20"/>
          <w:szCs w:val="20"/>
        </w:rPr>
        <w:t> = 30, 99% confidence,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 10</w:t>
      </w:r>
    </w:p>
    <w:p w:rsidR="00AD77BB" w:rsidRDefault="00B45BA0">
      <w:pPr>
        <w:numPr>
          <w:ilvl w:val="1"/>
          <w:numId w:val="17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 30, 95% confidence,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 5</w:t>
      </w:r>
    </w:p>
    <w:p w:rsidR="00AD77BB" w:rsidRDefault="00B45BA0">
      <w:pPr>
        <w:numPr>
          <w:ilvl w:val="0"/>
          <w:numId w:val="179"/>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Estimate the minimum sample size needed to form a confidence interval for the mean of a population having the standard deviation shown, meeting the criteria given.</w:t>
      </w:r>
    </w:p>
    <w:p w:rsidR="00AD77BB" w:rsidRDefault="00B45BA0">
      <w:pPr>
        <w:numPr>
          <w:ilvl w:val="1"/>
          <w:numId w:val="17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 4, 95% confidence,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 1</w:t>
      </w:r>
    </w:p>
    <w:p w:rsidR="00AD77BB" w:rsidRDefault="00B45BA0">
      <w:pPr>
        <w:numPr>
          <w:ilvl w:val="1"/>
          <w:numId w:val="17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 4, 99% confidence,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 1</w:t>
      </w:r>
    </w:p>
    <w:p w:rsidR="00AD77BB" w:rsidRDefault="00B45BA0">
      <w:pPr>
        <w:numPr>
          <w:ilvl w:val="1"/>
          <w:numId w:val="17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 4, 95% confidence,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 0.5</w:t>
      </w:r>
    </w:p>
    <w:p w:rsidR="00AD77BB" w:rsidRDefault="00B45BA0">
      <w:pPr>
        <w:numPr>
          <w:ilvl w:val="0"/>
          <w:numId w:val="179"/>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Estimate the minimum sample size needed to form a confidence interval for the proportion of a population that has a particular characteristic, meeting the criteria given.</w:t>
      </w:r>
    </w:p>
    <w:p w:rsidR="00AD77BB" w:rsidRDefault="00B45BA0">
      <w:pPr>
        <w:numPr>
          <w:ilvl w:val="1"/>
          <w:numId w:val="17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 0.37, 80% confidence,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 0.05</w:t>
      </w:r>
    </w:p>
    <w:p w:rsidR="00AD77BB" w:rsidRDefault="00B45BA0">
      <w:pPr>
        <w:numPr>
          <w:ilvl w:val="1"/>
          <w:numId w:val="17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 0.37, 90% confidence,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 0.05</w:t>
      </w:r>
    </w:p>
    <w:p w:rsidR="00AD77BB" w:rsidRDefault="00B45BA0">
      <w:pPr>
        <w:numPr>
          <w:ilvl w:val="1"/>
          <w:numId w:val="17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 0.37, 80% confidence,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 0.01</w:t>
      </w:r>
    </w:p>
    <w:p w:rsidR="00AD77BB" w:rsidRDefault="00B45BA0">
      <w:pPr>
        <w:numPr>
          <w:ilvl w:val="0"/>
          <w:numId w:val="17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Estimate the minimum sample size needed to form a confidence interval for the proportion of a population that has a particular characteristic, meeting the criteria given.</w:t>
      </w:r>
    </w:p>
    <w:p w:rsidR="00AD77BB" w:rsidRDefault="00B45BA0">
      <w:pPr>
        <w:numPr>
          <w:ilvl w:val="1"/>
          <w:numId w:val="17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 0.81, 95% confidence,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 0.02</w:t>
      </w:r>
    </w:p>
    <w:p w:rsidR="00AD77BB" w:rsidRDefault="00B45BA0">
      <w:pPr>
        <w:numPr>
          <w:ilvl w:val="1"/>
          <w:numId w:val="17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 0.81, 99% confidence,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 0.02</w:t>
      </w:r>
    </w:p>
    <w:p w:rsidR="00AD77BB" w:rsidRDefault="00B45BA0">
      <w:pPr>
        <w:numPr>
          <w:ilvl w:val="1"/>
          <w:numId w:val="17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 ≈ 0.81, 95% confidence,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 0.01</w:t>
      </w:r>
    </w:p>
    <w:p w:rsidR="00AD77BB" w:rsidRDefault="00B45BA0">
      <w:pPr>
        <w:numPr>
          <w:ilvl w:val="0"/>
          <w:numId w:val="17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Estimate the minimum sample size needed to form a confidence interval for the proportion of a population that has a particular characteristic, meeting the criteria given.</w:t>
      </w:r>
    </w:p>
    <w:p w:rsidR="00AD77BB" w:rsidRDefault="00B45BA0">
      <w:pPr>
        <w:numPr>
          <w:ilvl w:val="1"/>
          <w:numId w:val="17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80% confidence,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 0.05</w:t>
      </w:r>
    </w:p>
    <w:p w:rsidR="00AD77BB" w:rsidRDefault="00B45BA0">
      <w:pPr>
        <w:numPr>
          <w:ilvl w:val="1"/>
          <w:numId w:val="17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90% confidence,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 0.05</w:t>
      </w:r>
    </w:p>
    <w:p w:rsidR="00AD77BB" w:rsidRDefault="00B45BA0">
      <w:pPr>
        <w:numPr>
          <w:ilvl w:val="1"/>
          <w:numId w:val="17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80% confidence,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 0.01</w:t>
      </w:r>
    </w:p>
    <w:p w:rsidR="00AD77BB" w:rsidRDefault="00B45BA0">
      <w:pPr>
        <w:numPr>
          <w:ilvl w:val="0"/>
          <w:numId w:val="17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Estimate the minimum sample size needed to form a confidence interval for the proportion of a population that has a particular characteristic, meeting the criteria given.</w:t>
      </w:r>
    </w:p>
    <w:p w:rsidR="00AD77BB" w:rsidRDefault="00B45BA0">
      <w:pPr>
        <w:numPr>
          <w:ilvl w:val="1"/>
          <w:numId w:val="17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95% confidence,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 0.02</w:t>
      </w:r>
    </w:p>
    <w:p w:rsidR="00AD77BB" w:rsidRDefault="00B45BA0">
      <w:pPr>
        <w:numPr>
          <w:ilvl w:val="1"/>
          <w:numId w:val="17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99% confidence,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 0.02</w:t>
      </w:r>
    </w:p>
    <w:p w:rsidR="00AD77BB" w:rsidRDefault="00B45BA0">
      <w:pPr>
        <w:numPr>
          <w:ilvl w:val="1"/>
          <w:numId w:val="17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95% confidence,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 0.01</w:t>
      </w:r>
    </w:p>
    <w:p w:rsidR="00AD77BB" w:rsidRDefault="00AD77BB">
      <w:pPr>
        <w:spacing w:after="0" w:line="360" w:lineRule="auto"/>
        <w:ind w:left="1440"/>
        <w:textAlignment w:val="baseline"/>
        <w:rPr>
          <w:rFonts w:ascii="Calibri" w:eastAsia="Times New Roman" w:hAnsi="Calibri" w:cs="Times New Roman"/>
          <w:color w:val="333333"/>
          <w:sz w:val="20"/>
          <w:szCs w:val="20"/>
        </w:rPr>
      </w:pP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APPLICATIONS</w:t>
      </w:r>
    </w:p>
    <w:p w:rsidR="00AD77BB" w:rsidRDefault="00B45BA0">
      <w:pPr>
        <w:numPr>
          <w:ilvl w:val="0"/>
          <w:numId w:val="180"/>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software engineer wishes to estimate, to within 5 seconds, the mean time that a new application takes to start up, with 95% confidence. Estimate the minimum size sample required if the standard deviation of start up times for similar software is 12 seconds.</w:t>
      </w:r>
    </w:p>
    <w:p w:rsidR="00AD77BB" w:rsidRDefault="00B45BA0">
      <w:pPr>
        <w:numPr>
          <w:ilvl w:val="0"/>
          <w:numId w:val="180"/>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A real estate agent wishes to estimate, to within $2.50, the mean retail cost per square foot of newly built homes, with 80% confidence. He estimates the standard deviation of such costs at $5.00. Estimate the minimum size sample required.</w:t>
      </w:r>
    </w:p>
    <w:p w:rsidR="00AD77BB" w:rsidRDefault="00B45BA0">
      <w:pPr>
        <w:numPr>
          <w:ilvl w:val="0"/>
          <w:numId w:val="180"/>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economist wishes to estimate, to within 2 minutes, the mean time that employed persons spend commuting each day, with 95% confidence. On the assumption that the standard deviation of commuting times is 8 minutes, estimate the minimum size sample required.</w:t>
      </w:r>
    </w:p>
    <w:p w:rsidR="00AD77BB" w:rsidRDefault="00B45BA0">
      <w:pPr>
        <w:numPr>
          <w:ilvl w:val="0"/>
          <w:numId w:val="180"/>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motor club wishes to estimate, to within 1 cent, the mean price of 1 gallon of regular gasoline in a certain region, with 98% confidence. Historically the variability of prices is measured by </w:t>
      </w:r>
      <w:r>
        <w:rPr>
          <w:rFonts w:ascii="MathJax_Math" w:eastAsia="Times New Roman" w:hAnsi="MathJax_Math" w:cs="Times New Roman"/>
          <w:i/>
          <w:iCs/>
          <w:color w:val="333333"/>
          <w:sz w:val="15"/>
          <w:szCs w:val="15"/>
        </w:rPr>
        <w:t>σ</w:t>
      </w:r>
      <w:r>
        <w:rPr>
          <w:rFonts w:ascii="MathJax_Main" w:eastAsia="Times New Roman" w:hAnsi="MathJax_Main" w:cs="Times New Roman"/>
          <w:color w:val="333333"/>
          <w:sz w:val="15"/>
          <w:szCs w:val="15"/>
        </w:rPr>
        <w:t>=$0.03.</w:t>
      </w:r>
      <w:r>
        <w:rPr>
          <w:rFonts w:ascii="Calibri" w:eastAsia="Times New Roman" w:hAnsi="Calibri" w:cs="Times New Roman"/>
          <w:color w:val="333333"/>
          <w:sz w:val="20"/>
          <w:szCs w:val="20"/>
        </w:rPr>
        <w:t> Estimate the minimum size sample required.</w:t>
      </w:r>
    </w:p>
    <w:p w:rsidR="00AD77BB" w:rsidRDefault="00B45BA0">
      <w:pPr>
        <w:numPr>
          <w:ilvl w:val="0"/>
          <w:numId w:val="180"/>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bank wishes to estimate, to within $25, the mean average monthly balance in its checking accounts, with 99.8% confidence. Assuming </w:t>
      </w:r>
      <w:r>
        <w:rPr>
          <w:rFonts w:ascii="MathJax_Math" w:eastAsia="Times New Roman" w:hAnsi="MathJax_Math" w:cs="Times New Roman"/>
          <w:i/>
          <w:iCs/>
          <w:color w:val="333333"/>
          <w:sz w:val="15"/>
          <w:szCs w:val="15"/>
        </w:rPr>
        <w:t>σ</w:t>
      </w:r>
      <w:r>
        <w:rPr>
          <w:rFonts w:ascii="MathJax_Main" w:eastAsia="Times New Roman" w:hAnsi="MathJax_Main" w:cs="Times New Roman"/>
          <w:color w:val="333333"/>
          <w:sz w:val="15"/>
          <w:szCs w:val="15"/>
        </w:rPr>
        <w:t>=$250</w:t>
      </w:r>
      <w:r>
        <w:rPr>
          <w:rFonts w:ascii="Calibri" w:eastAsia="Times New Roman" w:hAnsi="Calibri" w:cs="Times New Roman"/>
          <w:color w:val="333333"/>
          <w:sz w:val="20"/>
          <w:szCs w:val="20"/>
        </w:rPr>
        <w:t>, estimate the minimum size sample required.</w:t>
      </w:r>
    </w:p>
    <w:p w:rsidR="00AD77BB" w:rsidRDefault="00B45BA0">
      <w:pPr>
        <w:numPr>
          <w:ilvl w:val="0"/>
          <w:numId w:val="180"/>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retailer wishes to estimate, to within 15 seconds, the mean duration of telephone orders taken at its call center, with 99.5% confidence. In the past the standard deviation of call length has been about 1.25 minutes. Estimate the minimum size sample required. (Be careful to express all the information in the same units.)</w:t>
      </w:r>
    </w:p>
    <w:p w:rsidR="00AD77BB" w:rsidRDefault="00B45BA0">
      <w:pPr>
        <w:numPr>
          <w:ilvl w:val="0"/>
          <w:numId w:val="180"/>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administration at a college wishes to estimate, to within two percentage points, the proportion of all its entering freshmen who graduate within four years, with 90% confidence. Estimate the minimum size sample required.</w:t>
      </w:r>
    </w:p>
    <w:p w:rsidR="00AD77BB" w:rsidRDefault="00B45BA0">
      <w:pPr>
        <w:numPr>
          <w:ilvl w:val="0"/>
          <w:numId w:val="180"/>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chain of automotive repair stores wishes to estimate, to within five percentage points, the proportion of all passenger vehicles in operation that are at least five years old, with 98% confidence. Estimate the minimum size sample required.</w:t>
      </w:r>
    </w:p>
    <w:p w:rsidR="00AD77BB" w:rsidRDefault="00B45BA0">
      <w:pPr>
        <w:numPr>
          <w:ilvl w:val="0"/>
          <w:numId w:val="180"/>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internet service provider wishes to estimate, to within one percentage point, the current proportion of all email that is spam, with 99.9% confidence. Last year the proportion that was spam was 71%. Estimate the minimum size sample required.</w:t>
      </w:r>
    </w:p>
    <w:p w:rsidR="00AD77BB" w:rsidRDefault="00B45BA0">
      <w:pPr>
        <w:numPr>
          <w:ilvl w:val="0"/>
          <w:numId w:val="180"/>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agronomist wishes to estimate, to within one percentage point, the proportion of a new variety of seed that will germinate when planted, with 95% confidence. A typical germination rate is 97%. Estimate the minimum size sample required.</w:t>
      </w:r>
    </w:p>
    <w:p w:rsidR="00AD77BB" w:rsidRDefault="00B45BA0">
      <w:pPr>
        <w:numPr>
          <w:ilvl w:val="0"/>
          <w:numId w:val="180"/>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charitable organization wishes to estimate, to within half a percentage point, the proportion of all telephone solicitations to its donors that result in a gift, with 90% confidence. Estimate the minimum sample size required, using the information that in the past the response rate has been about 30%.</w:t>
      </w:r>
    </w:p>
    <w:p w:rsidR="00AD77BB" w:rsidRDefault="00B45BA0">
      <w:pPr>
        <w:numPr>
          <w:ilvl w:val="0"/>
          <w:numId w:val="180"/>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A government agency wishes to estimate the proportion of drivers aged 16–24 who have been involved in a traffic accident in the last year. It wishes to make the estimate to within one percentage point and at 90% confidence. Find the minimum sample size required, using the information that several years ago the proportion was 0.12.</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ADDITIONAL EXERCISES</w:t>
      </w:r>
    </w:p>
    <w:p w:rsidR="00AD77BB" w:rsidRDefault="00B45BA0">
      <w:pPr>
        <w:numPr>
          <w:ilvl w:val="0"/>
          <w:numId w:val="18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economist wishes to estimate, to within six months, the mean time between sales of existing homes, with 95% confidence. Estimate the minimum size sample required. In his experience virtually all houses are re-sold within 40 months, so using the Empirical Rule he will estimate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by one-sixth the range, or </w:t>
      </w:r>
      <w:r>
        <w:rPr>
          <w:rFonts w:ascii="MathJax_Main" w:eastAsia="Times New Roman" w:hAnsi="MathJax_Main" w:cs="Times New Roman"/>
          <w:b/>
          <w:color w:val="333333"/>
          <w:sz w:val="15"/>
          <w:szCs w:val="15"/>
        </w:rPr>
        <w:t>40/6=6.7.</w:t>
      </w:r>
    </w:p>
    <w:p w:rsidR="00AD77BB" w:rsidRDefault="00B45BA0">
      <w:pPr>
        <w:numPr>
          <w:ilvl w:val="0"/>
          <w:numId w:val="18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wildlife manager wishes to estimate the mean length of fish in a large lake, to within one inch, with 80% confidence. Estimate the minimum size sample required. In his experience virtually no fish caught in the lake is over 23 inches long, so using the Empirical Rule he will estimate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by one-sixth the range, or </w:t>
      </w:r>
      <w:r>
        <w:rPr>
          <w:rFonts w:ascii="MathJax_Main" w:eastAsia="Times New Roman" w:hAnsi="MathJax_Main" w:cs="Times New Roman"/>
          <w:b/>
          <w:color w:val="333333"/>
          <w:sz w:val="15"/>
          <w:szCs w:val="15"/>
        </w:rPr>
        <w:t>23/6=3.8.</w:t>
      </w:r>
    </w:p>
    <w:p w:rsidR="00AD77BB" w:rsidRDefault="00B45BA0">
      <w:pPr>
        <w:numPr>
          <w:ilvl w:val="0"/>
          <w:numId w:val="18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 wish to estimate the current mean birth weight of all newborns in a certain region, to within 1 ounce (1/16 pound) and with 95% confidence. A sample will cost $400 plus $1.50 for every newborn weighed. You believe the standard deviations of weight to be no more than 1.25 pounds. You have $2,500 to spend on the study.</w:t>
      </w:r>
    </w:p>
    <w:p w:rsidR="00AD77BB" w:rsidRDefault="00B45BA0">
      <w:pPr>
        <w:numPr>
          <w:ilvl w:val="1"/>
          <w:numId w:val="18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Can you afford the sample required?</w:t>
      </w:r>
    </w:p>
    <w:p w:rsidR="00AD77BB" w:rsidRDefault="00B45BA0">
      <w:pPr>
        <w:numPr>
          <w:ilvl w:val="1"/>
          <w:numId w:val="18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 not, what are your options?</w:t>
      </w:r>
    </w:p>
    <w:p w:rsidR="00AD77BB" w:rsidRDefault="00B45BA0">
      <w:pPr>
        <w:numPr>
          <w:ilvl w:val="0"/>
          <w:numId w:val="181"/>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 wish to estimate a population proportion to within three percentage points, at 95% confidence. A sample will cost $500 plus 50 cents for every sample element measured. You have $1,000 to spend on the study.</w:t>
      </w:r>
    </w:p>
    <w:p w:rsidR="00AD77BB" w:rsidRDefault="00B45BA0">
      <w:pPr>
        <w:numPr>
          <w:ilvl w:val="1"/>
          <w:numId w:val="18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Can you afford the sample required?</w:t>
      </w:r>
    </w:p>
    <w:p w:rsidR="00AD77BB" w:rsidRDefault="00B45BA0">
      <w:pPr>
        <w:numPr>
          <w:ilvl w:val="1"/>
          <w:numId w:val="18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 not, what are your options?</w:t>
      </w:r>
    </w:p>
    <w:p w:rsidR="00AD77BB" w:rsidRDefault="00B45BA0">
      <w:pPr>
        <w:shd w:val="clear" w:color="auto" w:fill="FFFFFF" w:themeFill="background1"/>
        <w:spacing w:after="0" w:line="360" w:lineRule="auto"/>
        <w:ind w:left="72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2E21B44F" wp14:editId="5E0F0AF2">
            <wp:extent cx="5076825" cy="6162675"/>
            <wp:effectExtent l="0" t="0" r="9525" b="9525"/>
            <wp:docPr id="254"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076825" cy="6162675"/>
                    </a:xfrm>
                    <a:prstGeom prst="rect">
                      <a:avLst/>
                    </a:prstGeom>
                    <a:noFill/>
                    <a:ln>
                      <a:noFill/>
                    </a:ln>
                  </pic:spPr>
                </pic:pic>
              </a:graphicData>
            </a:graphic>
          </wp:inline>
        </w:drawing>
      </w: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B45BA0">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8</w:t>
      </w:r>
    </w:p>
    <w:p w:rsidR="00AD77BB" w:rsidRDefault="00B45BA0">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Testing Hypotheses</w:t>
      </w:r>
    </w:p>
    <w:p w:rsidR="00AD77BB" w:rsidRDefault="00AD77BB"/>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 manufacturer of emergency equipment asserts that a respirator that it makes delivers pure air for 75 minutes on average. A government regulatory agency is charged with testing such claims, in this case to verify that the average time is not less than 75 minutes. To do so it would select a random sample of respirators, compute the mean time that they deliver pure air, and compare that mean to the asserted time 75 minutes.</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 the sampling that we have studied so far the goal has been to estimate a population parameter. But the sampling done by the government agency has a somewhat different objective, not so much to</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estimate</w:t>
      </w:r>
      <w:r>
        <w:rPr>
          <w:rStyle w:val="apple-converted-space"/>
          <w:rFonts w:ascii="Georgia" w:hAnsi="Georgia"/>
          <w:color w:val="333333"/>
          <w:sz w:val="21"/>
          <w:szCs w:val="21"/>
        </w:rPr>
        <w:t> </w:t>
      </w:r>
      <w:r>
        <w:rPr>
          <w:rFonts w:ascii="Georgia" w:hAnsi="Georgia"/>
          <w:color w:val="333333"/>
          <w:sz w:val="21"/>
          <w:szCs w:val="21"/>
        </w:rPr>
        <w:t>the population mean</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μ</w:t>
      </w:r>
      <w:r>
        <w:rPr>
          <w:rStyle w:val="apple-converted-space"/>
          <w:rFonts w:ascii="Georgia" w:hAnsi="Georgia"/>
          <w:color w:val="333333"/>
          <w:sz w:val="21"/>
          <w:szCs w:val="21"/>
        </w:rPr>
        <w:t> </w:t>
      </w:r>
      <w:r>
        <w:rPr>
          <w:rFonts w:ascii="Georgia" w:hAnsi="Georgia"/>
          <w:color w:val="333333"/>
          <w:sz w:val="21"/>
          <w:szCs w:val="21"/>
        </w:rPr>
        <w:t>as to</w:t>
      </w:r>
      <w:r>
        <w:rPr>
          <w:rStyle w:val="Emphasis"/>
          <w:rFonts w:ascii="Georgia" w:eastAsiaTheme="majorEastAsia" w:hAnsi="Georgia"/>
          <w:color w:val="333333"/>
          <w:sz w:val="20"/>
          <w:szCs w:val="20"/>
        </w:rPr>
        <w:t>test</w:t>
      </w:r>
      <w:r>
        <w:rPr>
          <w:rStyle w:val="apple-converted-space"/>
          <w:rFonts w:ascii="Georgia" w:hAnsi="Georgia"/>
          <w:color w:val="333333"/>
          <w:sz w:val="21"/>
          <w:szCs w:val="21"/>
        </w:rPr>
        <w:t> </w:t>
      </w:r>
      <w:r>
        <w:rPr>
          <w:rFonts w:ascii="Georgia" w:hAnsi="Georgia"/>
          <w:color w:val="333333"/>
          <w:sz w:val="21"/>
          <w:szCs w:val="21"/>
        </w:rPr>
        <w:t>an assertion—or a</w:t>
      </w:r>
      <w:r>
        <w:rPr>
          <w:rStyle w:val="apple-converted-space"/>
          <w:rFonts w:ascii="Georgia" w:hAnsi="Georgia"/>
          <w:color w:val="333333"/>
          <w:sz w:val="21"/>
          <w:szCs w:val="21"/>
        </w:rPr>
        <w:t> </w:t>
      </w:r>
      <w:r>
        <w:rPr>
          <w:rStyle w:val="marginterm"/>
          <w:rFonts w:ascii="Georgia" w:hAnsi="Georgia"/>
          <w:color w:val="333333"/>
          <w:sz w:val="20"/>
          <w:szCs w:val="20"/>
        </w:rPr>
        <w:t>hypothesis</w:t>
      </w:r>
      <w:r>
        <w:rPr>
          <w:rFonts w:ascii="Georgia" w:hAnsi="Georgia"/>
          <w:color w:val="333333"/>
          <w:sz w:val="21"/>
          <w:szCs w:val="21"/>
        </w:rPr>
        <w:t>—about it, namely, whether it is as large as 75 or not. The agency is not necessarily interested in the actual value of</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μ</w:t>
      </w:r>
      <w:r>
        <w:rPr>
          <w:rFonts w:ascii="Georgia" w:hAnsi="Georgia"/>
          <w:color w:val="333333"/>
          <w:sz w:val="21"/>
          <w:szCs w:val="21"/>
        </w:rPr>
        <w:t>, just whether it is as claimed. Their sampling is done to perform a test of hypotheses, the subject of this chapter.</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8.1</w:t>
      </w:r>
      <w:r>
        <w:rPr>
          <w:rStyle w:val="apple-converted-space"/>
          <w:rFonts w:ascii="Calibri" w:hAnsi="Calibri"/>
          <w:color w:val="333333"/>
        </w:rPr>
        <w:t> </w:t>
      </w:r>
      <w:r>
        <w:rPr>
          <w:rFonts w:ascii="Calibri" w:hAnsi="Calibri"/>
          <w:color w:val="333333"/>
        </w:rPr>
        <w:t>The Elements of Hypothesis Testing</w:t>
      </w:r>
    </w:p>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AD77BB" w:rsidRDefault="00B45BA0">
      <w:pPr>
        <w:numPr>
          <w:ilvl w:val="0"/>
          <w:numId w:val="182"/>
        </w:numPr>
        <w:shd w:val="clear" w:color="auto" w:fill="EAE9DC"/>
        <w:spacing w:after="0" w:line="360" w:lineRule="auto"/>
        <w:ind w:left="360" w:right="375"/>
        <w:textAlignment w:val="baseline"/>
        <w:rPr>
          <w:rFonts w:ascii="Calibri" w:hAnsi="Calibri"/>
          <w:color w:val="333333"/>
          <w:sz w:val="20"/>
          <w:szCs w:val="20"/>
        </w:rPr>
      </w:pPr>
      <w:r>
        <w:rPr>
          <w:rFonts w:ascii="Calibri" w:hAnsi="Calibri"/>
          <w:color w:val="333333"/>
          <w:sz w:val="20"/>
          <w:szCs w:val="20"/>
        </w:rPr>
        <w:t>To understand the logical framework of tests of hypotheses.</w:t>
      </w:r>
    </w:p>
    <w:p w:rsidR="00AD77BB" w:rsidRDefault="00B45BA0">
      <w:pPr>
        <w:numPr>
          <w:ilvl w:val="0"/>
          <w:numId w:val="182"/>
        </w:numPr>
        <w:shd w:val="clear" w:color="auto" w:fill="EAE9DC"/>
        <w:spacing w:after="0" w:line="360" w:lineRule="auto"/>
        <w:ind w:left="360" w:right="375"/>
        <w:textAlignment w:val="baseline"/>
        <w:rPr>
          <w:rFonts w:ascii="Calibri" w:hAnsi="Calibri"/>
          <w:color w:val="333333"/>
          <w:sz w:val="20"/>
          <w:szCs w:val="20"/>
        </w:rPr>
      </w:pPr>
      <w:r>
        <w:rPr>
          <w:rFonts w:ascii="Calibri" w:hAnsi="Calibri"/>
          <w:color w:val="333333"/>
          <w:sz w:val="20"/>
          <w:szCs w:val="20"/>
        </w:rPr>
        <w:t>To learn basic terminology connected with hypothesis testing.</w:t>
      </w:r>
    </w:p>
    <w:p w:rsidR="00AD77BB" w:rsidRDefault="00B45BA0">
      <w:pPr>
        <w:numPr>
          <w:ilvl w:val="0"/>
          <w:numId w:val="182"/>
        </w:numPr>
        <w:shd w:val="clear" w:color="auto" w:fill="EAE9DC"/>
        <w:spacing w:after="0" w:line="360" w:lineRule="auto"/>
        <w:ind w:left="360" w:right="375"/>
        <w:textAlignment w:val="baseline"/>
        <w:rPr>
          <w:rFonts w:ascii="Calibri" w:hAnsi="Calibri"/>
          <w:color w:val="333333"/>
          <w:sz w:val="20"/>
          <w:szCs w:val="20"/>
        </w:rPr>
      </w:pPr>
      <w:r>
        <w:rPr>
          <w:rFonts w:ascii="Calibri" w:hAnsi="Calibri"/>
          <w:color w:val="333333"/>
          <w:sz w:val="20"/>
          <w:szCs w:val="20"/>
        </w:rPr>
        <w:t>To learn fundamental facts about hypothesis testing.</w:t>
      </w:r>
    </w:p>
    <w:p w:rsidR="00AD77BB" w:rsidRDefault="00AD77BB">
      <w:pPr>
        <w:pStyle w:val="Heading2"/>
        <w:shd w:val="clear" w:color="auto" w:fill="FFFFFF"/>
        <w:spacing w:before="0" w:line="360" w:lineRule="auto"/>
        <w:textAlignment w:val="baseline"/>
        <w:rPr>
          <w:rFonts w:ascii="Calibri" w:hAnsi="Calibri"/>
          <w:color w:val="333333"/>
          <w:sz w:val="28"/>
          <w:szCs w:val="28"/>
        </w:rPr>
      </w:pPr>
    </w:p>
    <w:p w:rsidR="00AD77BB" w:rsidRDefault="00B45BA0">
      <w:pPr>
        <w:pStyle w:val="Heading2"/>
        <w:shd w:val="clear" w:color="auto" w:fill="FFFFFF"/>
        <w:spacing w:before="0" w:line="360" w:lineRule="auto"/>
        <w:textAlignment w:val="baseline"/>
        <w:rPr>
          <w:rFonts w:ascii="Calibri" w:hAnsi="Calibri"/>
          <w:color w:val="333333"/>
          <w:sz w:val="28"/>
          <w:szCs w:val="28"/>
        </w:rPr>
      </w:pPr>
      <w:r>
        <w:rPr>
          <w:rFonts w:ascii="Calibri" w:hAnsi="Calibri"/>
          <w:color w:val="333333"/>
          <w:sz w:val="28"/>
          <w:szCs w:val="28"/>
        </w:rPr>
        <w:t>Types of Hypotheses</w:t>
      </w:r>
    </w:p>
    <w:p w:rsidR="00AD77BB" w:rsidRDefault="00AD77BB"/>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Emphasis"/>
          <w:rFonts w:ascii="Georgia" w:hAnsi="Georgia"/>
          <w:color w:val="333333"/>
          <w:sz w:val="20"/>
          <w:szCs w:val="20"/>
        </w:rPr>
        <w:t>hypothesis</w:t>
      </w:r>
      <w:r>
        <w:rPr>
          <w:rStyle w:val="apple-converted-space"/>
          <w:rFonts w:ascii="Georgia" w:hAnsi="Georgia"/>
          <w:color w:val="333333"/>
          <w:sz w:val="20"/>
          <w:szCs w:val="20"/>
        </w:rPr>
        <w:t> </w:t>
      </w:r>
      <w:r>
        <w:rPr>
          <w:rFonts w:ascii="Georgia" w:hAnsi="Georgia"/>
          <w:color w:val="333333"/>
          <w:sz w:val="20"/>
          <w:szCs w:val="20"/>
        </w:rPr>
        <w:t>about the value of a population parameter is an assertion about its value. As in the introductory example we will</w:t>
      </w:r>
      <w:r>
        <w:rPr>
          <w:rStyle w:val="apple-converted-space"/>
          <w:rFonts w:ascii="Georgia" w:hAnsi="Georgia"/>
          <w:color w:val="333333"/>
          <w:sz w:val="20"/>
          <w:szCs w:val="20"/>
        </w:rPr>
        <w:t> </w:t>
      </w:r>
      <w:r>
        <w:rPr>
          <w:rFonts w:ascii="Georgia" w:hAnsi="Georgia"/>
          <w:color w:val="333333"/>
          <w:sz w:val="20"/>
          <w:szCs w:val="20"/>
        </w:rPr>
        <w:t>be concerned with testing the truth of two competing hypotheses, only one of which can be true.</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Definition</w:t>
      </w:r>
    </w:p>
    <w:p w:rsidR="00AD77BB" w:rsidRDefault="00B45BA0">
      <w:pPr>
        <w:shd w:val="clear" w:color="auto" w:fill="F4F4F4"/>
        <w:spacing w:after="0" w:line="360" w:lineRule="auto"/>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The</w:t>
      </w:r>
      <w:r>
        <w:rPr>
          <w:rFonts w:ascii="Georgia" w:eastAsia="Times New Roman" w:hAnsi="Georgia" w:cs="Times New Roman"/>
          <w:color w:val="333333"/>
          <w:sz w:val="20"/>
          <w:szCs w:val="20"/>
        </w:rPr>
        <w:t> </w:t>
      </w:r>
      <w:r>
        <w:rPr>
          <w:rFonts w:ascii="Georgia" w:eastAsia="Times New Roman" w:hAnsi="Georgia" w:cs="Times New Roman"/>
          <w:b/>
          <w:color w:val="333333"/>
          <w:sz w:val="20"/>
          <w:szCs w:val="20"/>
        </w:rPr>
        <w:t>null hypothesis</w:t>
      </w:r>
      <w:r>
        <w:rPr>
          <w:rFonts w:ascii="Georgia" w:eastAsia="Times New Roman" w:hAnsi="Georgia" w:cs="Times New Roman"/>
          <w:i/>
          <w:iCs/>
          <w:color w:val="333333"/>
          <w:sz w:val="20"/>
          <w:szCs w:val="20"/>
        </w:rPr>
        <w:t>, denoted</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H</w:t>
      </w:r>
      <w:r>
        <w:rPr>
          <w:rFonts w:ascii="Georgia" w:eastAsia="Times New Roman" w:hAnsi="Georgia" w:cs="Times New Roman"/>
          <w:color w:val="333333"/>
          <w:sz w:val="15"/>
          <w:szCs w:val="15"/>
          <w:vertAlign w:val="subscript"/>
        </w:rPr>
        <w:t>0</w:t>
      </w:r>
      <w:r>
        <w:rPr>
          <w:rFonts w:ascii="Georgia" w:eastAsia="Times New Roman" w:hAnsi="Georgia" w:cs="Times New Roman"/>
          <w:i/>
          <w:iCs/>
          <w:color w:val="333333"/>
          <w:sz w:val="20"/>
          <w:szCs w:val="20"/>
        </w:rPr>
        <w:t>, is the statement about the population parameter that is assumed to be true unless there is convincing evidence to the contrary</w:t>
      </w:r>
      <w:r>
        <w:rPr>
          <w:rFonts w:ascii="Georgia" w:eastAsia="Times New Roman" w:hAnsi="Georgia" w:cs="Times New Roman"/>
          <w:color w:val="333333"/>
          <w:sz w:val="20"/>
          <w:szCs w:val="20"/>
        </w:rPr>
        <w:t>.</w:t>
      </w:r>
    </w:p>
    <w:p w:rsidR="00AD77BB" w:rsidRDefault="00B45BA0">
      <w:pPr>
        <w:shd w:val="clear" w:color="auto" w:fill="F4F4F4"/>
        <w:spacing w:line="360" w:lineRule="auto"/>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The</w:t>
      </w:r>
      <w:r>
        <w:rPr>
          <w:rFonts w:ascii="Georgia" w:eastAsia="Times New Roman" w:hAnsi="Georgia" w:cs="Times New Roman"/>
          <w:color w:val="333333"/>
          <w:sz w:val="20"/>
          <w:szCs w:val="20"/>
        </w:rPr>
        <w:t> </w:t>
      </w:r>
      <w:r>
        <w:rPr>
          <w:rFonts w:ascii="Georgia" w:eastAsia="Times New Roman" w:hAnsi="Georgia" w:cs="Times New Roman"/>
          <w:b/>
          <w:color w:val="333333"/>
          <w:sz w:val="20"/>
          <w:szCs w:val="20"/>
        </w:rPr>
        <w:t>alternative hypothesis</w:t>
      </w:r>
      <w:r>
        <w:rPr>
          <w:rFonts w:ascii="Georgia" w:eastAsia="Times New Roman" w:hAnsi="Georgia" w:cs="Times New Roman"/>
          <w:i/>
          <w:iCs/>
          <w:color w:val="333333"/>
          <w:sz w:val="20"/>
          <w:szCs w:val="20"/>
        </w:rPr>
        <w:t>, denoted</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H</w:t>
      </w:r>
      <w:r>
        <w:rPr>
          <w:rFonts w:ascii="Georgia" w:eastAsia="Times New Roman" w:hAnsi="Georgia" w:cs="Times New Roman"/>
          <w:i/>
          <w:iCs/>
          <w:color w:val="333333"/>
          <w:sz w:val="15"/>
          <w:szCs w:val="15"/>
          <w:vertAlign w:val="subscript"/>
        </w:rPr>
        <w:t>a</w:t>
      </w:r>
      <w:r>
        <w:rPr>
          <w:rFonts w:ascii="Georgia" w:eastAsia="Times New Roman" w:hAnsi="Georgia" w:cs="Times New Roman"/>
          <w:i/>
          <w:iCs/>
          <w:color w:val="333333"/>
          <w:sz w:val="20"/>
          <w:szCs w:val="20"/>
        </w:rPr>
        <w:t>, is a statement about the population parameter that is contradictory to the null hypothesis, and is accepted as true only if there is convincing evidence in favor of it.</w:t>
      </w:r>
    </w:p>
    <w:p w:rsidR="00AD77BB" w:rsidRDefault="00B45BA0">
      <w:pPr>
        <w:shd w:val="clear" w:color="auto" w:fill="F4F4F4"/>
        <w:spacing w:after="0" w:line="360" w:lineRule="auto"/>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Definition</w:t>
      </w:r>
    </w:p>
    <w:p w:rsidR="00AD77BB" w:rsidRDefault="00B45BA0">
      <w:pPr>
        <w:shd w:val="clear" w:color="auto" w:fill="F4F4F4"/>
        <w:spacing w:line="360" w:lineRule="auto"/>
        <w:textAlignment w:val="baseline"/>
        <w:rPr>
          <w:rFonts w:ascii="Georgia" w:eastAsia="Times New Roman" w:hAnsi="Georgia" w:cs="Times New Roman"/>
          <w:color w:val="333333"/>
          <w:sz w:val="20"/>
          <w:szCs w:val="20"/>
        </w:rPr>
      </w:pPr>
      <w:r>
        <w:rPr>
          <w:rFonts w:ascii="Georgia" w:eastAsia="Times New Roman" w:hAnsi="Georgia" w:cs="Times New Roman"/>
          <w:b/>
          <w:color w:val="333333"/>
          <w:sz w:val="20"/>
          <w:szCs w:val="20"/>
        </w:rPr>
        <w:t>Hypothesis testing</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is a statistical procedure in which a choice is made between a null hypothesis and an alternative hypothesis based on information in a sample.</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end result of a hypotheses testing procedure is a choice of one of the following two possible conclusions:</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numPr>
          <w:ilvl w:val="0"/>
          <w:numId w:val="183"/>
        </w:numPr>
        <w:shd w:val="clear" w:color="auto" w:fill="FFFFFF"/>
        <w:spacing w:after="0"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Reject </w:t>
      </w:r>
      <w:r>
        <w:rPr>
          <w:rFonts w:ascii="Georgia" w:eastAsia="Times New Roman" w:hAnsi="Georgia" w:cs="Times New Roman"/>
          <w:i/>
          <w:iCs/>
          <w:color w:val="333333"/>
          <w:sz w:val="20"/>
          <w:szCs w:val="20"/>
        </w:rPr>
        <w:t>H</w:t>
      </w:r>
      <w:r>
        <w:rPr>
          <w:rFonts w:ascii="Georgia" w:eastAsia="Times New Roman" w:hAnsi="Georgia" w:cs="Times New Roman"/>
          <w:color w:val="333333"/>
          <w:sz w:val="15"/>
          <w:szCs w:val="15"/>
          <w:vertAlign w:val="subscript"/>
        </w:rPr>
        <w:t>0</w:t>
      </w:r>
      <w:r>
        <w:rPr>
          <w:rFonts w:ascii="Georgia" w:eastAsia="Times New Roman" w:hAnsi="Georgia" w:cs="Times New Roman"/>
          <w:color w:val="333333"/>
          <w:sz w:val="20"/>
          <w:szCs w:val="20"/>
        </w:rPr>
        <w:t> (and therefore accept </w:t>
      </w:r>
      <w:r>
        <w:rPr>
          <w:rFonts w:ascii="Georgia" w:eastAsia="Times New Roman" w:hAnsi="Georgia" w:cs="Times New Roman"/>
          <w:i/>
          <w:iCs/>
          <w:color w:val="333333"/>
          <w:sz w:val="20"/>
          <w:szCs w:val="20"/>
        </w:rPr>
        <w:t>H</w:t>
      </w:r>
      <w:r>
        <w:rPr>
          <w:rFonts w:ascii="Georgia" w:eastAsia="Times New Roman" w:hAnsi="Georgia" w:cs="Times New Roman"/>
          <w:i/>
          <w:iCs/>
          <w:color w:val="333333"/>
          <w:sz w:val="15"/>
          <w:szCs w:val="15"/>
          <w:vertAlign w:val="subscript"/>
        </w:rPr>
        <w:t>a</w:t>
      </w:r>
      <w:r>
        <w:rPr>
          <w:rFonts w:ascii="Georgia" w:eastAsia="Times New Roman" w:hAnsi="Georgia" w:cs="Times New Roman"/>
          <w:color w:val="333333"/>
          <w:sz w:val="20"/>
          <w:szCs w:val="20"/>
        </w:rPr>
        <w:t>), or</w:t>
      </w:r>
    </w:p>
    <w:p w:rsidR="00AD77BB" w:rsidRDefault="00B45BA0">
      <w:pPr>
        <w:numPr>
          <w:ilvl w:val="0"/>
          <w:numId w:val="183"/>
        </w:numPr>
        <w:shd w:val="clear" w:color="auto" w:fill="FFFFFF"/>
        <w:spacing w:after="0"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Fail to reject </w:t>
      </w:r>
      <w:r>
        <w:rPr>
          <w:rFonts w:ascii="Georgia" w:eastAsia="Times New Roman" w:hAnsi="Georgia" w:cs="Times New Roman"/>
          <w:i/>
          <w:iCs/>
          <w:color w:val="333333"/>
          <w:sz w:val="20"/>
          <w:szCs w:val="20"/>
        </w:rPr>
        <w:t>H</w:t>
      </w:r>
      <w:r>
        <w:rPr>
          <w:rFonts w:ascii="Georgia" w:eastAsia="Times New Roman" w:hAnsi="Georgia" w:cs="Times New Roman"/>
          <w:color w:val="333333"/>
          <w:sz w:val="15"/>
          <w:szCs w:val="15"/>
          <w:vertAlign w:val="subscript"/>
        </w:rPr>
        <w:t>0</w:t>
      </w:r>
      <w:r>
        <w:rPr>
          <w:rFonts w:ascii="Georgia" w:eastAsia="Times New Roman" w:hAnsi="Georgia" w:cs="Times New Roman"/>
          <w:color w:val="333333"/>
          <w:sz w:val="20"/>
          <w:szCs w:val="20"/>
        </w:rPr>
        <w:t> (and therefore fail to accept </w:t>
      </w:r>
      <w:r>
        <w:rPr>
          <w:rFonts w:ascii="Georgia" w:eastAsia="Times New Roman" w:hAnsi="Georgia" w:cs="Times New Roman"/>
          <w:i/>
          <w:iCs/>
          <w:color w:val="333333"/>
          <w:sz w:val="20"/>
          <w:szCs w:val="20"/>
        </w:rPr>
        <w:t>H</w:t>
      </w:r>
      <w:r>
        <w:rPr>
          <w:rFonts w:ascii="Georgia" w:eastAsia="Times New Roman" w:hAnsi="Georgia" w:cs="Times New Roman"/>
          <w:i/>
          <w:iCs/>
          <w:color w:val="333333"/>
          <w:sz w:val="15"/>
          <w:szCs w:val="15"/>
          <w:vertAlign w:val="subscript"/>
        </w:rPr>
        <w:t>a</w:t>
      </w:r>
      <w:r>
        <w:rPr>
          <w:rFonts w:ascii="Georgia" w:eastAsia="Times New Roman" w:hAnsi="Georgia" w:cs="Times New Roman"/>
          <w:color w:val="333333"/>
          <w:sz w:val="20"/>
          <w:szCs w:val="20"/>
        </w:rPr>
        <w:t>).</w:t>
      </w:r>
    </w:p>
    <w:p w:rsidR="00AD77BB" w:rsidRDefault="00AD77BB">
      <w:pPr>
        <w:shd w:val="clear" w:color="auto" w:fill="FFFFFF"/>
        <w:spacing w:after="0" w:line="360" w:lineRule="auto"/>
        <w:textAlignment w:val="baseline"/>
        <w:rPr>
          <w:rFonts w:ascii="Georgia" w:eastAsia="Times New Roman" w:hAnsi="Georgia" w:cs="Times New Roman"/>
          <w:color w:val="333333"/>
          <w:sz w:val="20"/>
          <w:szCs w:val="20"/>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null hypothesis typically represents the status quo, or what has historically been true. In the example of the respirators, we would believe the claim of the manufacturer unless there is reason not to do so, so the null hypotheses is </w:t>
      </w:r>
      <w:r>
        <w:rPr>
          <w:rFonts w:ascii="MathJax_Math" w:eastAsia="Times New Roman" w:hAnsi="MathJax_Math" w:cs="Times New Roman"/>
          <w:b/>
          <w:i/>
          <w:iCs/>
          <w:color w:val="333333"/>
          <w:sz w:val="18"/>
          <w:szCs w:val="18"/>
        </w:rPr>
        <w:t>H</w:t>
      </w:r>
      <w:r>
        <w:rPr>
          <w:rFonts w:ascii="MathJax_Main" w:eastAsia="Times New Roman" w:hAnsi="MathJax_Main" w:cs="Times New Roman"/>
          <w:b/>
          <w:color w:val="333333"/>
          <w:sz w:val="14"/>
          <w:szCs w:val="14"/>
          <w:vertAlign w:val="subscript"/>
        </w:rPr>
        <w:t>0</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μ</w:t>
      </w:r>
      <w:r>
        <w:rPr>
          <w:rFonts w:ascii="MathJax_Main" w:eastAsia="Times New Roman" w:hAnsi="MathJax_Main" w:cs="Times New Roman"/>
          <w:b/>
          <w:color w:val="333333"/>
          <w:sz w:val="18"/>
          <w:szCs w:val="18"/>
        </w:rPr>
        <w:t>=75</w:t>
      </w:r>
      <w:r>
        <w:rPr>
          <w:rFonts w:ascii="MathJax_Main" w:eastAsia="Times New Roman" w:hAnsi="MathJax_Main" w:cs="Times New Roman"/>
          <w:color w:val="333333"/>
          <w:sz w:val="18"/>
          <w:szCs w:val="18"/>
        </w:rPr>
        <w:t>.</w:t>
      </w:r>
      <w:r>
        <w:rPr>
          <w:rFonts w:ascii="Georgia" w:eastAsia="Times New Roman" w:hAnsi="Georgia" w:cs="Times New Roman"/>
          <w:color w:val="333333"/>
          <w:sz w:val="21"/>
          <w:szCs w:val="21"/>
        </w:rPr>
        <w:t> The alternative hypothesis in the example is the contradictory statement </w:t>
      </w:r>
      <w:r>
        <w:rPr>
          <w:rFonts w:ascii="MathJax_Math" w:eastAsia="Times New Roman" w:hAnsi="MathJax_Math" w:cs="Times New Roman"/>
          <w:b/>
          <w:i/>
          <w:iCs/>
          <w:color w:val="333333"/>
          <w:sz w:val="18"/>
          <w:szCs w:val="18"/>
        </w:rPr>
        <w:t>H</w:t>
      </w:r>
      <w:r>
        <w:rPr>
          <w:rFonts w:ascii="MathJax_Math" w:eastAsia="Times New Roman" w:hAnsi="MathJax_Math" w:cs="Times New Roman"/>
          <w:b/>
          <w:i/>
          <w:iCs/>
          <w:color w:val="333333"/>
          <w:sz w:val="14"/>
          <w:szCs w:val="14"/>
          <w:vertAlign w:val="subscript"/>
        </w:rPr>
        <w:t>a</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μ</w:t>
      </w:r>
      <w:r>
        <w:rPr>
          <w:rFonts w:ascii="MathJax_Main" w:eastAsia="Times New Roman" w:hAnsi="MathJax_Main" w:cs="Times New Roman"/>
          <w:b/>
          <w:color w:val="333333"/>
          <w:sz w:val="18"/>
          <w:szCs w:val="18"/>
        </w:rPr>
        <w:t>&lt;75.</w:t>
      </w:r>
      <w:r>
        <w:rPr>
          <w:rFonts w:ascii="Georgia" w:eastAsia="Times New Roman" w:hAnsi="Georgia" w:cs="Times New Roman"/>
          <w:color w:val="333333"/>
          <w:sz w:val="21"/>
          <w:szCs w:val="21"/>
        </w:rPr>
        <w:t xml:space="preserve"> The null hypothesis will always be an assertion containing an equals sign, but depending on the situation the alternative hypothesis can have any one of three forms: with </w:t>
      </w:r>
      <w:r>
        <w:rPr>
          <w:rFonts w:ascii="Georgia" w:eastAsia="Times New Roman" w:hAnsi="Georgia" w:cs="Times New Roman"/>
          <w:color w:val="333333"/>
          <w:sz w:val="21"/>
          <w:szCs w:val="21"/>
        </w:rPr>
        <w:lastRenderedPageBreak/>
        <w:t>the symbol “&lt;,” as in the example just discussed, with the symbol “&gt;,” or with the symbol “≠” The following two examples illustrate the latter two cases.</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EXAMPLE 1</w:t>
      </w:r>
    </w:p>
    <w:p w:rsidR="00AD77BB" w:rsidRDefault="00B45BA0">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A publisher of college textbooks claims that the average price of all hardbound college textbooks is $127.50. A student group believes that the actual mean is higher and wishes to test their belief. State the relevant null and alternative hypotheses.</w:t>
      </w:r>
    </w:p>
    <w:p w:rsidR="00AD77BB" w:rsidRDefault="00B45BA0">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Solution:</w:t>
      </w:r>
    </w:p>
    <w:p w:rsidR="00AD77BB" w:rsidRDefault="00AD77BB">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p>
    <w:p w:rsidR="00AD77BB" w:rsidRDefault="00B45BA0">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The default option is to accept the publisher’s claim unless there is compelling evidence to the contrary. Thus the null hypothesis is </w:t>
      </w:r>
      <w:r>
        <w:rPr>
          <w:rFonts w:ascii="MathJax_Math" w:eastAsia="Times New Roman" w:hAnsi="MathJax_Math" w:cs="Times New Roman"/>
          <w:b/>
          <w:i/>
          <w:iCs/>
          <w:color w:val="333333"/>
          <w:sz w:val="15"/>
          <w:szCs w:val="15"/>
        </w:rPr>
        <w:t>H</w:t>
      </w:r>
      <w:r>
        <w:rPr>
          <w:rFonts w:ascii="MathJax_Main" w:eastAsia="Times New Roman" w:hAnsi="MathJax_Main" w:cs="Times New Roman"/>
          <w:b/>
          <w:color w:val="333333"/>
          <w:sz w:val="12"/>
          <w:szCs w:val="12"/>
          <w:vertAlign w:val="subscript"/>
        </w:rPr>
        <w:t>0</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μ</w:t>
      </w:r>
      <w:r>
        <w:rPr>
          <w:rFonts w:ascii="MathJax_Main" w:eastAsia="Times New Roman" w:hAnsi="MathJax_Main" w:cs="Times New Roman"/>
          <w:b/>
          <w:color w:val="333333"/>
          <w:sz w:val="15"/>
          <w:szCs w:val="15"/>
        </w:rPr>
        <w:t>=127.50</w:t>
      </w:r>
      <w:r>
        <w:rPr>
          <w:rFonts w:ascii="MathJax_Main" w:eastAsia="Times New Roman" w:hAnsi="MathJax_Main" w:cs="Times New Roman"/>
          <w:color w:val="333333"/>
          <w:sz w:val="15"/>
          <w:szCs w:val="15"/>
        </w:rPr>
        <w:t>.</w:t>
      </w:r>
      <w:r>
        <w:rPr>
          <w:rFonts w:ascii="Calibri" w:eastAsia="Times New Roman" w:hAnsi="Calibri" w:cs="Times New Roman"/>
          <w:color w:val="333333"/>
          <w:sz w:val="21"/>
          <w:szCs w:val="21"/>
        </w:rPr>
        <w:t> Since the student group thinks that the average textbook price is </w:t>
      </w:r>
      <w:r>
        <w:rPr>
          <w:rFonts w:ascii="Calibri" w:eastAsia="Times New Roman" w:hAnsi="Calibri" w:cs="Times New Roman"/>
          <w:i/>
          <w:iCs/>
          <w:color w:val="333333"/>
          <w:sz w:val="20"/>
          <w:szCs w:val="20"/>
        </w:rPr>
        <w:t>greater</w:t>
      </w:r>
      <w:r>
        <w:rPr>
          <w:rFonts w:ascii="Calibri" w:eastAsia="Times New Roman" w:hAnsi="Calibri" w:cs="Times New Roman"/>
          <w:color w:val="333333"/>
          <w:sz w:val="21"/>
          <w:szCs w:val="21"/>
        </w:rPr>
        <w:t> than the publisher’s figure, the alternative hypothesis in this situation is </w:t>
      </w:r>
      <w:r>
        <w:rPr>
          <w:rFonts w:ascii="MathJax_Math" w:eastAsia="Times New Roman" w:hAnsi="MathJax_Math" w:cs="Times New Roman"/>
          <w:b/>
          <w:i/>
          <w:iCs/>
          <w:color w:val="333333"/>
          <w:sz w:val="15"/>
          <w:szCs w:val="15"/>
        </w:rPr>
        <w:t>H</w:t>
      </w:r>
      <w:r>
        <w:rPr>
          <w:rFonts w:ascii="MathJax_Math" w:eastAsia="Times New Roman" w:hAnsi="MathJax_Math" w:cs="Times New Roman"/>
          <w:b/>
          <w:i/>
          <w:iCs/>
          <w:color w:val="333333"/>
          <w:sz w:val="12"/>
          <w:szCs w:val="12"/>
          <w:vertAlign w:val="subscript"/>
        </w:rPr>
        <w:t>a</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μ</w:t>
      </w:r>
      <w:r>
        <w:rPr>
          <w:rFonts w:ascii="MathJax_Main" w:eastAsia="Times New Roman" w:hAnsi="MathJax_Main" w:cs="Times New Roman"/>
          <w:b/>
          <w:color w:val="333333"/>
          <w:sz w:val="15"/>
          <w:szCs w:val="15"/>
        </w:rPr>
        <w:t>&gt;127.50.</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EXAMPLE 2</w:t>
      </w:r>
    </w:p>
    <w:p w:rsidR="00AD77BB" w:rsidRDefault="00B45BA0">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The recipe for a bakery item is designed to result in a product that contains 8 grams of fat per serving. The quality control department samples the product periodically to insure that the production process is working as designed. State the relevant null and alternative hypotheses.</w:t>
      </w:r>
    </w:p>
    <w:p w:rsidR="00AD77BB" w:rsidRDefault="00B45BA0">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Solution:</w:t>
      </w:r>
    </w:p>
    <w:p w:rsidR="00AD77BB" w:rsidRDefault="00AD77BB">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p>
    <w:p w:rsidR="00AD77BB" w:rsidRDefault="00B45BA0">
      <w:pPr>
        <w:shd w:val="clear" w:color="auto" w:fill="DAEEF3" w:themeFill="accent5" w:themeFillTint="33"/>
        <w:spacing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The default option is to assume that the product contains the amount of fat it was formulated to contain unless there is compelling evidence to the contrary. Thus the null hypothesis is </w:t>
      </w:r>
      <w:r>
        <w:rPr>
          <w:rFonts w:ascii="MathJax_Math" w:eastAsia="Times New Roman" w:hAnsi="MathJax_Math" w:cs="Times New Roman"/>
          <w:b/>
          <w:i/>
          <w:iCs/>
          <w:color w:val="333333"/>
          <w:sz w:val="15"/>
          <w:szCs w:val="15"/>
        </w:rPr>
        <w:t>H</w:t>
      </w:r>
      <w:r>
        <w:rPr>
          <w:rFonts w:ascii="MathJax_Main" w:eastAsia="Times New Roman" w:hAnsi="MathJax_Main" w:cs="Times New Roman"/>
          <w:b/>
          <w:color w:val="333333"/>
          <w:sz w:val="12"/>
          <w:szCs w:val="12"/>
          <w:vertAlign w:val="subscript"/>
        </w:rPr>
        <w:t>0</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μ</w:t>
      </w:r>
      <w:r>
        <w:rPr>
          <w:rFonts w:ascii="MathJax_Main" w:eastAsia="Times New Roman" w:hAnsi="MathJax_Main" w:cs="Times New Roman"/>
          <w:b/>
          <w:color w:val="333333"/>
          <w:sz w:val="15"/>
          <w:szCs w:val="15"/>
        </w:rPr>
        <w:t>=8.0</w:t>
      </w:r>
      <w:r>
        <w:rPr>
          <w:rFonts w:ascii="MathJax_Main" w:eastAsia="Times New Roman" w:hAnsi="MathJax_Main" w:cs="Times New Roman"/>
          <w:color w:val="333333"/>
          <w:sz w:val="15"/>
          <w:szCs w:val="15"/>
        </w:rPr>
        <w:t>.</w:t>
      </w:r>
      <w:r>
        <w:rPr>
          <w:rFonts w:ascii="Calibri" w:eastAsia="Times New Roman" w:hAnsi="Calibri" w:cs="Times New Roman"/>
          <w:color w:val="333333"/>
          <w:sz w:val="21"/>
          <w:szCs w:val="21"/>
        </w:rPr>
        <w:t> Since to contain either more fat than desired or to contain less fat than desired are both an indication of a faulty production process, the alternative hypothesis in this situation is that the mean is </w:t>
      </w:r>
      <w:r>
        <w:rPr>
          <w:rFonts w:ascii="Calibri" w:eastAsia="Times New Roman" w:hAnsi="Calibri" w:cs="Times New Roman"/>
          <w:i/>
          <w:iCs/>
          <w:color w:val="333333"/>
          <w:sz w:val="20"/>
          <w:szCs w:val="20"/>
        </w:rPr>
        <w:t xml:space="preserve">different </w:t>
      </w:r>
      <w:r>
        <w:rPr>
          <w:rFonts w:ascii="Calibri" w:eastAsia="Times New Roman" w:hAnsi="Calibri" w:cs="Times New Roman"/>
          <w:color w:val="333333"/>
          <w:sz w:val="21"/>
          <w:szCs w:val="21"/>
        </w:rPr>
        <w:t>from 8.0, so </w:t>
      </w:r>
      <w:r>
        <w:rPr>
          <w:rFonts w:ascii="MathJax_Math" w:eastAsia="Times New Roman" w:hAnsi="MathJax_Math" w:cs="Times New Roman"/>
          <w:b/>
          <w:i/>
          <w:iCs/>
          <w:color w:val="333333"/>
          <w:sz w:val="15"/>
          <w:szCs w:val="15"/>
        </w:rPr>
        <w:t>H</w:t>
      </w:r>
      <w:r>
        <w:rPr>
          <w:rFonts w:ascii="MathJax_Math" w:eastAsia="Times New Roman" w:hAnsi="MathJax_Math" w:cs="Times New Roman"/>
          <w:b/>
          <w:i/>
          <w:iCs/>
          <w:color w:val="333333"/>
          <w:sz w:val="12"/>
          <w:szCs w:val="12"/>
          <w:vertAlign w:val="subscript"/>
        </w:rPr>
        <w:t>a</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μ</w:t>
      </w:r>
      <w:r>
        <w:rPr>
          <w:rFonts w:ascii="MathJax_Main" w:eastAsia="Times New Roman" w:hAnsi="MathJax_Main" w:cs="Times New Roman"/>
          <w:b/>
          <w:color w:val="333333"/>
          <w:sz w:val="15"/>
          <w:szCs w:val="15"/>
        </w:rPr>
        <w:t>≠8.0.</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In </w:t>
      </w:r>
      <w:r>
        <w:rPr>
          <w:rFonts w:ascii="Georgia" w:eastAsia="Times New Roman" w:hAnsi="Georgia" w:cs="Times New Roman"/>
          <w:color w:val="2689C6"/>
          <w:sz w:val="21"/>
          <w:szCs w:val="21"/>
        </w:rPr>
        <w:t>Note 8.8 "Example 1"</w:t>
      </w:r>
      <w:r>
        <w:rPr>
          <w:rFonts w:ascii="Georgia" w:eastAsia="Times New Roman" w:hAnsi="Georgia" w:cs="Times New Roman"/>
          <w:color w:val="333333"/>
          <w:sz w:val="21"/>
          <w:szCs w:val="21"/>
        </w:rPr>
        <w:t>, the textbook example, it might seem more natural that the publisher’s claim be that the average price is at most $127.50, not exactly $127.50. If the claim were made this way, then the null hypothesis would be </w:t>
      </w:r>
      <w:r>
        <w:rPr>
          <w:rFonts w:ascii="MathJax_Math" w:eastAsia="Times New Roman" w:hAnsi="MathJax_Math" w:cs="Times New Roman"/>
          <w:b/>
          <w:i/>
          <w:iCs/>
          <w:color w:val="333333"/>
          <w:sz w:val="18"/>
          <w:szCs w:val="18"/>
        </w:rPr>
        <w:t>H</w:t>
      </w:r>
      <w:r>
        <w:rPr>
          <w:rFonts w:ascii="MathJax_Main" w:eastAsia="Times New Roman" w:hAnsi="MathJax_Main" w:cs="Times New Roman"/>
          <w:b/>
          <w:color w:val="333333"/>
          <w:sz w:val="14"/>
          <w:szCs w:val="14"/>
          <w:vertAlign w:val="subscript"/>
        </w:rPr>
        <w:t>0</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μ</w:t>
      </w:r>
      <w:r>
        <w:rPr>
          <w:rFonts w:ascii="MathJax_Main" w:eastAsia="Times New Roman" w:hAnsi="MathJax_Main" w:cs="Times New Roman"/>
          <w:b/>
          <w:color w:val="333333"/>
          <w:sz w:val="18"/>
          <w:szCs w:val="18"/>
        </w:rPr>
        <w:t>≤127.50</w:t>
      </w:r>
      <w:r>
        <w:rPr>
          <w:rFonts w:ascii="Georgia" w:eastAsia="Times New Roman" w:hAnsi="Georgia" w:cs="Times New Roman"/>
          <w:color w:val="333333"/>
          <w:sz w:val="21"/>
          <w:szCs w:val="21"/>
        </w:rPr>
        <w:t>, and the value $127.50 given in the example would be the one that is least favorable to the publisher’s claim, the null hypothesis. It is always true that if the null hypothesis is retained for its least favorable value, then it is retained for every other value.</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Thus in order to make the null and alternative hypotheses easy for the student to distinguish, in every example and problem in this text we will always present one of the two competing claims about the value of a parameter with an equality. </w:t>
      </w:r>
      <w:r>
        <w:rPr>
          <w:rFonts w:ascii="Georgia" w:eastAsia="Times New Roman" w:hAnsi="Georgia" w:cs="Times New Roman"/>
          <w:i/>
          <w:iCs/>
          <w:color w:val="333333"/>
          <w:sz w:val="20"/>
          <w:szCs w:val="20"/>
        </w:rPr>
        <w:t>The claim expressed with an equality is the null hypothesis.</w:t>
      </w:r>
      <w:r>
        <w:rPr>
          <w:rFonts w:ascii="Georgia" w:eastAsia="Times New Roman" w:hAnsi="Georgia" w:cs="Times New Roman"/>
          <w:color w:val="333333"/>
          <w:sz w:val="21"/>
          <w:szCs w:val="21"/>
        </w:rPr>
        <w:t> This is the same as always stating the null hypothesis in the least favorable light. So in the introductory example about the respirators, we stated the manufacturer’s claim as “the average is 75 minutes” instead of the perhaps more natural “the average is at least 75 minutes,” essentially reducing the presentation of the null hypothesis to its worst case.</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first step in hypothesis testing is to identify the null and alternative hypotheses.</w:t>
      </w: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B45BA0">
      <w:pPr>
        <w:pStyle w:val="Heading2"/>
        <w:shd w:val="clear" w:color="auto" w:fill="FFFFFF"/>
        <w:spacing w:before="0" w:line="360" w:lineRule="auto"/>
        <w:textAlignment w:val="baseline"/>
        <w:rPr>
          <w:rFonts w:ascii="Calibri" w:hAnsi="Calibri"/>
          <w:color w:val="333333"/>
          <w:sz w:val="29"/>
          <w:szCs w:val="29"/>
        </w:rPr>
      </w:pPr>
      <w:r>
        <w:rPr>
          <w:rFonts w:ascii="Calibri" w:hAnsi="Calibri"/>
          <w:color w:val="333333"/>
          <w:sz w:val="29"/>
          <w:szCs w:val="29"/>
        </w:rPr>
        <w:t>The Logic of Hypothesis Testing</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Although we will study hypothesis testing in situations other than for a single population mean (for example, for a population proportion instead of a mean or in comparing the means of two different populations), in this section the discussion will always be given in terms of a single population mean</w:t>
      </w:r>
      <w:r>
        <w:rPr>
          <w:rStyle w:val="apple-converted-space"/>
          <w:rFonts w:ascii="Georgia" w:hAnsi="Georgia"/>
          <w:color w:val="333333"/>
          <w:sz w:val="21"/>
          <w:szCs w:val="21"/>
        </w:rPr>
        <w:t> </w:t>
      </w:r>
      <w:r>
        <w:rPr>
          <w:rStyle w:val="Emphasis"/>
          <w:rFonts w:ascii="Georgia" w:hAnsi="Georgia"/>
          <w:color w:val="333333"/>
          <w:sz w:val="20"/>
          <w:szCs w:val="20"/>
        </w:rPr>
        <w:t>μ</w:t>
      </w:r>
      <w:r>
        <w:rPr>
          <w:rFonts w:ascii="Georgia" w:hAnsi="Georgia"/>
          <w:color w:val="333333"/>
          <w:sz w:val="21"/>
          <w:szCs w:val="21"/>
        </w:rPr>
        <w:t>.</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null hypothesis always has the form</w:t>
      </w:r>
      <w:r>
        <w:rPr>
          <w:rStyle w:val="apple-converted-space"/>
          <w:rFonts w:ascii="Georgia" w:hAnsi="Georgia"/>
          <w:color w:val="333333"/>
          <w:sz w:val="21"/>
          <w:szCs w:val="21"/>
        </w:rPr>
        <w:t> </w:t>
      </w:r>
      <w:r>
        <w:rPr>
          <w:rStyle w:val="mi"/>
          <w:rFonts w:ascii="MathJax_Math" w:hAnsi="MathJax_Math"/>
          <w:b/>
          <w:i/>
          <w:iCs/>
          <w:color w:val="333333"/>
          <w:sz w:val="18"/>
          <w:szCs w:val="18"/>
        </w:rPr>
        <w:t>H</w:t>
      </w:r>
      <w:r>
        <w:rPr>
          <w:rStyle w:val="mn"/>
          <w:rFonts w:ascii="MathJax_Main" w:hAnsi="MathJax_Main"/>
          <w:b/>
          <w:color w:val="333333"/>
          <w:sz w:val="14"/>
          <w:szCs w:val="14"/>
          <w:vertAlign w:val="subscript"/>
        </w:rPr>
        <w:t>0</w:t>
      </w:r>
      <w:r>
        <w:rPr>
          <w:rStyle w:val="mo"/>
          <w:rFonts w:ascii="MathJax_Main" w:hAnsi="MathJax_Main"/>
          <w:b/>
          <w:color w:val="333333"/>
          <w:sz w:val="18"/>
          <w:szCs w:val="18"/>
        </w:rPr>
        <w:t>:</w:t>
      </w:r>
      <w:r>
        <w:rPr>
          <w:rStyle w:val="mi"/>
          <w:rFonts w:ascii="MathJax_Math" w:hAnsi="MathJax_Math"/>
          <w:b/>
          <w:i/>
          <w:iCs/>
          <w:color w:val="333333"/>
          <w:sz w:val="18"/>
          <w:szCs w:val="18"/>
        </w:rPr>
        <w:t>μ</w:t>
      </w:r>
      <w:r>
        <w:rPr>
          <w:rStyle w:val="mo"/>
          <w:rFonts w:ascii="MathJax_Main" w:hAnsi="MathJax_Main"/>
          <w:b/>
          <w:color w:val="333333"/>
          <w:sz w:val="18"/>
          <w:szCs w:val="18"/>
        </w:rPr>
        <w:t>=</w:t>
      </w:r>
      <w:r>
        <w:rPr>
          <w:rStyle w:val="mi"/>
          <w:rFonts w:ascii="MathJax_Math" w:hAnsi="MathJax_Math"/>
          <w:b/>
          <w:i/>
          <w:iCs/>
          <w:color w:val="333333"/>
          <w:sz w:val="18"/>
          <w:szCs w:val="18"/>
        </w:rPr>
        <w:t>μ</w:t>
      </w:r>
      <w:r>
        <w:rPr>
          <w:rStyle w:val="mn"/>
          <w:rFonts w:ascii="MathJax_Main" w:hAnsi="MathJax_Main"/>
          <w:b/>
          <w:color w:val="333333"/>
          <w:sz w:val="14"/>
          <w:szCs w:val="14"/>
          <w:vertAlign w:val="subscript"/>
        </w:rPr>
        <w:t>0</w:t>
      </w:r>
      <w:r>
        <w:rPr>
          <w:rStyle w:val="apple-converted-space"/>
          <w:rFonts w:ascii="Georgia" w:hAnsi="Georgia"/>
          <w:color w:val="333333"/>
          <w:sz w:val="21"/>
          <w:szCs w:val="21"/>
          <w:vertAlign w:val="subscript"/>
        </w:rPr>
        <w:t> </w:t>
      </w:r>
      <w:r>
        <w:rPr>
          <w:rFonts w:ascii="Georgia" w:hAnsi="Georgia"/>
          <w:color w:val="333333"/>
          <w:sz w:val="21"/>
          <w:szCs w:val="21"/>
        </w:rPr>
        <w:t>for a specific number</w:t>
      </w:r>
      <w:r>
        <w:rPr>
          <w:rStyle w:val="apple-converted-space"/>
          <w:rFonts w:ascii="Georgia" w:hAnsi="Georgia"/>
          <w:color w:val="333333"/>
          <w:sz w:val="21"/>
          <w:szCs w:val="21"/>
        </w:rPr>
        <w:t> </w:t>
      </w:r>
      <w:r>
        <w:rPr>
          <w:rStyle w:val="mi"/>
          <w:rFonts w:ascii="MathJax_Math" w:hAnsi="MathJax_Math"/>
          <w:b/>
          <w:i/>
          <w:iCs/>
          <w:color w:val="333333"/>
          <w:sz w:val="18"/>
          <w:szCs w:val="18"/>
        </w:rPr>
        <w:t>μ</w:t>
      </w:r>
      <w:r>
        <w:rPr>
          <w:rStyle w:val="mn"/>
          <w:rFonts w:ascii="MathJax_Main" w:hAnsi="MathJax_Main"/>
          <w:b/>
          <w:color w:val="333333"/>
          <w:sz w:val="14"/>
          <w:szCs w:val="14"/>
          <w:vertAlign w:val="subscript"/>
        </w:rPr>
        <w:t>0</w:t>
      </w:r>
      <w:r>
        <w:rPr>
          <w:rStyle w:val="apple-converted-space"/>
          <w:rFonts w:ascii="Georgia" w:hAnsi="Georgia"/>
          <w:color w:val="333333"/>
          <w:sz w:val="21"/>
          <w:szCs w:val="21"/>
        </w:rPr>
        <w:t> </w:t>
      </w:r>
      <w:r>
        <w:rPr>
          <w:rFonts w:ascii="Georgia" w:hAnsi="Georgia"/>
          <w:color w:val="333333"/>
          <w:sz w:val="21"/>
          <w:szCs w:val="21"/>
        </w:rPr>
        <w:t>(in the respirator example</w:t>
      </w:r>
      <w:r>
        <w:rPr>
          <w:rStyle w:val="apple-converted-space"/>
          <w:rFonts w:ascii="Georgia" w:hAnsi="Georgia"/>
          <w:color w:val="333333"/>
          <w:sz w:val="21"/>
          <w:szCs w:val="21"/>
        </w:rPr>
        <w:t> </w:t>
      </w:r>
      <w:r>
        <w:rPr>
          <w:rStyle w:val="mi"/>
          <w:rFonts w:ascii="MathJax_Math" w:hAnsi="MathJax_Math"/>
          <w:b/>
          <w:i/>
          <w:iCs/>
          <w:color w:val="333333"/>
          <w:sz w:val="18"/>
          <w:szCs w:val="18"/>
        </w:rPr>
        <w:t>μ</w:t>
      </w:r>
      <w:r>
        <w:rPr>
          <w:rStyle w:val="mn"/>
          <w:rFonts w:ascii="MathJax_Main" w:hAnsi="MathJax_Main"/>
          <w:b/>
          <w:color w:val="333333"/>
          <w:sz w:val="14"/>
          <w:szCs w:val="14"/>
          <w:vertAlign w:val="subscript"/>
        </w:rPr>
        <w:t>0</w:t>
      </w:r>
      <w:r>
        <w:rPr>
          <w:rStyle w:val="mo"/>
          <w:rFonts w:ascii="MathJax_Main" w:hAnsi="MathJax_Main"/>
          <w:b/>
          <w:color w:val="333333"/>
          <w:sz w:val="18"/>
          <w:szCs w:val="18"/>
        </w:rPr>
        <w:t>=</w:t>
      </w:r>
      <w:r>
        <w:rPr>
          <w:rStyle w:val="mn"/>
          <w:rFonts w:ascii="MathJax_Main" w:hAnsi="MathJax_Main"/>
          <w:b/>
          <w:color w:val="333333"/>
          <w:sz w:val="18"/>
          <w:szCs w:val="18"/>
        </w:rPr>
        <w:t>75</w:t>
      </w:r>
      <w:r>
        <w:rPr>
          <w:rFonts w:ascii="Georgia" w:hAnsi="Georgia"/>
          <w:color w:val="333333"/>
          <w:sz w:val="21"/>
          <w:szCs w:val="21"/>
        </w:rPr>
        <w:t>, in the textbook example</w:t>
      </w:r>
      <w:r>
        <w:rPr>
          <w:rStyle w:val="apple-converted-space"/>
          <w:rFonts w:ascii="Georgia" w:hAnsi="Georgia"/>
          <w:color w:val="333333"/>
          <w:sz w:val="21"/>
          <w:szCs w:val="21"/>
        </w:rPr>
        <w:t> </w:t>
      </w:r>
      <w:r>
        <w:rPr>
          <w:rStyle w:val="mi"/>
          <w:rFonts w:ascii="MathJax_Math" w:hAnsi="MathJax_Math"/>
          <w:b/>
          <w:i/>
          <w:iCs/>
          <w:color w:val="333333"/>
          <w:sz w:val="18"/>
          <w:szCs w:val="18"/>
        </w:rPr>
        <w:t>μ</w:t>
      </w:r>
      <w:r>
        <w:rPr>
          <w:rStyle w:val="mn"/>
          <w:rFonts w:ascii="MathJax_Main" w:hAnsi="MathJax_Main"/>
          <w:b/>
          <w:color w:val="333333"/>
          <w:sz w:val="14"/>
          <w:szCs w:val="14"/>
          <w:vertAlign w:val="subscript"/>
        </w:rPr>
        <w:t>0</w:t>
      </w:r>
      <w:r>
        <w:rPr>
          <w:rStyle w:val="mo"/>
          <w:rFonts w:ascii="MathJax_Main" w:hAnsi="MathJax_Main"/>
          <w:b/>
          <w:color w:val="333333"/>
          <w:sz w:val="18"/>
          <w:szCs w:val="18"/>
        </w:rPr>
        <w:t>=</w:t>
      </w:r>
      <w:r>
        <w:rPr>
          <w:rStyle w:val="mn"/>
          <w:rFonts w:ascii="MathJax_Main" w:hAnsi="MathJax_Main"/>
          <w:b/>
          <w:color w:val="333333"/>
          <w:sz w:val="18"/>
          <w:szCs w:val="18"/>
        </w:rPr>
        <w:t>127.50</w:t>
      </w:r>
      <w:r>
        <w:rPr>
          <w:rFonts w:ascii="Georgia" w:hAnsi="Georgia"/>
          <w:color w:val="333333"/>
          <w:sz w:val="21"/>
          <w:szCs w:val="21"/>
        </w:rPr>
        <w:t>, and in the baked goods example</w:t>
      </w:r>
      <w:r>
        <w:rPr>
          <w:rStyle w:val="apple-converted-space"/>
          <w:rFonts w:ascii="Georgia" w:hAnsi="Georgia"/>
          <w:color w:val="333333"/>
          <w:sz w:val="21"/>
          <w:szCs w:val="21"/>
        </w:rPr>
        <w:t> </w:t>
      </w:r>
      <w:r>
        <w:rPr>
          <w:rStyle w:val="mi"/>
          <w:rFonts w:ascii="MathJax_Math" w:hAnsi="MathJax_Math"/>
          <w:b/>
          <w:i/>
          <w:iCs/>
          <w:color w:val="333333"/>
          <w:sz w:val="18"/>
          <w:szCs w:val="18"/>
        </w:rPr>
        <w:t>μ</w:t>
      </w:r>
      <w:r>
        <w:rPr>
          <w:rStyle w:val="mn"/>
          <w:rFonts w:ascii="MathJax_Main" w:hAnsi="MathJax_Main"/>
          <w:b/>
          <w:color w:val="333333"/>
          <w:sz w:val="14"/>
          <w:szCs w:val="14"/>
          <w:vertAlign w:val="subscript"/>
        </w:rPr>
        <w:t>0</w:t>
      </w:r>
      <w:r>
        <w:rPr>
          <w:rStyle w:val="mo"/>
          <w:rFonts w:ascii="MathJax_Main" w:hAnsi="MathJax_Main"/>
          <w:b/>
          <w:color w:val="333333"/>
          <w:sz w:val="18"/>
          <w:szCs w:val="18"/>
        </w:rPr>
        <w:t>=</w:t>
      </w:r>
      <w:r>
        <w:rPr>
          <w:rStyle w:val="mn"/>
          <w:rFonts w:ascii="MathJax_Main" w:hAnsi="MathJax_Main"/>
          <w:b/>
          <w:color w:val="333333"/>
          <w:sz w:val="18"/>
          <w:szCs w:val="18"/>
        </w:rPr>
        <w:t>8.0</w:t>
      </w:r>
      <w:r>
        <w:rPr>
          <w:rFonts w:ascii="Georgia" w:hAnsi="Georgia"/>
          <w:color w:val="333333"/>
          <w:sz w:val="21"/>
          <w:szCs w:val="21"/>
        </w:rPr>
        <w:t>). Since the null hypothesis is accepted unless there is strong evidence to the contrary, the test procedure is based on the initial assumption that</w:t>
      </w:r>
      <w:r>
        <w:rPr>
          <w:rStyle w:val="apple-converted-space"/>
          <w:rFonts w:ascii="Georgia" w:hAnsi="Georgia"/>
          <w:color w:val="333333"/>
          <w:sz w:val="21"/>
          <w:szCs w:val="21"/>
        </w:rPr>
        <w:t> </w:t>
      </w:r>
      <w:r>
        <w:rPr>
          <w:rStyle w:val="Emphasis"/>
          <w:rFonts w:ascii="Georgia" w:hAnsi="Georgia"/>
          <w:color w:val="333333"/>
          <w:sz w:val="20"/>
          <w:szCs w:val="20"/>
        </w:rPr>
        <w:t>H</w:t>
      </w:r>
      <w:r>
        <w:rPr>
          <w:rFonts w:ascii="Georgia" w:hAnsi="Georgia"/>
          <w:color w:val="333333"/>
          <w:sz w:val="15"/>
          <w:szCs w:val="15"/>
          <w:vertAlign w:val="subscript"/>
        </w:rPr>
        <w:t>0</w:t>
      </w:r>
      <w:r>
        <w:rPr>
          <w:rStyle w:val="apple-converted-space"/>
          <w:rFonts w:ascii="Georgia" w:hAnsi="Georgia"/>
          <w:color w:val="333333"/>
          <w:sz w:val="21"/>
          <w:szCs w:val="21"/>
        </w:rPr>
        <w:t> </w:t>
      </w:r>
      <w:r>
        <w:rPr>
          <w:rFonts w:ascii="Georgia" w:hAnsi="Georgia"/>
          <w:color w:val="333333"/>
          <w:sz w:val="21"/>
          <w:szCs w:val="21"/>
        </w:rPr>
        <w:t>is true. This point is so important that we will repeat it in a display:</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shd w:val="clear" w:color="auto" w:fill="FFFFFF" w:themeFill="background1"/>
        <w:spacing w:after="0" w:line="360" w:lineRule="auto"/>
        <w:ind w:right="374"/>
        <w:textAlignment w:val="baseline"/>
        <w:rPr>
          <w:rStyle w:val="Emphasis"/>
          <w:sz w:val="20"/>
          <w:szCs w:val="20"/>
          <w:shd w:val="clear" w:color="auto" w:fill="F4F4F4"/>
        </w:rPr>
      </w:pPr>
      <w:r>
        <w:rPr>
          <w:rStyle w:val="Emphasis"/>
          <w:rFonts w:ascii="Georgia" w:hAnsi="Georgia"/>
          <w:color w:val="333333"/>
          <w:sz w:val="20"/>
          <w:szCs w:val="20"/>
          <w:shd w:val="clear" w:color="auto" w:fill="F4F4F4"/>
        </w:rPr>
        <w:t>The test procedure is based on the initial assumption that</w:t>
      </w:r>
      <w:r>
        <w:rPr>
          <w:rStyle w:val="apple-converted-space"/>
          <w:rFonts w:ascii="Georgia" w:hAnsi="Georgia"/>
          <w:color w:val="333333"/>
          <w:sz w:val="20"/>
          <w:szCs w:val="20"/>
          <w:shd w:val="clear" w:color="auto" w:fill="F4F4F4"/>
        </w:rPr>
        <w:t> </w:t>
      </w:r>
      <w:r>
        <w:rPr>
          <w:rStyle w:val="Emphasis"/>
          <w:rFonts w:ascii="Georgia" w:hAnsi="Georgia"/>
          <w:color w:val="333333"/>
          <w:sz w:val="20"/>
          <w:szCs w:val="20"/>
          <w:shd w:val="clear" w:color="auto" w:fill="F4F4F4"/>
        </w:rPr>
        <w:t>H</w:t>
      </w:r>
      <w:r>
        <w:rPr>
          <w:rFonts w:ascii="Georgia" w:hAnsi="Georgia"/>
          <w:color w:val="333333"/>
          <w:sz w:val="20"/>
          <w:szCs w:val="20"/>
          <w:shd w:val="clear" w:color="auto" w:fill="F4F4F4"/>
          <w:vertAlign w:val="subscript"/>
        </w:rPr>
        <w:t>0</w:t>
      </w:r>
      <w:r>
        <w:rPr>
          <w:rStyle w:val="apple-converted-space"/>
          <w:rFonts w:ascii="Georgia" w:hAnsi="Georgia"/>
          <w:color w:val="333333"/>
          <w:sz w:val="20"/>
          <w:szCs w:val="20"/>
          <w:shd w:val="clear" w:color="auto" w:fill="F4F4F4"/>
        </w:rPr>
        <w:t> </w:t>
      </w:r>
      <w:r>
        <w:rPr>
          <w:rStyle w:val="Emphasis"/>
          <w:rFonts w:ascii="Georgia" w:hAnsi="Georgia"/>
          <w:color w:val="333333"/>
          <w:sz w:val="20"/>
          <w:szCs w:val="20"/>
          <w:shd w:val="clear" w:color="auto" w:fill="F4F4F4"/>
        </w:rPr>
        <w:t>is true.</w:t>
      </w:r>
    </w:p>
    <w:p w:rsidR="00AD77BB" w:rsidRDefault="00AD77BB">
      <w:pPr>
        <w:shd w:val="clear" w:color="auto" w:fill="FFFFFF" w:themeFill="background1"/>
        <w:spacing w:after="0" w:line="360" w:lineRule="auto"/>
        <w:ind w:right="374"/>
        <w:textAlignment w:val="baseline"/>
        <w:rPr>
          <w:rStyle w:val="Emphasis"/>
          <w:rFonts w:ascii="Georgia" w:hAnsi="Georgia"/>
          <w:color w:val="333333"/>
          <w:sz w:val="20"/>
          <w:szCs w:val="20"/>
          <w:shd w:val="clear" w:color="auto" w:fill="F4F4F4"/>
        </w:rPr>
      </w:pP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FF0000"/>
        </w:rPr>
      </w:pPr>
      <w:r>
        <w:rPr>
          <w:rFonts w:ascii="Calibri" w:eastAsia="Times New Roman" w:hAnsi="Calibri" w:cs="Times New Roman"/>
          <w:b/>
          <w:noProof/>
          <w:color w:val="FF0000"/>
          <w:sz w:val="20"/>
          <w:szCs w:val="20"/>
        </w:rPr>
        <w:drawing>
          <wp:inline distT="0" distB="0" distL="0" distR="0" wp14:anchorId="0223D45D" wp14:editId="33969D39">
            <wp:extent cx="4371975" cy="2981325"/>
            <wp:effectExtent l="0" t="0" r="9525" b="9525"/>
            <wp:docPr id="255"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371975" cy="2981325"/>
                    </a:xfrm>
                    <a:prstGeom prst="rect">
                      <a:avLst/>
                    </a:prstGeom>
                    <a:noFill/>
                    <a:ln>
                      <a:noFill/>
                    </a:ln>
                  </pic:spPr>
                </pic:pic>
              </a:graphicData>
            </a:graphic>
          </wp:inline>
        </w:drawing>
      </w: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lastRenderedPageBreak/>
        <w:t>Figure 8.1</w:t>
      </w:r>
      <w:r>
        <w:rPr>
          <w:rFonts w:ascii="Georgia" w:eastAsia="Times New Roman" w:hAnsi="Georgia" w:cs="Times New Roman"/>
          <w:i/>
          <w:iCs/>
          <w:color w:val="BB9966"/>
          <w:sz w:val="19"/>
          <w:szCs w:val="19"/>
        </w:rPr>
        <w:t> The Density Curve for </w:t>
      </w:r>
      <w:r>
        <w:rPr>
          <w:rFonts w:ascii="MathJax_Math" w:eastAsia="Times New Roman" w:hAnsi="MathJax_Math" w:cs="Times New Roman"/>
          <w:i/>
          <w:iCs/>
          <w:color w:val="BB9966"/>
          <w:sz w:val="15"/>
          <w:szCs w:val="15"/>
        </w:rPr>
        <w:t>X</w:t>
      </w:r>
      <w:r>
        <w:rPr>
          <w:rFonts w:ascii="MathJax_Main" w:eastAsia="Times New Roman" w:hAnsi="MathJax_Main" w:cs="Times New Roman"/>
          <w:color w:val="BB9966"/>
          <w:sz w:val="18"/>
          <w:szCs w:val="18"/>
        </w:rPr>
        <w:t>−−</w:t>
      </w:r>
      <w:r>
        <w:rPr>
          <w:rFonts w:ascii="Georgia" w:eastAsia="Times New Roman" w:hAnsi="Georgia" w:cs="Times New Roman"/>
          <w:i/>
          <w:iCs/>
          <w:color w:val="BB9966"/>
          <w:sz w:val="19"/>
          <w:szCs w:val="19"/>
        </w:rPr>
        <w:t> if </w:t>
      </w:r>
      <w:r>
        <w:rPr>
          <w:rFonts w:ascii="Georgia" w:eastAsia="Times New Roman" w:hAnsi="Georgia" w:cs="Times New Roman"/>
          <w:i/>
          <w:iCs/>
          <w:color w:val="BB9966"/>
          <w:sz w:val="20"/>
          <w:szCs w:val="20"/>
        </w:rPr>
        <w:t>H</w:t>
      </w:r>
      <w:r>
        <w:rPr>
          <w:rFonts w:ascii="Georgia" w:eastAsia="Times New Roman" w:hAnsi="Georgia" w:cs="Times New Roman"/>
          <w:i/>
          <w:iCs/>
          <w:color w:val="BB9966"/>
          <w:sz w:val="15"/>
          <w:szCs w:val="15"/>
          <w:vertAlign w:val="subscript"/>
        </w:rPr>
        <w:t>0</w:t>
      </w:r>
      <w:r>
        <w:rPr>
          <w:rFonts w:ascii="Georgia" w:eastAsia="Times New Roman" w:hAnsi="Georgia" w:cs="Times New Roman"/>
          <w:i/>
          <w:iCs/>
          <w:color w:val="BB9966"/>
          <w:sz w:val="19"/>
          <w:szCs w:val="19"/>
        </w:rPr>
        <w:t> Is True</w:t>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noProof/>
          <w:color w:val="2689C6"/>
          <w:sz w:val="26"/>
          <w:szCs w:val="26"/>
          <w:shd w:val="clear" w:color="auto" w:fill="FFFFFF"/>
        </w:rPr>
        <w:drawing>
          <wp:inline distT="0" distB="0" distL="0" distR="0" wp14:anchorId="341A5858" wp14:editId="71BC0121">
            <wp:extent cx="5857875" cy="3333750"/>
            <wp:effectExtent l="0" t="0" r="9525" b="0"/>
            <wp:docPr id="256" name="Picture 262" descr="http://images.flatworldknowledge.com/shafer/shafer-fig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images.flatworldknowledge.com/shafer/shafer-fig08_001.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857875" cy="3333750"/>
                    </a:xfrm>
                    <a:prstGeom prst="rect">
                      <a:avLst/>
                    </a:prstGeom>
                    <a:noFill/>
                    <a:ln>
                      <a:noFill/>
                    </a:ln>
                  </pic:spPr>
                </pic:pic>
              </a:graphicData>
            </a:graphic>
          </wp:inline>
        </w:drawing>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Think of the respirator example, for which the null hypothesis is </w:t>
      </w:r>
      <w:r>
        <w:rPr>
          <w:rFonts w:ascii="MathJax_Math" w:eastAsia="Times New Roman" w:hAnsi="MathJax_Math" w:cs="Times New Roman"/>
          <w:i/>
          <w:iCs/>
          <w:color w:val="333333"/>
          <w:sz w:val="18"/>
          <w:szCs w:val="18"/>
        </w:rPr>
        <w:t>H</w:t>
      </w:r>
      <w:r>
        <w:rPr>
          <w:rFonts w:ascii="MathJax_Main" w:eastAsia="Times New Roman" w:hAnsi="MathJax_Main" w:cs="Times New Roman"/>
          <w:color w:val="333333"/>
          <w:sz w:val="14"/>
          <w:szCs w:val="14"/>
        </w:rPr>
        <w:t>0</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μ</w:t>
      </w:r>
      <w:r>
        <w:rPr>
          <w:rFonts w:ascii="MathJax_Main" w:eastAsia="Times New Roman" w:hAnsi="MathJax_Main" w:cs="Times New Roman"/>
          <w:color w:val="333333"/>
          <w:sz w:val="18"/>
          <w:szCs w:val="18"/>
        </w:rPr>
        <w:t>=75</w:t>
      </w:r>
      <w:r>
        <w:rPr>
          <w:rFonts w:ascii="Georgia" w:eastAsia="Times New Roman" w:hAnsi="Georgia" w:cs="Times New Roman"/>
          <w:color w:val="333333"/>
          <w:sz w:val="21"/>
          <w:szCs w:val="21"/>
        </w:rPr>
        <w:t>, the claim that the average time air is delivered for </w:t>
      </w:r>
      <w:r>
        <w:rPr>
          <w:rFonts w:ascii="Georgia" w:eastAsia="Times New Roman" w:hAnsi="Georgia" w:cs="Times New Roman"/>
          <w:i/>
          <w:iCs/>
          <w:color w:val="333333"/>
          <w:sz w:val="20"/>
          <w:szCs w:val="20"/>
        </w:rPr>
        <w:t>all</w:t>
      </w:r>
      <w:r>
        <w:rPr>
          <w:rFonts w:ascii="Georgia" w:eastAsia="Times New Roman" w:hAnsi="Georgia" w:cs="Times New Roman"/>
          <w:color w:val="333333"/>
          <w:sz w:val="21"/>
          <w:szCs w:val="21"/>
        </w:rPr>
        <w:t> respirators is 75 minutes. If the sample mean is 75 or greater then we certainly would not reject </w:t>
      </w:r>
      <w:r>
        <w:rPr>
          <w:rFonts w:ascii="Georgia" w:eastAsia="Times New Roman" w:hAnsi="Georgia" w:cs="Times New Roman"/>
          <w:i/>
          <w:iCs/>
          <w:color w:val="333333"/>
          <w:sz w:val="20"/>
          <w:szCs w:val="20"/>
        </w:rPr>
        <w:t>H</w:t>
      </w:r>
      <w:r>
        <w:rPr>
          <w:rFonts w:ascii="Georgia" w:eastAsia="Times New Roman" w:hAnsi="Georgia" w:cs="Times New Roman"/>
          <w:color w:val="333333"/>
          <w:sz w:val="15"/>
          <w:szCs w:val="15"/>
          <w:vertAlign w:val="subscript"/>
        </w:rPr>
        <w:t>0</w:t>
      </w:r>
      <w:r>
        <w:rPr>
          <w:rFonts w:ascii="Georgia" w:eastAsia="Times New Roman" w:hAnsi="Georgia" w:cs="Times New Roman"/>
          <w:color w:val="333333"/>
          <w:sz w:val="21"/>
          <w:szCs w:val="21"/>
        </w:rPr>
        <w:t> (since there is no issue with an emergency respirator delivering air even longer than claimed).</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 xml:space="preserve">If the sample mean is slightly less than 75 then we would logically attribute the difference to </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sampling error and also not reject </w:t>
      </w:r>
      <w:r>
        <w:rPr>
          <w:rFonts w:ascii="Georgia" w:eastAsia="Times New Roman" w:hAnsi="Georgia" w:cs="Times New Roman"/>
          <w:i/>
          <w:iCs/>
          <w:color w:val="333333"/>
          <w:sz w:val="20"/>
          <w:szCs w:val="20"/>
        </w:rPr>
        <w:t>H</w:t>
      </w:r>
      <w:r>
        <w:rPr>
          <w:rFonts w:ascii="Georgia" w:eastAsia="Times New Roman" w:hAnsi="Georgia" w:cs="Times New Roman"/>
          <w:color w:val="333333"/>
          <w:sz w:val="15"/>
          <w:szCs w:val="15"/>
          <w:vertAlign w:val="subscript"/>
        </w:rPr>
        <w:t>0</w:t>
      </w:r>
      <w:r>
        <w:rPr>
          <w:rFonts w:ascii="Georgia" w:eastAsia="Times New Roman" w:hAnsi="Georgia" w:cs="Times New Roman"/>
          <w:color w:val="333333"/>
          <w:sz w:val="21"/>
          <w:szCs w:val="21"/>
        </w:rPr>
        <w:t> either.</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Values of the sample mean that are smaller and smaller are less and less likely to come from a population for which the population mean is 75. Thus if the sample mean is far less than 75, say around 60 minutes or less, then we would certainly reject </w:t>
      </w:r>
      <w:r>
        <w:rPr>
          <w:rFonts w:ascii="Georgia" w:eastAsia="Times New Roman" w:hAnsi="Georgia" w:cs="Times New Roman"/>
          <w:i/>
          <w:iCs/>
          <w:color w:val="333333"/>
          <w:sz w:val="20"/>
          <w:szCs w:val="20"/>
        </w:rPr>
        <w:t>H</w:t>
      </w:r>
      <w:r>
        <w:rPr>
          <w:rFonts w:ascii="Georgia" w:eastAsia="Times New Roman" w:hAnsi="Georgia" w:cs="Times New Roman"/>
          <w:color w:val="333333"/>
          <w:sz w:val="15"/>
          <w:szCs w:val="15"/>
          <w:vertAlign w:val="subscript"/>
        </w:rPr>
        <w:t>0</w:t>
      </w:r>
      <w:r>
        <w:rPr>
          <w:rFonts w:ascii="Georgia" w:eastAsia="Times New Roman" w:hAnsi="Georgia" w:cs="Times New Roman"/>
          <w:color w:val="333333"/>
          <w:sz w:val="21"/>
          <w:szCs w:val="21"/>
        </w:rPr>
        <w:t>, because we know that it is highly unlikely that the average of a sample would be so low if the population mean were 75. This is the </w:t>
      </w:r>
      <w:r>
        <w:rPr>
          <w:rFonts w:ascii="Georgia" w:eastAsia="Times New Roman" w:hAnsi="Georgia" w:cs="Times New Roman"/>
          <w:i/>
          <w:iCs/>
          <w:color w:val="333333"/>
          <w:sz w:val="20"/>
          <w:szCs w:val="20"/>
        </w:rPr>
        <w:t>rare event criterion</w:t>
      </w:r>
      <w:r>
        <w:rPr>
          <w:rFonts w:ascii="Georgia" w:eastAsia="Times New Roman" w:hAnsi="Georgia" w:cs="Times New Roman"/>
          <w:color w:val="333333"/>
          <w:sz w:val="21"/>
          <w:szCs w:val="21"/>
        </w:rPr>
        <w:t xml:space="preserve">for rejection: what we actually observed </w:t>
      </w:r>
      <w:r>
        <w:rPr>
          <w:rFonts w:ascii="Georgia" w:eastAsia="Times New Roman" w:hAnsi="Georgia" w:cs="Times New Roman"/>
          <w:b/>
          <w:color w:val="333333"/>
          <w:sz w:val="21"/>
          <w:szCs w:val="21"/>
        </w:rPr>
        <w:t>(</w:t>
      </w:r>
      <w:r>
        <w:rPr>
          <w:rFonts w:ascii="MathJax_Math" w:eastAsia="Times New Roman" w:hAnsi="MathJax_Math" w:cs="Times New Roman"/>
          <w:b/>
          <w:i/>
          <w:iCs/>
          <w:color w:val="333333"/>
          <w:sz w:val="18"/>
          <w:szCs w:val="18"/>
        </w:rPr>
        <w:t>X</w:t>
      </w:r>
      <w:r>
        <w:rPr>
          <w:rFonts w:ascii="Times New Roman" w:eastAsia="Times New Roman" w:hAnsi="Times New Roman" w:cs="Times New Roman"/>
          <w:b/>
          <w:i/>
          <w:iCs/>
          <w:color w:val="333333"/>
          <w:sz w:val="18"/>
          <w:szCs w:val="18"/>
        </w:rPr>
        <w:t>^</w:t>
      </w:r>
      <w:r>
        <w:rPr>
          <w:rFonts w:ascii="MathJax_Main" w:eastAsia="Times New Roman" w:hAnsi="MathJax_Main" w:cs="Times New Roman"/>
          <w:b/>
          <w:color w:val="333333"/>
          <w:sz w:val="18"/>
          <w:szCs w:val="18"/>
        </w:rPr>
        <w:t>−−&lt;60</w:t>
      </w:r>
      <w:r>
        <w:rPr>
          <w:rFonts w:ascii="Georgia" w:eastAsia="Times New Roman" w:hAnsi="Georgia" w:cs="Times New Roman"/>
          <w:b/>
          <w:color w:val="333333"/>
          <w:sz w:val="21"/>
          <w:szCs w:val="21"/>
        </w:rPr>
        <w:t xml:space="preserve">) </w:t>
      </w:r>
      <w:r>
        <w:rPr>
          <w:rFonts w:ascii="Georgia" w:eastAsia="Times New Roman" w:hAnsi="Georgia" w:cs="Times New Roman"/>
          <w:color w:val="333333"/>
          <w:sz w:val="21"/>
          <w:szCs w:val="21"/>
        </w:rPr>
        <w:t>would be so rare an event if </w:t>
      </w:r>
      <w:r>
        <w:rPr>
          <w:rFonts w:ascii="Georgia" w:eastAsia="Times New Roman" w:hAnsi="Georgia" w:cs="Times New Roman"/>
          <w:i/>
          <w:iCs/>
          <w:color w:val="333333"/>
          <w:sz w:val="20"/>
          <w:szCs w:val="20"/>
        </w:rPr>
        <w:t>μ</w:t>
      </w:r>
      <w:r>
        <w:rPr>
          <w:rFonts w:ascii="Georgia" w:eastAsia="Times New Roman" w:hAnsi="Georgia" w:cs="Times New Roman"/>
          <w:color w:val="333333"/>
          <w:sz w:val="21"/>
          <w:szCs w:val="21"/>
        </w:rPr>
        <w:t>= 75 were true that we regard it as much more likely that the alternative hypothesis </w:t>
      </w:r>
      <w:r>
        <w:rPr>
          <w:rFonts w:ascii="Georgia" w:eastAsia="Times New Roman" w:hAnsi="Georgia" w:cs="Times New Roman"/>
          <w:i/>
          <w:iCs/>
          <w:color w:val="333333"/>
          <w:sz w:val="20"/>
          <w:szCs w:val="20"/>
        </w:rPr>
        <w:t>μ</w:t>
      </w:r>
      <w:r>
        <w:rPr>
          <w:rFonts w:ascii="Georgia" w:eastAsia="Times New Roman" w:hAnsi="Georgia" w:cs="Times New Roman"/>
          <w:color w:val="333333"/>
          <w:sz w:val="21"/>
          <w:szCs w:val="21"/>
        </w:rPr>
        <w:t> &lt; 75 holds.</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In summary, to decide between </w:t>
      </w:r>
      <w:r>
        <w:rPr>
          <w:rFonts w:ascii="Georgia" w:eastAsia="Times New Roman" w:hAnsi="Georgia" w:cs="Times New Roman"/>
          <w:i/>
          <w:iCs/>
          <w:color w:val="333333"/>
          <w:sz w:val="20"/>
          <w:szCs w:val="20"/>
        </w:rPr>
        <w:t>H</w:t>
      </w:r>
      <w:r>
        <w:rPr>
          <w:rFonts w:ascii="Georgia" w:eastAsia="Times New Roman" w:hAnsi="Georgia" w:cs="Times New Roman"/>
          <w:color w:val="333333"/>
          <w:sz w:val="15"/>
          <w:szCs w:val="15"/>
          <w:vertAlign w:val="subscript"/>
        </w:rPr>
        <w:t>0</w:t>
      </w:r>
      <w:r>
        <w:rPr>
          <w:rFonts w:ascii="Georgia" w:eastAsia="Times New Roman" w:hAnsi="Georgia" w:cs="Times New Roman"/>
          <w:color w:val="333333"/>
          <w:sz w:val="21"/>
          <w:szCs w:val="21"/>
        </w:rPr>
        <w:t> and </w:t>
      </w:r>
      <w:r>
        <w:rPr>
          <w:rFonts w:ascii="Georgia" w:eastAsia="Times New Roman" w:hAnsi="Georgia" w:cs="Times New Roman"/>
          <w:i/>
          <w:iCs/>
          <w:color w:val="333333"/>
          <w:sz w:val="20"/>
          <w:szCs w:val="20"/>
        </w:rPr>
        <w:t>H</w:t>
      </w:r>
      <w:r>
        <w:rPr>
          <w:rFonts w:ascii="Georgia" w:eastAsia="Times New Roman" w:hAnsi="Georgia" w:cs="Times New Roman"/>
          <w:i/>
          <w:iCs/>
          <w:color w:val="333333"/>
          <w:sz w:val="15"/>
          <w:szCs w:val="15"/>
          <w:vertAlign w:val="subscript"/>
        </w:rPr>
        <w:t>a</w:t>
      </w:r>
      <w:r>
        <w:rPr>
          <w:rFonts w:ascii="Georgia" w:eastAsia="Times New Roman" w:hAnsi="Georgia" w:cs="Times New Roman"/>
          <w:color w:val="333333"/>
          <w:sz w:val="21"/>
          <w:szCs w:val="21"/>
        </w:rPr>
        <w:t> in this example we would select a “</w:t>
      </w:r>
      <w:r>
        <w:rPr>
          <w:rFonts w:ascii="Georgia" w:eastAsia="Times New Roman" w:hAnsi="Georgia" w:cs="Times New Roman"/>
          <w:b/>
          <w:color w:val="333333"/>
          <w:sz w:val="20"/>
          <w:szCs w:val="20"/>
        </w:rPr>
        <w:t>rejection region</w:t>
      </w:r>
      <w:r>
        <w:rPr>
          <w:rFonts w:ascii="Georgia" w:eastAsia="Times New Roman" w:hAnsi="Georgia" w:cs="Times New Roman"/>
          <w:color w:val="333333"/>
          <w:sz w:val="21"/>
          <w:szCs w:val="21"/>
        </w:rPr>
        <w:t>” of values sufficiently far to the left of 75, based on the rare event criterion, and reject </w:t>
      </w:r>
      <w:r>
        <w:rPr>
          <w:rFonts w:ascii="Georgia" w:eastAsia="Times New Roman" w:hAnsi="Georgia" w:cs="Times New Roman"/>
          <w:i/>
          <w:iCs/>
          <w:color w:val="333333"/>
          <w:sz w:val="20"/>
          <w:szCs w:val="20"/>
        </w:rPr>
        <w:t>H</w:t>
      </w:r>
      <w:r>
        <w:rPr>
          <w:rFonts w:ascii="Georgia" w:eastAsia="Times New Roman" w:hAnsi="Georgia" w:cs="Times New Roman"/>
          <w:color w:val="333333"/>
          <w:sz w:val="15"/>
          <w:szCs w:val="15"/>
          <w:vertAlign w:val="subscript"/>
        </w:rPr>
        <w:t>0</w:t>
      </w:r>
      <w:r>
        <w:rPr>
          <w:rFonts w:ascii="Georgia" w:eastAsia="Times New Roman" w:hAnsi="Georgia" w:cs="Times New Roman"/>
          <w:color w:val="333333"/>
          <w:sz w:val="21"/>
          <w:szCs w:val="21"/>
        </w:rPr>
        <w:t> if the sample mean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8"/>
          <w:szCs w:val="18"/>
        </w:rPr>
        <w:t>−−</w:t>
      </w:r>
      <w:r>
        <w:rPr>
          <w:rFonts w:ascii="Georgia" w:eastAsia="Times New Roman" w:hAnsi="Georgia" w:cs="Times New Roman"/>
          <w:color w:val="333333"/>
          <w:sz w:val="21"/>
          <w:szCs w:val="21"/>
        </w:rPr>
        <w:t> lies in the rejection region, but not reject </w:t>
      </w:r>
      <w:r>
        <w:rPr>
          <w:rFonts w:ascii="Georgia" w:eastAsia="Times New Roman" w:hAnsi="Georgia" w:cs="Times New Roman"/>
          <w:i/>
          <w:iCs/>
          <w:color w:val="333333"/>
          <w:sz w:val="20"/>
          <w:szCs w:val="20"/>
        </w:rPr>
        <w:t>H</w:t>
      </w:r>
      <w:r>
        <w:rPr>
          <w:rFonts w:ascii="Georgia" w:eastAsia="Times New Roman" w:hAnsi="Georgia" w:cs="Times New Roman"/>
          <w:color w:val="333333"/>
          <w:sz w:val="15"/>
          <w:szCs w:val="15"/>
          <w:vertAlign w:val="subscript"/>
        </w:rPr>
        <w:t>0</w:t>
      </w:r>
      <w:r>
        <w:rPr>
          <w:rFonts w:ascii="Georgia" w:eastAsia="Times New Roman" w:hAnsi="Georgia" w:cs="Times New Roman"/>
          <w:color w:val="333333"/>
          <w:sz w:val="21"/>
          <w:szCs w:val="21"/>
        </w:rPr>
        <w:t> if it does not.</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pStyle w:val="Heading2"/>
        <w:shd w:val="clear" w:color="auto" w:fill="FFFFFF"/>
        <w:spacing w:before="0" w:line="439" w:lineRule="atLeast"/>
        <w:textAlignment w:val="baseline"/>
        <w:rPr>
          <w:rFonts w:ascii="Calibri" w:hAnsi="Calibri"/>
          <w:color w:val="333333"/>
          <w:sz w:val="29"/>
          <w:szCs w:val="29"/>
        </w:rPr>
      </w:pPr>
      <w:r>
        <w:rPr>
          <w:rFonts w:ascii="Calibri" w:hAnsi="Calibri"/>
          <w:color w:val="333333"/>
          <w:sz w:val="29"/>
          <w:szCs w:val="29"/>
        </w:rPr>
        <w:lastRenderedPageBreak/>
        <w:t>The Rejection Region</w:t>
      </w:r>
    </w:p>
    <w:p w:rsidR="00AD77BB" w:rsidRDefault="00AD77BB"/>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Each different form of the alternative hypothesis</w:t>
      </w:r>
      <w:r>
        <w:rPr>
          <w:rStyle w:val="apple-converted-space"/>
          <w:rFonts w:ascii="Georgia" w:hAnsi="Georgia"/>
          <w:color w:val="333333"/>
          <w:sz w:val="21"/>
          <w:szCs w:val="21"/>
        </w:rPr>
        <w:t> </w:t>
      </w:r>
      <w:r>
        <w:rPr>
          <w:rStyle w:val="Emphasis"/>
          <w:rFonts w:ascii="Georgia" w:hAnsi="Georgia"/>
          <w:color w:val="333333"/>
          <w:sz w:val="20"/>
          <w:szCs w:val="20"/>
        </w:rPr>
        <w:t>H</w:t>
      </w:r>
      <w:r>
        <w:rPr>
          <w:rStyle w:val="Emphasis"/>
          <w:rFonts w:ascii="Georgia" w:hAnsi="Georgia"/>
          <w:color w:val="333333"/>
          <w:sz w:val="15"/>
          <w:szCs w:val="15"/>
          <w:vertAlign w:val="subscript"/>
        </w:rPr>
        <w:t>a</w:t>
      </w:r>
      <w:r>
        <w:rPr>
          <w:rStyle w:val="apple-converted-space"/>
          <w:rFonts w:ascii="Georgia" w:hAnsi="Georgia"/>
          <w:color w:val="333333"/>
          <w:sz w:val="21"/>
          <w:szCs w:val="21"/>
        </w:rPr>
        <w:t> </w:t>
      </w:r>
      <w:r>
        <w:rPr>
          <w:rFonts w:ascii="Georgia" w:hAnsi="Georgia"/>
          <w:color w:val="333333"/>
          <w:sz w:val="21"/>
          <w:szCs w:val="21"/>
        </w:rPr>
        <w:t>has its own kind of rejection region:</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numPr>
          <w:ilvl w:val="0"/>
          <w:numId w:val="184"/>
        </w:numPr>
        <w:shd w:val="clear" w:color="auto" w:fill="FFFFFF"/>
        <w:spacing w:after="0" w:line="360" w:lineRule="auto"/>
        <w:ind w:left="360"/>
        <w:textAlignment w:val="baseline"/>
        <w:rPr>
          <w:rFonts w:ascii="Georgia" w:hAnsi="Georgia"/>
          <w:color w:val="333333"/>
          <w:sz w:val="20"/>
          <w:szCs w:val="20"/>
        </w:rPr>
      </w:pPr>
      <w:r>
        <w:rPr>
          <w:rFonts w:ascii="Georgia" w:hAnsi="Georgia"/>
          <w:color w:val="333333"/>
          <w:sz w:val="20"/>
          <w:szCs w:val="20"/>
        </w:rPr>
        <w:t>if (as in the respirator example)</w:t>
      </w:r>
      <w:r>
        <w:rPr>
          <w:rStyle w:val="apple-converted-space"/>
          <w:rFonts w:ascii="Georgia" w:hAnsi="Georgia"/>
          <w:color w:val="333333"/>
          <w:sz w:val="20"/>
          <w:szCs w:val="20"/>
        </w:rPr>
        <w:t> </w:t>
      </w:r>
      <w:r>
        <w:rPr>
          <w:rStyle w:val="Emphasis"/>
          <w:rFonts w:ascii="Georgia" w:hAnsi="Georgia"/>
          <w:color w:val="333333"/>
          <w:sz w:val="20"/>
          <w:szCs w:val="20"/>
        </w:rPr>
        <w:t>H</w:t>
      </w:r>
      <w:r>
        <w:rPr>
          <w:rStyle w:val="Emphasis"/>
          <w:rFonts w:ascii="Georgia" w:hAnsi="Georgia"/>
          <w:color w:val="333333"/>
          <w:sz w:val="15"/>
          <w:szCs w:val="15"/>
          <w:vertAlign w:val="subscript"/>
        </w:rPr>
        <w:t>a</w:t>
      </w:r>
      <w:r>
        <w:rPr>
          <w:rStyle w:val="apple-converted-space"/>
          <w:rFonts w:ascii="Georgia" w:hAnsi="Georgia"/>
          <w:color w:val="333333"/>
          <w:sz w:val="20"/>
          <w:szCs w:val="20"/>
        </w:rPr>
        <w:t> </w:t>
      </w:r>
      <w:r>
        <w:rPr>
          <w:rFonts w:ascii="Georgia" w:hAnsi="Georgia"/>
          <w:color w:val="333333"/>
          <w:sz w:val="20"/>
          <w:szCs w:val="20"/>
        </w:rPr>
        <w:t>has the form</w:t>
      </w:r>
      <w:r>
        <w:rPr>
          <w:rStyle w:val="apple-converted-space"/>
          <w:rFonts w:ascii="Georgia" w:hAnsi="Georgia"/>
          <w:color w:val="333333"/>
          <w:sz w:val="20"/>
          <w:szCs w:val="20"/>
        </w:rPr>
        <w:t> </w:t>
      </w:r>
      <w:r>
        <w:rPr>
          <w:rStyle w:val="mi"/>
          <w:rFonts w:ascii="MathJax_Math" w:hAnsi="MathJax_Math"/>
          <w:i/>
          <w:iCs/>
          <w:color w:val="333333"/>
          <w:sz w:val="18"/>
          <w:szCs w:val="18"/>
        </w:rPr>
        <w:t>H</w:t>
      </w:r>
      <w:r>
        <w:rPr>
          <w:rStyle w:val="mi"/>
          <w:rFonts w:ascii="MathJax_Math" w:hAnsi="MathJax_Math"/>
          <w:i/>
          <w:iCs/>
          <w:color w:val="333333"/>
          <w:sz w:val="14"/>
          <w:szCs w:val="14"/>
          <w:vertAlign w:val="subscript"/>
        </w:rPr>
        <w:t>a</w:t>
      </w:r>
      <w:r>
        <w:rPr>
          <w:rStyle w:val="mo"/>
          <w:rFonts w:ascii="MathJax_Main" w:hAnsi="MathJax_Main"/>
          <w:color w:val="333333"/>
          <w:sz w:val="18"/>
          <w:szCs w:val="18"/>
        </w:rPr>
        <w:t>:</w:t>
      </w:r>
      <w:r>
        <w:rPr>
          <w:rStyle w:val="mi"/>
          <w:rFonts w:ascii="MathJax_Math" w:hAnsi="MathJax_Math"/>
          <w:i/>
          <w:iCs/>
          <w:color w:val="333333"/>
          <w:sz w:val="18"/>
          <w:szCs w:val="18"/>
        </w:rPr>
        <w:t>μ</w:t>
      </w:r>
      <w:r>
        <w:rPr>
          <w:rStyle w:val="mo"/>
          <w:rFonts w:ascii="MathJax_Main" w:hAnsi="MathJax_Main"/>
          <w:color w:val="333333"/>
          <w:sz w:val="18"/>
          <w:szCs w:val="18"/>
        </w:rPr>
        <w:t>&lt;</w:t>
      </w:r>
      <w:r>
        <w:rPr>
          <w:rStyle w:val="mi"/>
          <w:rFonts w:ascii="MathJax_Math" w:hAnsi="MathJax_Math"/>
          <w:i/>
          <w:iCs/>
          <w:color w:val="333333"/>
          <w:sz w:val="18"/>
          <w:szCs w:val="18"/>
        </w:rPr>
        <w:t>μ</w:t>
      </w:r>
      <w:r>
        <w:rPr>
          <w:rStyle w:val="mn"/>
          <w:rFonts w:ascii="MathJax_Main" w:hAnsi="MathJax_Main"/>
          <w:color w:val="333333"/>
          <w:sz w:val="14"/>
          <w:szCs w:val="14"/>
          <w:vertAlign w:val="subscript"/>
        </w:rPr>
        <w:t>0</w:t>
      </w:r>
      <w:r>
        <w:rPr>
          <w:rFonts w:ascii="Georgia" w:hAnsi="Georgia"/>
          <w:color w:val="333333"/>
          <w:sz w:val="20"/>
          <w:szCs w:val="20"/>
        </w:rPr>
        <w:t>, we reject</w:t>
      </w:r>
      <w:r>
        <w:rPr>
          <w:rStyle w:val="apple-converted-space"/>
          <w:rFonts w:ascii="Georgia" w:hAnsi="Georgia"/>
          <w:color w:val="333333"/>
          <w:sz w:val="20"/>
          <w:szCs w:val="20"/>
        </w:rPr>
        <w:t> </w:t>
      </w:r>
      <w:r>
        <w:rPr>
          <w:rStyle w:val="Emphasis"/>
          <w:rFonts w:ascii="Georgia" w:hAnsi="Georgia"/>
          <w:color w:val="333333"/>
          <w:sz w:val="20"/>
          <w:szCs w:val="20"/>
        </w:rPr>
        <w:t>H</w:t>
      </w:r>
      <w:r>
        <w:rPr>
          <w:rFonts w:ascii="Georgia" w:hAnsi="Georgia"/>
          <w:color w:val="333333"/>
          <w:sz w:val="15"/>
          <w:szCs w:val="15"/>
          <w:vertAlign w:val="subscript"/>
        </w:rPr>
        <w:t>0</w:t>
      </w:r>
      <w:r>
        <w:rPr>
          <w:rStyle w:val="apple-converted-space"/>
          <w:rFonts w:ascii="Georgia" w:hAnsi="Georgia"/>
          <w:color w:val="333333"/>
          <w:sz w:val="20"/>
          <w:szCs w:val="20"/>
        </w:rPr>
        <w:t> </w:t>
      </w:r>
      <w:r>
        <w:rPr>
          <w:rFonts w:ascii="Georgia" w:hAnsi="Georgia"/>
          <w:color w:val="333333"/>
          <w:sz w:val="20"/>
          <w:szCs w:val="20"/>
        </w:rPr>
        <w:t>if</w:t>
      </w:r>
      <w:r>
        <w:rPr>
          <w:rStyle w:val="apple-converted-space"/>
          <w:rFonts w:ascii="Georgia" w:hAnsi="Georgia"/>
          <w:color w:val="333333"/>
          <w:sz w:val="20"/>
          <w:szCs w:val="20"/>
        </w:rPr>
        <w:t> </w:t>
      </w:r>
      <w:r>
        <w:rPr>
          <w:rStyle w:val="mi"/>
          <w:rFonts w:ascii="MathJax_Math" w:hAnsi="MathJax_Math"/>
          <w:i/>
          <w:iCs/>
          <w:color w:val="333333"/>
          <w:sz w:val="18"/>
          <w:szCs w:val="18"/>
        </w:rPr>
        <w:t>x</w:t>
      </w:r>
      <w:r>
        <w:rPr>
          <w:rStyle w:val="mo"/>
          <w:rFonts w:ascii="MathJax_Main" w:hAnsi="MathJax_Main"/>
          <w:color w:val="333333"/>
          <w:sz w:val="18"/>
          <w:szCs w:val="18"/>
        </w:rPr>
        <w:t>−</w:t>
      </w:r>
      <w:r>
        <w:rPr>
          <w:rFonts w:ascii="Georgia" w:hAnsi="Georgia"/>
          <w:color w:val="333333"/>
          <w:sz w:val="20"/>
          <w:szCs w:val="20"/>
        </w:rPr>
        <w:t>is far to the left of</w:t>
      </w:r>
      <w:r>
        <w:rPr>
          <w:rStyle w:val="apple-converted-space"/>
          <w:rFonts w:ascii="Georgia" w:hAnsi="Georgia"/>
          <w:color w:val="333333"/>
          <w:sz w:val="20"/>
          <w:szCs w:val="20"/>
        </w:rPr>
        <w:t> </w:t>
      </w:r>
      <w:r>
        <w:rPr>
          <w:rStyle w:val="mi"/>
          <w:rFonts w:ascii="MathJax_Math" w:hAnsi="MathJax_Math"/>
          <w:i/>
          <w:iCs/>
          <w:color w:val="333333"/>
          <w:sz w:val="18"/>
          <w:szCs w:val="18"/>
        </w:rPr>
        <w:t>μ</w:t>
      </w:r>
      <w:r>
        <w:rPr>
          <w:rStyle w:val="mn"/>
          <w:rFonts w:ascii="MathJax_Main" w:hAnsi="MathJax_Main"/>
          <w:color w:val="333333"/>
          <w:sz w:val="14"/>
          <w:szCs w:val="14"/>
        </w:rPr>
        <w:t>0</w:t>
      </w:r>
      <w:r>
        <w:rPr>
          <w:rFonts w:ascii="Georgia" w:hAnsi="Georgia"/>
          <w:color w:val="333333"/>
          <w:sz w:val="20"/>
          <w:szCs w:val="20"/>
        </w:rPr>
        <w:t>, that is, to the left of some number</w:t>
      </w:r>
      <w:r>
        <w:rPr>
          <w:rStyle w:val="apple-converted-space"/>
          <w:rFonts w:ascii="Georgia" w:hAnsi="Georgia"/>
          <w:color w:val="333333"/>
          <w:sz w:val="20"/>
          <w:szCs w:val="20"/>
        </w:rPr>
        <w:t> </w:t>
      </w:r>
      <w:r>
        <w:rPr>
          <w:rStyle w:val="Emphasis"/>
          <w:rFonts w:ascii="Georgia" w:hAnsi="Georgia"/>
          <w:color w:val="333333"/>
          <w:sz w:val="20"/>
          <w:szCs w:val="20"/>
        </w:rPr>
        <w:t>C</w:t>
      </w:r>
      <w:r>
        <w:rPr>
          <w:rFonts w:ascii="Georgia" w:hAnsi="Georgia"/>
          <w:color w:val="333333"/>
          <w:sz w:val="20"/>
          <w:szCs w:val="20"/>
        </w:rPr>
        <w:t>, so the rejection region has the form of an interval (−∞,</w:t>
      </w:r>
      <w:r>
        <w:rPr>
          <w:rStyle w:val="Emphasis"/>
          <w:rFonts w:ascii="Georgia" w:hAnsi="Georgia"/>
          <w:color w:val="333333"/>
          <w:sz w:val="20"/>
          <w:szCs w:val="20"/>
        </w:rPr>
        <w:t>C</w:t>
      </w:r>
      <w:r>
        <w:rPr>
          <w:rFonts w:ascii="Georgia" w:hAnsi="Georgia"/>
          <w:color w:val="333333"/>
          <w:sz w:val="20"/>
          <w:szCs w:val="20"/>
        </w:rPr>
        <w:t>];</w:t>
      </w:r>
    </w:p>
    <w:p w:rsidR="00AD77BB" w:rsidRDefault="00B45BA0">
      <w:pPr>
        <w:numPr>
          <w:ilvl w:val="0"/>
          <w:numId w:val="184"/>
        </w:numPr>
        <w:shd w:val="clear" w:color="auto" w:fill="FFFFFF"/>
        <w:spacing w:after="0" w:line="360" w:lineRule="auto"/>
        <w:ind w:left="360"/>
        <w:textAlignment w:val="baseline"/>
        <w:rPr>
          <w:rFonts w:ascii="Georgia" w:hAnsi="Georgia"/>
          <w:color w:val="333333"/>
          <w:sz w:val="20"/>
          <w:szCs w:val="20"/>
        </w:rPr>
      </w:pPr>
      <w:r>
        <w:rPr>
          <w:rFonts w:ascii="Georgia" w:hAnsi="Georgia"/>
          <w:color w:val="333333"/>
          <w:sz w:val="20"/>
          <w:szCs w:val="20"/>
        </w:rPr>
        <w:t>if (as in the textbook example)</w:t>
      </w:r>
      <w:r>
        <w:rPr>
          <w:rStyle w:val="apple-converted-space"/>
          <w:rFonts w:ascii="Georgia" w:hAnsi="Georgia"/>
          <w:color w:val="333333"/>
          <w:sz w:val="20"/>
          <w:szCs w:val="20"/>
        </w:rPr>
        <w:t> </w:t>
      </w:r>
      <w:r>
        <w:rPr>
          <w:rStyle w:val="Emphasis"/>
          <w:rFonts w:ascii="Georgia" w:hAnsi="Georgia"/>
          <w:color w:val="333333"/>
          <w:sz w:val="20"/>
          <w:szCs w:val="20"/>
        </w:rPr>
        <w:t>H</w:t>
      </w:r>
      <w:r>
        <w:rPr>
          <w:rStyle w:val="Emphasis"/>
          <w:rFonts w:ascii="Georgia" w:hAnsi="Georgia"/>
          <w:color w:val="333333"/>
          <w:sz w:val="15"/>
          <w:szCs w:val="15"/>
          <w:vertAlign w:val="subscript"/>
        </w:rPr>
        <w:t>a</w:t>
      </w:r>
      <w:r>
        <w:rPr>
          <w:rStyle w:val="apple-converted-space"/>
          <w:rFonts w:ascii="Georgia" w:hAnsi="Georgia"/>
          <w:color w:val="333333"/>
          <w:sz w:val="20"/>
          <w:szCs w:val="20"/>
        </w:rPr>
        <w:t> </w:t>
      </w:r>
      <w:r>
        <w:rPr>
          <w:rFonts w:ascii="Georgia" w:hAnsi="Georgia"/>
          <w:color w:val="333333"/>
          <w:sz w:val="20"/>
          <w:szCs w:val="20"/>
        </w:rPr>
        <w:t>has the form</w:t>
      </w:r>
      <w:r>
        <w:rPr>
          <w:rStyle w:val="apple-converted-space"/>
          <w:rFonts w:ascii="Georgia" w:hAnsi="Georgia"/>
          <w:color w:val="333333"/>
          <w:sz w:val="20"/>
          <w:szCs w:val="20"/>
        </w:rPr>
        <w:t> </w:t>
      </w:r>
      <w:r>
        <w:rPr>
          <w:rStyle w:val="mi"/>
          <w:rFonts w:ascii="MathJax_Math" w:hAnsi="MathJax_Math"/>
          <w:i/>
          <w:iCs/>
          <w:color w:val="333333"/>
          <w:sz w:val="18"/>
          <w:szCs w:val="18"/>
        </w:rPr>
        <w:t>H</w:t>
      </w:r>
      <w:r>
        <w:rPr>
          <w:rStyle w:val="mi"/>
          <w:rFonts w:ascii="MathJax_Math" w:hAnsi="MathJax_Math"/>
          <w:i/>
          <w:iCs/>
          <w:color w:val="333333"/>
          <w:sz w:val="14"/>
          <w:szCs w:val="14"/>
          <w:vertAlign w:val="subscript"/>
        </w:rPr>
        <w:t>a</w:t>
      </w:r>
      <w:r>
        <w:rPr>
          <w:rStyle w:val="mo"/>
          <w:rFonts w:ascii="MathJax_Main" w:hAnsi="MathJax_Main"/>
          <w:color w:val="333333"/>
          <w:sz w:val="18"/>
          <w:szCs w:val="18"/>
        </w:rPr>
        <w:t>:</w:t>
      </w:r>
      <w:r>
        <w:rPr>
          <w:rStyle w:val="mi"/>
          <w:rFonts w:ascii="MathJax_Math" w:hAnsi="MathJax_Math"/>
          <w:i/>
          <w:iCs/>
          <w:color w:val="333333"/>
          <w:sz w:val="18"/>
          <w:szCs w:val="18"/>
        </w:rPr>
        <w:t>μ</w:t>
      </w:r>
      <w:r>
        <w:rPr>
          <w:rStyle w:val="mo"/>
          <w:rFonts w:ascii="MathJax_Main" w:hAnsi="MathJax_Main"/>
          <w:color w:val="333333"/>
          <w:sz w:val="18"/>
          <w:szCs w:val="18"/>
        </w:rPr>
        <w:t>&gt;</w:t>
      </w:r>
      <w:r>
        <w:rPr>
          <w:rStyle w:val="mi"/>
          <w:rFonts w:ascii="MathJax_Math" w:hAnsi="MathJax_Math"/>
          <w:i/>
          <w:iCs/>
          <w:color w:val="333333"/>
          <w:sz w:val="18"/>
          <w:szCs w:val="18"/>
        </w:rPr>
        <w:t>μ</w:t>
      </w:r>
      <w:r>
        <w:rPr>
          <w:rStyle w:val="mn"/>
          <w:rFonts w:ascii="MathJax_Main" w:hAnsi="MathJax_Main"/>
          <w:color w:val="333333"/>
          <w:sz w:val="14"/>
          <w:szCs w:val="14"/>
          <w:vertAlign w:val="subscript"/>
        </w:rPr>
        <w:t>0</w:t>
      </w:r>
      <w:r>
        <w:rPr>
          <w:rFonts w:ascii="Georgia" w:hAnsi="Georgia"/>
          <w:color w:val="333333"/>
          <w:sz w:val="20"/>
          <w:szCs w:val="20"/>
        </w:rPr>
        <w:t>, we reject</w:t>
      </w:r>
      <w:r>
        <w:rPr>
          <w:rStyle w:val="apple-converted-space"/>
          <w:rFonts w:ascii="Georgia" w:hAnsi="Georgia"/>
          <w:color w:val="333333"/>
          <w:sz w:val="20"/>
          <w:szCs w:val="20"/>
        </w:rPr>
        <w:t> </w:t>
      </w:r>
      <w:r>
        <w:rPr>
          <w:rStyle w:val="Emphasis"/>
          <w:rFonts w:ascii="Georgia" w:hAnsi="Georgia"/>
          <w:color w:val="333333"/>
          <w:sz w:val="20"/>
          <w:szCs w:val="20"/>
        </w:rPr>
        <w:t>H</w:t>
      </w:r>
      <w:r>
        <w:rPr>
          <w:rFonts w:ascii="Georgia" w:hAnsi="Georgia"/>
          <w:color w:val="333333"/>
          <w:sz w:val="15"/>
          <w:szCs w:val="15"/>
          <w:vertAlign w:val="subscript"/>
        </w:rPr>
        <w:t>0</w:t>
      </w:r>
      <w:r>
        <w:rPr>
          <w:rStyle w:val="apple-converted-space"/>
          <w:rFonts w:ascii="Georgia" w:hAnsi="Georgia"/>
          <w:color w:val="333333"/>
          <w:sz w:val="20"/>
          <w:szCs w:val="20"/>
        </w:rPr>
        <w:t> </w:t>
      </w:r>
      <w:r>
        <w:rPr>
          <w:rFonts w:ascii="Georgia" w:hAnsi="Georgia"/>
          <w:color w:val="333333"/>
          <w:sz w:val="20"/>
          <w:szCs w:val="20"/>
        </w:rPr>
        <w:t>if</w:t>
      </w:r>
      <w:r>
        <w:rPr>
          <w:rStyle w:val="apple-converted-space"/>
          <w:rFonts w:ascii="Georgia" w:hAnsi="Georgia"/>
          <w:color w:val="333333"/>
          <w:sz w:val="20"/>
          <w:szCs w:val="20"/>
        </w:rPr>
        <w:t> </w:t>
      </w:r>
      <w:r>
        <w:rPr>
          <w:rStyle w:val="mi"/>
          <w:rFonts w:ascii="MathJax_Math" w:hAnsi="MathJax_Math"/>
          <w:i/>
          <w:iCs/>
          <w:color w:val="333333"/>
          <w:sz w:val="18"/>
          <w:szCs w:val="18"/>
        </w:rPr>
        <w:t>x</w:t>
      </w:r>
      <w:r>
        <w:rPr>
          <w:rStyle w:val="mo"/>
          <w:rFonts w:ascii="MathJax_Main" w:hAnsi="MathJax_Main"/>
          <w:color w:val="333333"/>
          <w:sz w:val="18"/>
          <w:szCs w:val="18"/>
        </w:rPr>
        <w:t>−</w:t>
      </w:r>
      <w:r>
        <w:rPr>
          <w:rFonts w:ascii="Georgia" w:hAnsi="Georgia"/>
          <w:color w:val="333333"/>
          <w:sz w:val="20"/>
          <w:szCs w:val="20"/>
        </w:rPr>
        <w:t>is far to the right of</w:t>
      </w:r>
      <w:r>
        <w:rPr>
          <w:rStyle w:val="apple-converted-space"/>
          <w:rFonts w:ascii="Georgia" w:hAnsi="Georgia"/>
          <w:color w:val="333333"/>
          <w:sz w:val="20"/>
          <w:szCs w:val="20"/>
        </w:rPr>
        <w:t> </w:t>
      </w:r>
      <w:r>
        <w:rPr>
          <w:rStyle w:val="mi"/>
          <w:rFonts w:ascii="MathJax_Math" w:hAnsi="MathJax_Math"/>
          <w:i/>
          <w:iCs/>
          <w:color w:val="333333"/>
          <w:sz w:val="18"/>
          <w:szCs w:val="18"/>
        </w:rPr>
        <w:t>μ</w:t>
      </w:r>
      <w:r>
        <w:rPr>
          <w:rStyle w:val="mn"/>
          <w:rFonts w:ascii="MathJax_Main" w:hAnsi="MathJax_Main"/>
          <w:color w:val="333333"/>
          <w:sz w:val="14"/>
          <w:szCs w:val="14"/>
        </w:rPr>
        <w:t>0</w:t>
      </w:r>
      <w:r>
        <w:rPr>
          <w:rFonts w:ascii="Georgia" w:hAnsi="Georgia"/>
          <w:color w:val="333333"/>
          <w:sz w:val="20"/>
          <w:szCs w:val="20"/>
        </w:rPr>
        <w:t>, that is, to the right of some number</w:t>
      </w:r>
      <w:r>
        <w:rPr>
          <w:rStyle w:val="apple-converted-space"/>
          <w:rFonts w:ascii="Georgia" w:hAnsi="Georgia"/>
          <w:color w:val="333333"/>
          <w:sz w:val="20"/>
          <w:szCs w:val="20"/>
        </w:rPr>
        <w:t> </w:t>
      </w:r>
      <w:r>
        <w:rPr>
          <w:rStyle w:val="Emphasis"/>
          <w:rFonts w:ascii="Georgia" w:hAnsi="Georgia"/>
          <w:color w:val="333333"/>
          <w:sz w:val="20"/>
          <w:szCs w:val="20"/>
        </w:rPr>
        <w:t>C</w:t>
      </w:r>
      <w:r>
        <w:rPr>
          <w:rFonts w:ascii="Georgia" w:hAnsi="Georgia"/>
          <w:color w:val="333333"/>
          <w:sz w:val="20"/>
          <w:szCs w:val="20"/>
        </w:rPr>
        <w:t>, so the rejection region has the form of an interval [</w:t>
      </w:r>
      <w:r>
        <w:rPr>
          <w:rStyle w:val="Emphasis"/>
          <w:rFonts w:ascii="Georgia" w:hAnsi="Georgia"/>
          <w:color w:val="333333"/>
          <w:sz w:val="20"/>
          <w:szCs w:val="20"/>
        </w:rPr>
        <w:t>C</w:t>
      </w:r>
      <w:r>
        <w:rPr>
          <w:rFonts w:ascii="Georgia" w:hAnsi="Georgia"/>
          <w:color w:val="333333"/>
          <w:sz w:val="20"/>
          <w:szCs w:val="20"/>
        </w:rPr>
        <w:t>,∞);</w:t>
      </w:r>
    </w:p>
    <w:p w:rsidR="00AD77BB" w:rsidRDefault="00B45BA0">
      <w:pPr>
        <w:numPr>
          <w:ilvl w:val="0"/>
          <w:numId w:val="184"/>
        </w:numPr>
        <w:shd w:val="clear" w:color="auto" w:fill="FFFFFF"/>
        <w:spacing w:after="0" w:line="360" w:lineRule="auto"/>
        <w:ind w:left="360"/>
        <w:textAlignment w:val="baseline"/>
        <w:rPr>
          <w:rFonts w:ascii="Georgia" w:hAnsi="Georgia"/>
          <w:color w:val="333333"/>
          <w:sz w:val="20"/>
          <w:szCs w:val="20"/>
        </w:rPr>
      </w:pPr>
      <w:r>
        <w:rPr>
          <w:rFonts w:ascii="Georgia" w:hAnsi="Georgia"/>
          <w:color w:val="333333"/>
          <w:sz w:val="20"/>
          <w:szCs w:val="20"/>
        </w:rPr>
        <w:t>if (as in the baked good example)</w:t>
      </w:r>
      <w:r>
        <w:rPr>
          <w:rStyle w:val="apple-converted-space"/>
          <w:rFonts w:ascii="Georgia" w:hAnsi="Georgia"/>
          <w:color w:val="333333"/>
          <w:sz w:val="20"/>
          <w:szCs w:val="20"/>
        </w:rPr>
        <w:t> </w:t>
      </w:r>
      <w:r>
        <w:rPr>
          <w:rStyle w:val="Emphasis"/>
          <w:rFonts w:ascii="Georgia" w:hAnsi="Georgia"/>
          <w:color w:val="333333"/>
          <w:sz w:val="20"/>
          <w:szCs w:val="20"/>
        </w:rPr>
        <w:t>H</w:t>
      </w:r>
      <w:r>
        <w:rPr>
          <w:rStyle w:val="Emphasis"/>
          <w:rFonts w:ascii="Georgia" w:hAnsi="Georgia"/>
          <w:color w:val="333333"/>
          <w:sz w:val="15"/>
          <w:szCs w:val="15"/>
          <w:vertAlign w:val="subscript"/>
        </w:rPr>
        <w:t>a</w:t>
      </w:r>
      <w:r>
        <w:rPr>
          <w:rStyle w:val="apple-converted-space"/>
          <w:rFonts w:ascii="Georgia" w:hAnsi="Georgia"/>
          <w:color w:val="333333"/>
          <w:sz w:val="20"/>
          <w:szCs w:val="20"/>
        </w:rPr>
        <w:t> </w:t>
      </w:r>
      <w:r>
        <w:rPr>
          <w:rFonts w:ascii="Georgia" w:hAnsi="Georgia"/>
          <w:color w:val="333333"/>
          <w:sz w:val="20"/>
          <w:szCs w:val="20"/>
        </w:rPr>
        <w:t>has the form</w:t>
      </w:r>
      <w:r>
        <w:rPr>
          <w:rStyle w:val="apple-converted-space"/>
          <w:rFonts w:ascii="Georgia" w:hAnsi="Georgia"/>
          <w:color w:val="333333"/>
          <w:sz w:val="20"/>
          <w:szCs w:val="20"/>
        </w:rPr>
        <w:t> </w:t>
      </w:r>
      <w:r>
        <w:rPr>
          <w:rStyle w:val="mi"/>
          <w:rFonts w:ascii="MathJax_Math" w:hAnsi="MathJax_Math"/>
          <w:i/>
          <w:iCs/>
          <w:color w:val="333333"/>
          <w:sz w:val="18"/>
          <w:szCs w:val="18"/>
        </w:rPr>
        <w:t>H</w:t>
      </w:r>
      <w:r>
        <w:rPr>
          <w:rStyle w:val="mi"/>
          <w:rFonts w:ascii="MathJax_Math" w:hAnsi="MathJax_Math"/>
          <w:i/>
          <w:iCs/>
          <w:color w:val="333333"/>
          <w:sz w:val="14"/>
          <w:szCs w:val="14"/>
          <w:vertAlign w:val="subscript"/>
        </w:rPr>
        <w:t>a</w:t>
      </w:r>
      <w:r>
        <w:rPr>
          <w:rStyle w:val="mo"/>
          <w:rFonts w:ascii="MathJax_Main" w:hAnsi="MathJax_Main"/>
          <w:color w:val="333333"/>
          <w:sz w:val="18"/>
          <w:szCs w:val="18"/>
        </w:rPr>
        <w:t>:</w:t>
      </w:r>
      <w:r>
        <w:rPr>
          <w:rStyle w:val="mi"/>
          <w:rFonts w:ascii="MathJax_Math" w:hAnsi="MathJax_Math"/>
          <w:i/>
          <w:iCs/>
          <w:color w:val="333333"/>
          <w:sz w:val="18"/>
          <w:szCs w:val="18"/>
        </w:rPr>
        <w:t>μ</w:t>
      </w:r>
      <w:r>
        <w:rPr>
          <w:rStyle w:val="mo"/>
          <w:rFonts w:ascii="MathJax_Main" w:hAnsi="MathJax_Main"/>
          <w:color w:val="333333"/>
          <w:sz w:val="18"/>
          <w:szCs w:val="18"/>
        </w:rPr>
        <w:t>≠</w:t>
      </w:r>
      <w:r>
        <w:rPr>
          <w:rStyle w:val="mi"/>
          <w:rFonts w:ascii="MathJax_Math" w:hAnsi="MathJax_Math"/>
          <w:i/>
          <w:iCs/>
          <w:color w:val="333333"/>
          <w:sz w:val="18"/>
          <w:szCs w:val="18"/>
        </w:rPr>
        <w:t>μ</w:t>
      </w:r>
      <w:r>
        <w:rPr>
          <w:rStyle w:val="mn"/>
          <w:rFonts w:ascii="MathJax_Main" w:hAnsi="MathJax_Main"/>
          <w:color w:val="333333"/>
          <w:sz w:val="14"/>
          <w:szCs w:val="14"/>
          <w:vertAlign w:val="subscript"/>
        </w:rPr>
        <w:t>0</w:t>
      </w:r>
      <w:r>
        <w:rPr>
          <w:rFonts w:ascii="Georgia" w:hAnsi="Georgia"/>
          <w:color w:val="333333"/>
          <w:sz w:val="20"/>
          <w:szCs w:val="20"/>
        </w:rPr>
        <w:t>, we reject</w:t>
      </w:r>
      <w:r>
        <w:rPr>
          <w:rStyle w:val="apple-converted-space"/>
          <w:rFonts w:ascii="Georgia" w:hAnsi="Georgia"/>
          <w:color w:val="333333"/>
          <w:sz w:val="20"/>
          <w:szCs w:val="20"/>
        </w:rPr>
        <w:t> </w:t>
      </w:r>
      <w:r>
        <w:rPr>
          <w:rStyle w:val="Emphasis"/>
          <w:rFonts w:ascii="Georgia" w:hAnsi="Georgia"/>
          <w:color w:val="333333"/>
          <w:sz w:val="20"/>
          <w:szCs w:val="20"/>
        </w:rPr>
        <w:t>H</w:t>
      </w:r>
      <w:r>
        <w:rPr>
          <w:rFonts w:ascii="Georgia" w:hAnsi="Georgia"/>
          <w:color w:val="333333"/>
          <w:sz w:val="15"/>
          <w:szCs w:val="15"/>
          <w:vertAlign w:val="subscript"/>
        </w:rPr>
        <w:t>0</w:t>
      </w:r>
      <w:r>
        <w:rPr>
          <w:rStyle w:val="apple-converted-space"/>
          <w:rFonts w:ascii="Georgia" w:hAnsi="Georgia"/>
          <w:color w:val="333333"/>
          <w:sz w:val="20"/>
          <w:szCs w:val="20"/>
        </w:rPr>
        <w:t> </w:t>
      </w:r>
      <w:r>
        <w:rPr>
          <w:rFonts w:ascii="Georgia" w:hAnsi="Georgia"/>
          <w:color w:val="333333"/>
          <w:sz w:val="20"/>
          <w:szCs w:val="20"/>
        </w:rPr>
        <w:t>if</w:t>
      </w:r>
      <w:r>
        <w:rPr>
          <w:rStyle w:val="apple-converted-space"/>
          <w:rFonts w:ascii="Georgia" w:hAnsi="Georgia"/>
          <w:color w:val="333333"/>
          <w:sz w:val="20"/>
          <w:szCs w:val="20"/>
        </w:rPr>
        <w:t> </w:t>
      </w:r>
      <w:r>
        <w:rPr>
          <w:rStyle w:val="mi"/>
          <w:rFonts w:ascii="MathJax_Math" w:hAnsi="MathJax_Math"/>
          <w:i/>
          <w:iCs/>
          <w:color w:val="333333"/>
          <w:sz w:val="18"/>
          <w:szCs w:val="18"/>
        </w:rPr>
        <w:t>x</w:t>
      </w:r>
      <w:r>
        <w:rPr>
          <w:rStyle w:val="mo"/>
          <w:rFonts w:ascii="MathJax_Main" w:hAnsi="MathJax_Main"/>
          <w:color w:val="333333"/>
          <w:sz w:val="18"/>
          <w:szCs w:val="18"/>
        </w:rPr>
        <w:t>−</w:t>
      </w:r>
      <w:r>
        <w:rPr>
          <w:rStyle w:val="apple-converted-space"/>
          <w:rFonts w:ascii="Georgia" w:hAnsi="Georgia"/>
          <w:color w:val="333333"/>
          <w:sz w:val="20"/>
          <w:szCs w:val="20"/>
        </w:rPr>
        <w:t> </w:t>
      </w:r>
      <w:r>
        <w:rPr>
          <w:rFonts w:ascii="Georgia" w:hAnsi="Georgia"/>
          <w:color w:val="333333"/>
          <w:sz w:val="20"/>
          <w:szCs w:val="20"/>
        </w:rPr>
        <w:t>is far away from</w:t>
      </w:r>
      <w:r>
        <w:rPr>
          <w:rStyle w:val="apple-converted-space"/>
          <w:rFonts w:ascii="Georgia" w:hAnsi="Georgia"/>
          <w:color w:val="333333"/>
          <w:sz w:val="20"/>
          <w:szCs w:val="20"/>
        </w:rPr>
        <w:t> </w:t>
      </w:r>
      <w:r>
        <w:rPr>
          <w:rStyle w:val="mi"/>
          <w:rFonts w:ascii="MathJax_Math" w:hAnsi="MathJax_Math"/>
          <w:i/>
          <w:iCs/>
          <w:color w:val="333333"/>
          <w:sz w:val="18"/>
          <w:szCs w:val="18"/>
        </w:rPr>
        <w:t>μ</w:t>
      </w:r>
      <w:r>
        <w:rPr>
          <w:rStyle w:val="mn"/>
          <w:rFonts w:ascii="MathJax_Main" w:hAnsi="MathJax_Main"/>
          <w:color w:val="333333"/>
          <w:sz w:val="14"/>
          <w:szCs w:val="14"/>
        </w:rPr>
        <w:t>0</w:t>
      </w:r>
      <w:r>
        <w:rPr>
          <w:rStyle w:val="apple-converted-space"/>
          <w:rFonts w:ascii="Georgia" w:hAnsi="Georgia"/>
          <w:color w:val="333333"/>
          <w:sz w:val="20"/>
          <w:szCs w:val="20"/>
        </w:rPr>
        <w:t> </w:t>
      </w:r>
      <w:r>
        <w:rPr>
          <w:rFonts w:ascii="Georgia" w:hAnsi="Georgia"/>
          <w:color w:val="333333"/>
          <w:sz w:val="20"/>
          <w:szCs w:val="20"/>
        </w:rPr>
        <w:t>in either direction, that is, either to the left of some number</w:t>
      </w:r>
      <w:r>
        <w:rPr>
          <w:rStyle w:val="apple-converted-space"/>
          <w:rFonts w:ascii="Georgia" w:hAnsi="Georgia"/>
          <w:color w:val="333333"/>
          <w:sz w:val="20"/>
          <w:szCs w:val="20"/>
        </w:rPr>
        <w:t> </w:t>
      </w:r>
      <w:r>
        <w:rPr>
          <w:rStyle w:val="Emphasis"/>
          <w:rFonts w:ascii="Georgia" w:hAnsi="Georgia"/>
          <w:color w:val="333333"/>
          <w:sz w:val="20"/>
          <w:szCs w:val="20"/>
        </w:rPr>
        <w:t>C</w:t>
      </w:r>
      <w:r>
        <w:rPr>
          <w:rStyle w:val="apple-converted-space"/>
          <w:rFonts w:ascii="Georgia" w:hAnsi="Georgia"/>
          <w:color w:val="333333"/>
          <w:sz w:val="20"/>
          <w:szCs w:val="20"/>
        </w:rPr>
        <w:t> </w:t>
      </w:r>
      <w:r>
        <w:rPr>
          <w:rFonts w:ascii="Georgia" w:hAnsi="Georgia"/>
          <w:color w:val="333333"/>
          <w:sz w:val="20"/>
          <w:szCs w:val="20"/>
        </w:rPr>
        <w:t>or to the right of some other number</w:t>
      </w:r>
      <w:r>
        <w:rPr>
          <w:rStyle w:val="apple-converted-space"/>
          <w:rFonts w:ascii="Georgia" w:hAnsi="Georgia"/>
          <w:color w:val="333333"/>
          <w:sz w:val="20"/>
          <w:szCs w:val="20"/>
        </w:rPr>
        <w:t> </w:t>
      </w:r>
      <w:r>
        <w:rPr>
          <w:rStyle w:val="Emphasis"/>
          <w:rFonts w:ascii="Georgia" w:hAnsi="Georgia"/>
          <w:color w:val="333333"/>
          <w:sz w:val="20"/>
          <w:szCs w:val="20"/>
        </w:rPr>
        <w:t>C</w:t>
      </w:r>
      <w:r>
        <w:rPr>
          <w:rFonts w:ascii="Georgia" w:hAnsi="Georgia"/>
          <w:color w:val="333333"/>
          <w:sz w:val="20"/>
          <w:szCs w:val="20"/>
        </w:rPr>
        <w:t>′, so the rejection region has the form of the union of two intervals (−∞,</w:t>
      </w:r>
      <w:r>
        <w:rPr>
          <w:rStyle w:val="Emphasis"/>
          <w:rFonts w:ascii="Georgia" w:hAnsi="Georgia"/>
          <w:color w:val="333333"/>
          <w:sz w:val="20"/>
          <w:szCs w:val="20"/>
        </w:rPr>
        <w:t>C</w:t>
      </w:r>
      <w:r>
        <w:rPr>
          <w:rFonts w:ascii="Georgia" w:hAnsi="Georgia"/>
          <w:color w:val="333333"/>
          <w:sz w:val="20"/>
          <w:szCs w:val="20"/>
        </w:rPr>
        <w:t>]</w:t>
      </w:r>
      <w:r>
        <w:rPr>
          <w:rFonts w:ascii="Cambria Math" w:hAnsi="Cambria Math" w:cs="Cambria Math"/>
          <w:color w:val="333333"/>
          <w:sz w:val="20"/>
          <w:szCs w:val="20"/>
        </w:rPr>
        <w:t>∪</w:t>
      </w:r>
      <w:r>
        <w:rPr>
          <w:rFonts w:ascii="Georgia" w:hAnsi="Georgia"/>
          <w:color w:val="333333"/>
          <w:sz w:val="20"/>
          <w:szCs w:val="20"/>
        </w:rPr>
        <w:t>[</w:t>
      </w:r>
      <w:r>
        <w:rPr>
          <w:rStyle w:val="Emphasis"/>
          <w:rFonts w:ascii="Georgia" w:hAnsi="Georgia"/>
          <w:color w:val="333333"/>
          <w:sz w:val="20"/>
          <w:szCs w:val="20"/>
        </w:rPr>
        <w:t>C</w:t>
      </w:r>
      <w:r>
        <w:rPr>
          <w:rFonts w:ascii="Georgia" w:hAnsi="Georgia"/>
          <w:color w:val="333333"/>
          <w:sz w:val="20"/>
          <w:szCs w:val="20"/>
        </w:rPr>
        <w:t>′,∞).</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key issue in our line of reasoning is the question of how to determine the number</w:t>
      </w:r>
      <w:r>
        <w:rPr>
          <w:rStyle w:val="apple-converted-space"/>
          <w:rFonts w:ascii="Georgia" w:hAnsi="Georgia"/>
          <w:color w:val="333333"/>
          <w:sz w:val="21"/>
          <w:szCs w:val="21"/>
        </w:rPr>
        <w:t> </w:t>
      </w:r>
      <w:r>
        <w:rPr>
          <w:rStyle w:val="Emphasis"/>
          <w:rFonts w:ascii="Georgia" w:hAnsi="Georgia"/>
          <w:color w:val="333333"/>
          <w:sz w:val="20"/>
          <w:szCs w:val="20"/>
        </w:rPr>
        <w:t>C</w:t>
      </w:r>
      <w:r>
        <w:rPr>
          <w:rStyle w:val="apple-converted-space"/>
          <w:rFonts w:ascii="Georgia" w:hAnsi="Georgia"/>
          <w:color w:val="333333"/>
          <w:sz w:val="21"/>
          <w:szCs w:val="21"/>
        </w:rPr>
        <w:t> </w:t>
      </w:r>
      <w:r>
        <w:rPr>
          <w:rFonts w:ascii="Georgia" w:hAnsi="Georgia"/>
          <w:color w:val="333333"/>
          <w:sz w:val="21"/>
          <w:szCs w:val="21"/>
        </w:rPr>
        <w:t>or numbers</w:t>
      </w:r>
      <w:r>
        <w:rPr>
          <w:rStyle w:val="apple-converted-space"/>
          <w:rFonts w:ascii="Georgia" w:hAnsi="Georgia"/>
          <w:color w:val="333333"/>
          <w:sz w:val="21"/>
          <w:szCs w:val="21"/>
        </w:rPr>
        <w:t> </w:t>
      </w:r>
      <w:r>
        <w:rPr>
          <w:rStyle w:val="Emphasis"/>
          <w:rFonts w:ascii="Georgia" w:hAnsi="Georgia"/>
          <w:color w:val="333333"/>
          <w:sz w:val="20"/>
          <w:szCs w:val="20"/>
        </w:rPr>
        <w:t>C</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rPr>
        <w:t>C</w:t>
      </w:r>
      <w:r>
        <w:rPr>
          <w:rFonts w:ascii="Georgia" w:hAnsi="Georgia"/>
          <w:color w:val="333333"/>
          <w:sz w:val="21"/>
          <w:szCs w:val="21"/>
        </w:rPr>
        <w:t>′, called the</w:t>
      </w:r>
      <w:r>
        <w:rPr>
          <w:rStyle w:val="apple-converted-space"/>
          <w:rFonts w:ascii="Georgia" w:hAnsi="Georgia"/>
          <w:color w:val="333333"/>
          <w:sz w:val="21"/>
          <w:szCs w:val="21"/>
        </w:rPr>
        <w:t> </w:t>
      </w:r>
      <w:r>
        <w:rPr>
          <w:rStyle w:val="Emphasis"/>
          <w:rFonts w:ascii="Georgia" w:hAnsi="Georgia"/>
          <w:color w:val="333333"/>
          <w:sz w:val="20"/>
          <w:szCs w:val="20"/>
        </w:rPr>
        <w:t>critical value</w:t>
      </w:r>
      <w:r>
        <w:rPr>
          <w:rStyle w:val="apple-converted-space"/>
          <w:rFonts w:ascii="Georgia" w:hAnsi="Georgia"/>
          <w:color w:val="333333"/>
          <w:sz w:val="21"/>
          <w:szCs w:val="21"/>
        </w:rPr>
        <w:t> </w:t>
      </w:r>
      <w:r>
        <w:rPr>
          <w:rFonts w:ascii="Georgia" w:hAnsi="Georgia"/>
          <w:color w:val="333333"/>
          <w:sz w:val="21"/>
          <w:szCs w:val="21"/>
        </w:rPr>
        <w:t>or</w:t>
      </w:r>
      <w:r>
        <w:rPr>
          <w:rStyle w:val="apple-converted-space"/>
          <w:rFonts w:ascii="Georgia" w:hAnsi="Georgia"/>
          <w:color w:val="333333"/>
          <w:sz w:val="21"/>
          <w:szCs w:val="21"/>
        </w:rPr>
        <w:t> </w:t>
      </w:r>
      <w:r>
        <w:rPr>
          <w:rStyle w:val="Emphasis"/>
          <w:rFonts w:ascii="Georgia" w:hAnsi="Georgia"/>
          <w:color w:val="333333"/>
          <w:sz w:val="20"/>
          <w:szCs w:val="20"/>
        </w:rPr>
        <w:t>critical values</w:t>
      </w:r>
      <w:r>
        <w:rPr>
          <w:rStyle w:val="apple-converted-space"/>
          <w:rFonts w:ascii="Georgia" w:hAnsi="Georgia"/>
          <w:color w:val="333333"/>
          <w:sz w:val="21"/>
          <w:szCs w:val="21"/>
        </w:rPr>
        <w:t> </w:t>
      </w:r>
      <w:r>
        <w:rPr>
          <w:rFonts w:ascii="Georgia" w:hAnsi="Georgia"/>
          <w:color w:val="333333"/>
          <w:sz w:val="21"/>
          <w:szCs w:val="21"/>
        </w:rPr>
        <w:t>of the statistic, that determine the rejection region.</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themeFill="background1"/>
        <w:spacing w:after="0" w:line="360" w:lineRule="auto"/>
        <w:ind w:right="374"/>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The key issue in our line of reasoning is the question of how to determine the number</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C</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or numbers</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C</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and</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C</w:t>
      </w:r>
      <w:r>
        <w:rPr>
          <w:rFonts w:ascii="Georgia" w:hAnsi="Georgia"/>
          <w:color w:val="333333"/>
          <w:sz w:val="20"/>
          <w:szCs w:val="20"/>
          <w:shd w:val="clear" w:color="auto" w:fill="FFFFFF"/>
        </w:rPr>
        <w:t>′, called the</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critical value</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or</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critical values</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of the statistic, that determine the rejection region.</w:t>
      </w:r>
    </w:p>
    <w:p w:rsidR="00AD77BB" w:rsidRDefault="00AD77BB">
      <w:pPr>
        <w:shd w:val="clear" w:color="auto" w:fill="FFFFFF" w:themeFill="background1"/>
        <w:spacing w:after="0" w:line="360" w:lineRule="auto"/>
        <w:ind w:right="374"/>
        <w:textAlignment w:val="baseline"/>
        <w:rPr>
          <w:rFonts w:ascii="Georgia" w:hAnsi="Georgia"/>
          <w:color w:val="333333"/>
          <w:sz w:val="20"/>
          <w:szCs w:val="20"/>
          <w:shd w:val="clear" w:color="auto" w:fill="FFFFFF"/>
        </w:rPr>
      </w:pPr>
    </w:p>
    <w:p w:rsidR="00AD77BB" w:rsidRDefault="00B45BA0">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Definition</w:t>
      </w: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rPr>
        <w:t>The</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critical value</w:t>
      </w:r>
      <w:r>
        <w:rPr>
          <w:rStyle w:val="apple-converted-space"/>
          <w:rFonts w:ascii="Georgia" w:hAnsi="Georgia"/>
          <w:color w:val="333333"/>
          <w:sz w:val="20"/>
          <w:szCs w:val="20"/>
        </w:rPr>
        <w:t> </w:t>
      </w:r>
      <w:r>
        <w:rPr>
          <w:rStyle w:val="Emphasis"/>
          <w:rFonts w:ascii="Georgia" w:hAnsi="Georgia"/>
          <w:color w:val="333333"/>
          <w:sz w:val="20"/>
          <w:szCs w:val="20"/>
        </w:rPr>
        <w:t>or</w:t>
      </w:r>
      <w:r>
        <w:rPr>
          <w:rStyle w:val="apple-converted-space"/>
          <w:rFonts w:ascii="Georgia" w:hAnsi="Georgia"/>
          <w:color w:val="333333"/>
          <w:sz w:val="20"/>
          <w:szCs w:val="20"/>
        </w:rPr>
        <w:t> </w:t>
      </w:r>
      <w:r>
        <w:rPr>
          <w:rStyle w:val="Strong"/>
          <w:rFonts w:ascii="Georgia" w:hAnsi="Georgia"/>
          <w:color w:val="333333"/>
          <w:sz w:val="20"/>
          <w:szCs w:val="20"/>
        </w:rPr>
        <w:t>critical values</w:t>
      </w:r>
      <w:r>
        <w:rPr>
          <w:rStyle w:val="apple-converted-space"/>
          <w:rFonts w:ascii="Georgia" w:hAnsi="Georgia"/>
          <w:color w:val="333333"/>
          <w:sz w:val="20"/>
          <w:szCs w:val="20"/>
        </w:rPr>
        <w:t> </w:t>
      </w:r>
      <w:r>
        <w:rPr>
          <w:rStyle w:val="Emphasis"/>
          <w:rFonts w:ascii="Georgia" w:hAnsi="Georgia"/>
          <w:color w:val="333333"/>
          <w:sz w:val="20"/>
          <w:szCs w:val="20"/>
        </w:rPr>
        <w:t>of a test of hypotheses are the number or numbers that determine the rejection region.</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Suppose the rejection region is a single interval, so we need to select a single number</w:t>
      </w:r>
      <w:r>
        <w:rPr>
          <w:rStyle w:val="apple-converted-space"/>
          <w:rFonts w:ascii="Georgia" w:hAnsi="Georgia"/>
          <w:color w:val="333333"/>
          <w:sz w:val="21"/>
          <w:szCs w:val="21"/>
        </w:rPr>
        <w:t> </w:t>
      </w:r>
      <w:r>
        <w:rPr>
          <w:rStyle w:val="Emphasis"/>
          <w:rFonts w:ascii="Georgia" w:hAnsi="Georgia"/>
          <w:color w:val="333333"/>
          <w:sz w:val="20"/>
          <w:szCs w:val="20"/>
        </w:rPr>
        <w:t>C</w:t>
      </w:r>
      <w:r>
        <w:rPr>
          <w:rFonts w:ascii="Georgia" w:hAnsi="Georgia"/>
          <w:color w:val="333333"/>
          <w:sz w:val="21"/>
          <w:szCs w:val="21"/>
        </w:rPr>
        <w:t>. Here is the procedure for doing so. We select a small probability, denoted</w:t>
      </w:r>
      <w:r>
        <w:rPr>
          <w:rStyle w:val="apple-converted-space"/>
          <w:rFonts w:ascii="Georgia" w:hAnsi="Georgia"/>
          <w:color w:val="333333"/>
          <w:sz w:val="21"/>
          <w:szCs w:val="21"/>
        </w:rPr>
        <w:t> </w:t>
      </w:r>
      <w:r>
        <w:rPr>
          <w:rStyle w:val="mi"/>
          <w:rFonts w:ascii="MathJax_Math" w:hAnsi="MathJax_Math"/>
          <w:i/>
          <w:iCs/>
          <w:color w:val="333333"/>
          <w:sz w:val="18"/>
          <w:szCs w:val="18"/>
        </w:rPr>
        <w:t>α</w:t>
      </w:r>
      <w:r>
        <w:rPr>
          <w:rFonts w:ascii="Georgia" w:hAnsi="Georgia"/>
          <w:color w:val="333333"/>
          <w:sz w:val="21"/>
          <w:szCs w:val="21"/>
        </w:rPr>
        <w:t>, say 1%, which we take as our definition of “rare event:” an event is “rare” if its probability of occurrence is less than</w:t>
      </w:r>
      <w:r>
        <w:rPr>
          <w:rStyle w:val="apple-converted-space"/>
          <w:rFonts w:ascii="Georgia" w:hAnsi="Georgia"/>
          <w:color w:val="333333"/>
          <w:sz w:val="21"/>
          <w:szCs w:val="21"/>
        </w:rPr>
        <w:t> </w:t>
      </w:r>
      <w:r>
        <w:rPr>
          <w:rStyle w:val="mi"/>
          <w:rFonts w:ascii="MathJax_Math" w:hAnsi="MathJax_Math"/>
          <w:i/>
          <w:iCs/>
          <w:color w:val="333333"/>
          <w:sz w:val="18"/>
          <w:szCs w:val="18"/>
        </w:rPr>
        <w:t>α</w:t>
      </w:r>
      <w:r>
        <w:rPr>
          <w:rStyle w:val="mo"/>
          <w:rFonts w:ascii="MathJax_Main" w:hAnsi="MathJax_Main"/>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(In all the examples and problems in this text the value of</w:t>
      </w:r>
      <w:r>
        <w:rPr>
          <w:rStyle w:val="apple-converted-space"/>
          <w:rFonts w:ascii="Georgia" w:hAnsi="Georgia"/>
          <w:color w:val="333333"/>
          <w:sz w:val="21"/>
          <w:szCs w:val="21"/>
        </w:rPr>
        <w:t> </w:t>
      </w:r>
      <w:r>
        <w:rPr>
          <w:rStyle w:val="mi"/>
          <w:rFonts w:ascii="MathJax_Math" w:hAnsi="MathJax_Math"/>
          <w:i/>
          <w:iCs/>
          <w:color w:val="333333"/>
          <w:sz w:val="18"/>
          <w:szCs w:val="18"/>
        </w:rPr>
        <w:t>α</w:t>
      </w:r>
      <w:r>
        <w:rPr>
          <w:rStyle w:val="apple-converted-space"/>
          <w:rFonts w:ascii="Georgia" w:hAnsi="Georgia"/>
          <w:color w:val="333333"/>
          <w:sz w:val="21"/>
          <w:szCs w:val="21"/>
        </w:rPr>
        <w:t> </w:t>
      </w:r>
      <w:r>
        <w:rPr>
          <w:rFonts w:ascii="Georgia" w:hAnsi="Georgia"/>
          <w:color w:val="333333"/>
          <w:sz w:val="21"/>
          <w:szCs w:val="21"/>
        </w:rPr>
        <w:t>will be given already.) The probability that</w:t>
      </w:r>
      <w:r>
        <w:rPr>
          <w:rStyle w:val="apple-converted-space"/>
          <w:rFonts w:ascii="Georgia" w:hAnsi="Georgia"/>
          <w:color w:val="333333"/>
          <w:sz w:val="21"/>
          <w:szCs w:val="21"/>
        </w:rPr>
        <w:t> </w:t>
      </w:r>
      <w:r>
        <w:rPr>
          <w:rStyle w:val="mi"/>
          <w:rFonts w:ascii="MathJax_Math" w:hAnsi="MathJax_Math"/>
          <w:b/>
          <w:i/>
          <w:iCs/>
          <w:color w:val="333333"/>
          <w:sz w:val="15"/>
          <w:szCs w:val="15"/>
        </w:rPr>
        <w:t>X</w:t>
      </w:r>
      <w:r>
        <w:rPr>
          <w:rStyle w:val="mi"/>
          <w:b/>
          <w:i/>
          <w:iCs/>
          <w:color w:val="333333"/>
          <w:sz w:val="15"/>
          <w:szCs w:val="15"/>
        </w:rPr>
        <w:t>^</w:t>
      </w:r>
      <w:r>
        <w:rPr>
          <w:rStyle w:val="mo"/>
          <w:rFonts w:ascii="MathJax_Main" w:hAnsi="MathJax_Main"/>
          <w:b/>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takes a value in an interval is the area under its density curve and above that interval, so as shown in</w:t>
      </w:r>
      <w:r>
        <w:rPr>
          <w:rStyle w:val="apple-converted-space"/>
          <w:rFonts w:ascii="Georgia" w:hAnsi="Georgia"/>
          <w:color w:val="333333"/>
          <w:sz w:val="21"/>
          <w:szCs w:val="21"/>
        </w:rPr>
        <w:t> </w:t>
      </w:r>
      <w:r>
        <w:rPr>
          <w:rFonts w:ascii="Georgia" w:hAnsi="Georgia"/>
          <w:color w:val="2689C6"/>
          <w:sz w:val="21"/>
          <w:szCs w:val="21"/>
        </w:rPr>
        <w:t>Figure 8.2</w:t>
      </w:r>
      <w:r>
        <w:rPr>
          <w:rStyle w:val="apple-converted-space"/>
          <w:rFonts w:ascii="Georgia" w:hAnsi="Georgia"/>
          <w:color w:val="333333"/>
          <w:sz w:val="21"/>
          <w:szCs w:val="21"/>
        </w:rPr>
        <w:t> </w:t>
      </w:r>
      <w:r>
        <w:rPr>
          <w:rFonts w:ascii="Georgia" w:hAnsi="Georgia"/>
          <w:color w:val="333333"/>
          <w:sz w:val="21"/>
          <w:szCs w:val="21"/>
        </w:rPr>
        <w:t>(drawn under the assumption that</w:t>
      </w:r>
      <w:r>
        <w:rPr>
          <w:rStyle w:val="apple-converted-space"/>
          <w:rFonts w:ascii="Georgia" w:hAnsi="Georgia"/>
          <w:color w:val="333333"/>
          <w:sz w:val="21"/>
          <w:szCs w:val="21"/>
        </w:rPr>
        <w:t> </w:t>
      </w:r>
      <w:r>
        <w:rPr>
          <w:rStyle w:val="Emphasis"/>
          <w:rFonts w:ascii="Georgia" w:hAnsi="Georgia"/>
          <w:color w:val="333333"/>
          <w:sz w:val="20"/>
          <w:szCs w:val="20"/>
        </w:rPr>
        <w:t>H</w:t>
      </w:r>
      <w:r>
        <w:rPr>
          <w:rFonts w:ascii="Georgia" w:hAnsi="Georgia"/>
          <w:color w:val="333333"/>
          <w:sz w:val="15"/>
          <w:szCs w:val="15"/>
          <w:vertAlign w:val="subscript"/>
        </w:rPr>
        <w:t>0</w:t>
      </w:r>
      <w:r>
        <w:rPr>
          <w:rStyle w:val="apple-converted-space"/>
          <w:rFonts w:ascii="Georgia" w:hAnsi="Georgia"/>
          <w:color w:val="333333"/>
          <w:sz w:val="21"/>
          <w:szCs w:val="21"/>
        </w:rPr>
        <w:t> </w:t>
      </w:r>
      <w:r>
        <w:rPr>
          <w:rFonts w:ascii="Georgia" w:hAnsi="Georgia"/>
          <w:color w:val="333333"/>
          <w:sz w:val="21"/>
          <w:szCs w:val="21"/>
        </w:rPr>
        <w:t>is true, so that the curve centers at</w:t>
      </w:r>
      <w:r>
        <w:rPr>
          <w:rStyle w:val="apple-converted-space"/>
          <w:rFonts w:ascii="Georgia" w:hAnsi="Georgia"/>
          <w:color w:val="333333"/>
          <w:sz w:val="21"/>
          <w:szCs w:val="21"/>
        </w:rPr>
        <w:t> </w:t>
      </w:r>
      <w:r>
        <w:rPr>
          <w:rStyle w:val="mi"/>
          <w:rFonts w:ascii="MathJax_Math" w:hAnsi="MathJax_Math"/>
          <w:i/>
          <w:iCs/>
          <w:color w:val="333333"/>
          <w:sz w:val="18"/>
          <w:szCs w:val="18"/>
        </w:rPr>
        <w:t>μ</w:t>
      </w:r>
      <w:r>
        <w:rPr>
          <w:rStyle w:val="mn"/>
          <w:rFonts w:ascii="MathJax_Main" w:hAnsi="MathJax_Main"/>
          <w:color w:val="333333"/>
          <w:sz w:val="14"/>
          <w:szCs w:val="14"/>
          <w:vertAlign w:val="subscript"/>
        </w:rPr>
        <w:t>0</w:t>
      </w:r>
      <w:r>
        <w:rPr>
          <w:rFonts w:ascii="Georgia" w:hAnsi="Georgia"/>
          <w:color w:val="333333"/>
          <w:sz w:val="21"/>
          <w:szCs w:val="21"/>
        </w:rPr>
        <w:t>) the critical value</w:t>
      </w:r>
      <w:r>
        <w:rPr>
          <w:rStyle w:val="apple-converted-space"/>
          <w:rFonts w:ascii="Georgia" w:hAnsi="Georgia"/>
          <w:color w:val="333333"/>
          <w:sz w:val="21"/>
          <w:szCs w:val="21"/>
        </w:rPr>
        <w:t> </w:t>
      </w:r>
      <w:r>
        <w:rPr>
          <w:rStyle w:val="Emphasis"/>
          <w:rFonts w:ascii="Georgia" w:hAnsi="Georgia"/>
          <w:color w:val="333333"/>
          <w:sz w:val="20"/>
          <w:szCs w:val="20"/>
        </w:rPr>
        <w:t>C</w:t>
      </w:r>
      <w:r>
        <w:rPr>
          <w:rStyle w:val="apple-converted-space"/>
          <w:rFonts w:ascii="Georgia" w:hAnsi="Georgia"/>
          <w:color w:val="333333"/>
          <w:sz w:val="21"/>
          <w:szCs w:val="21"/>
        </w:rPr>
        <w:t> </w:t>
      </w:r>
      <w:r>
        <w:rPr>
          <w:rFonts w:ascii="Georgia" w:hAnsi="Georgia"/>
          <w:color w:val="333333"/>
          <w:sz w:val="21"/>
          <w:szCs w:val="21"/>
        </w:rPr>
        <w:t>is the value of</w:t>
      </w:r>
      <w:r>
        <w:rPr>
          <w:rStyle w:val="apple-converted-space"/>
          <w:rFonts w:ascii="Georgia" w:hAnsi="Georgia"/>
          <w:color w:val="333333"/>
          <w:sz w:val="21"/>
          <w:szCs w:val="21"/>
        </w:rPr>
        <w:t> </w:t>
      </w:r>
      <w:r>
        <w:rPr>
          <w:rStyle w:val="mi"/>
          <w:rFonts w:ascii="MathJax_Math" w:hAnsi="MathJax_Math"/>
          <w:b/>
          <w:i/>
          <w:iCs/>
          <w:color w:val="333333"/>
          <w:sz w:val="15"/>
          <w:szCs w:val="15"/>
        </w:rPr>
        <w:t>X</w:t>
      </w:r>
      <w:r>
        <w:rPr>
          <w:rStyle w:val="mi"/>
          <w:b/>
          <w:i/>
          <w:iCs/>
          <w:color w:val="333333"/>
          <w:sz w:val="15"/>
          <w:szCs w:val="15"/>
        </w:rPr>
        <w:t>^</w:t>
      </w:r>
      <w:r>
        <w:rPr>
          <w:rStyle w:val="mo"/>
          <w:rFonts w:ascii="MathJax_Main" w:hAnsi="MathJax_Main"/>
          <w:b/>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that cuts off a tail area</w:t>
      </w:r>
      <w:r>
        <w:rPr>
          <w:rStyle w:val="apple-converted-space"/>
          <w:rFonts w:ascii="Georgia" w:hAnsi="Georgia"/>
          <w:color w:val="333333"/>
          <w:sz w:val="21"/>
          <w:szCs w:val="21"/>
        </w:rPr>
        <w:t> </w:t>
      </w:r>
      <w:r>
        <w:rPr>
          <w:rStyle w:val="mi"/>
          <w:rFonts w:ascii="MathJax_Math" w:hAnsi="MathJax_Math"/>
          <w:i/>
          <w:iCs/>
          <w:color w:val="333333"/>
          <w:sz w:val="18"/>
          <w:szCs w:val="18"/>
        </w:rPr>
        <w:t>α</w:t>
      </w:r>
      <w:r>
        <w:rPr>
          <w:rStyle w:val="apple-converted-space"/>
          <w:rFonts w:ascii="Georgia" w:hAnsi="Georgia"/>
          <w:color w:val="333333"/>
          <w:sz w:val="21"/>
          <w:szCs w:val="21"/>
        </w:rPr>
        <w:t> </w:t>
      </w:r>
      <w:r>
        <w:rPr>
          <w:rFonts w:ascii="Georgia" w:hAnsi="Georgia"/>
          <w:color w:val="333333"/>
          <w:sz w:val="21"/>
          <w:szCs w:val="21"/>
        </w:rPr>
        <w:t>in the probability density curve of</w:t>
      </w:r>
      <w:r>
        <w:rPr>
          <w:rStyle w:val="apple-converted-space"/>
          <w:rFonts w:ascii="Georgia" w:hAnsi="Georgia"/>
          <w:color w:val="333333"/>
          <w:sz w:val="21"/>
          <w:szCs w:val="21"/>
        </w:rPr>
        <w:t> </w:t>
      </w:r>
      <w:r>
        <w:rPr>
          <w:rStyle w:val="mi"/>
          <w:rFonts w:ascii="MathJax_Math" w:hAnsi="MathJax_Math"/>
          <w:b/>
          <w:i/>
          <w:iCs/>
          <w:color w:val="333333"/>
          <w:sz w:val="18"/>
          <w:szCs w:val="18"/>
        </w:rPr>
        <w:t>X</w:t>
      </w:r>
      <w:r>
        <w:rPr>
          <w:rStyle w:val="mi"/>
          <w:b/>
          <w:i/>
          <w:iCs/>
          <w:color w:val="333333"/>
          <w:sz w:val="18"/>
          <w:szCs w:val="18"/>
        </w:rPr>
        <w:t>^</w:t>
      </w:r>
      <w:r>
        <w:rPr>
          <w:rStyle w:val="mo"/>
          <w:rFonts w:ascii="MathJax_Main" w:hAnsi="MathJax_Main"/>
          <w:b/>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When the rejection region is in two pieces, that is, composed of two intervals, the total area above both of them must be</w:t>
      </w:r>
      <w:r>
        <w:rPr>
          <w:rStyle w:val="apple-converted-space"/>
          <w:rFonts w:ascii="Georgia" w:hAnsi="Georgia"/>
          <w:color w:val="333333"/>
          <w:sz w:val="21"/>
          <w:szCs w:val="21"/>
        </w:rPr>
        <w:t> </w:t>
      </w:r>
      <w:r>
        <w:rPr>
          <w:rStyle w:val="mi"/>
          <w:rFonts w:ascii="MathJax_Math" w:hAnsi="MathJax_Math"/>
          <w:i/>
          <w:iCs/>
          <w:color w:val="333333"/>
          <w:sz w:val="18"/>
          <w:szCs w:val="18"/>
        </w:rPr>
        <w:t>α</w:t>
      </w:r>
      <w:r>
        <w:rPr>
          <w:rFonts w:ascii="Georgia" w:hAnsi="Georgia"/>
          <w:color w:val="333333"/>
          <w:sz w:val="21"/>
          <w:szCs w:val="21"/>
        </w:rPr>
        <w:t>, so the area above each one is</w:t>
      </w:r>
      <w:r>
        <w:rPr>
          <w:rStyle w:val="apple-converted-space"/>
          <w:rFonts w:ascii="Georgia" w:hAnsi="Georgia"/>
          <w:color w:val="333333"/>
          <w:sz w:val="21"/>
          <w:szCs w:val="21"/>
        </w:rPr>
        <w:t> </w:t>
      </w:r>
      <w:r>
        <w:rPr>
          <w:rStyle w:val="mi"/>
          <w:rFonts w:ascii="MathJax_Math" w:hAnsi="MathJax_Math"/>
          <w:b/>
          <w:i/>
          <w:iCs/>
          <w:color w:val="333333"/>
          <w:sz w:val="18"/>
          <w:szCs w:val="18"/>
        </w:rPr>
        <w:t>α</w:t>
      </w:r>
      <w:r>
        <w:rPr>
          <w:rStyle w:val="mo"/>
          <w:rFonts w:ascii="MathJax_Main" w:hAnsi="MathJax_Main"/>
          <w:b/>
          <w:color w:val="333333"/>
          <w:sz w:val="18"/>
          <w:szCs w:val="18"/>
        </w:rPr>
        <w:t>/</w:t>
      </w:r>
      <w:r>
        <w:rPr>
          <w:rStyle w:val="mn"/>
          <w:rFonts w:ascii="MathJax_Main" w:hAnsi="MathJax_Main"/>
          <w:b/>
          <w:color w:val="333333"/>
          <w:sz w:val="18"/>
          <w:szCs w:val="18"/>
        </w:rPr>
        <w:t>2</w:t>
      </w:r>
      <w:r>
        <w:rPr>
          <w:rFonts w:ascii="Georgia" w:hAnsi="Georgia"/>
          <w:color w:val="333333"/>
          <w:sz w:val="21"/>
          <w:szCs w:val="21"/>
        </w:rPr>
        <w:t>, as also shown in</w:t>
      </w:r>
      <w:r>
        <w:rPr>
          <w:rStyle w:val="apple-converted-space"/>
          <w:rFonts w:ascii="Georgia" w:hAnsi="Georgia"/>
          <w:color w:val="333333"/>
          <w:sz w:val="21"/>
          <w:szCs w:val="21"/>
        </w:rPr>
        <w:t> </w:t>
      </w:r>
      <w:r>
        <w:rPr>
          <w:rFonts w:ascii="Georgia" w:hAnsi="Georgia"/>
          <w:color w:val="2689C6"/>
          <w:sz w:val="21"/>
          <w:szCs w:val="21"/>
        </w:rPr>
        <w:t>Figure 8.2</w:t>
      </w:r>
      <w:r>
        <w:rPr>
          <w:rFonts w:ascii="Georgia" w:hAnsi="Georgia"/>
          <w:color w:val="333333"/>
          <w:sz w:val="21"/>
          <w:szCs w:val="21"/>
        </w:rPr>
        <w:t>.</w:t>
      </w: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lastRenderedPageBreak/>
        <w:t>Figure 8.2</w:t>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noProof/>
          <w:color w:val="2689C6"/>
          <w:sz w:val="26"/>
          <w:szCs w:val="26"/>
          <w:shd w:val="clear" w:color="auto" w:fill="FFFFFF"/>
        </w:rPr>
        <w:drawing>
          <wp:inline distT="0" distB="0" distL="0" distR="0" wp14:anchorId="54845509" wp14:editId="73BF1275">
            <wp:extent cx="4581525" cy="2838450"/>
            <wp:effectExtent l="0" t="0" r="9525" b="0"/>
            <wp:docPr id="257" name="Picture 271" descr="http://images.flatworldknowledge.com/shafer/shafer-fig0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images.flatworldknowledge.com/shafer/shafer-fig08_002.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581525" cy="283845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04340AB1" wp14:editId="5B8AE943">
            <wp:extent cx="4876800" cy="4924425"/>
            <wp:effectExtent l="0" t="0" r="0" b="9525"/>
            <wp:docPr id="258"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876800" cy="4924425"/>
                    </a:xfrm>
                    <a:prstGeom prst="rect">
                      <a:avLst/>
                    </a:prstGeom>
                    <a:noFill/>
                    <a:ln>
                      <a:noFill/>
                    </a:ln>
                  </pic:spPr>
                </pic:pic>
              </a:graphicData>
            </a:graphic>
          </wp:inline>
        </w:drawing>
      </w:r>
    </w:p>
    <w:p w:rsidR="00AD77BB" w:rsidRDefault="00B45BA0">
      <w:pPr>
        <w:spacing w:after="0" w:line="439" w:lineRule="atLeast"/>
        <w:ind w:left="300" w:right="375"/>
        <w:textAlignment w:val="baseline"/>
        <w:rPr>
          <w:rFonts w:ascii="Calibri" w:eastAsia="Times New Roman" w:hAnsi="Calibri" w:cs="Times New Roman"/>
          <w:i/>
          <w:iCs/>
          <w:color w:val="BB9966"/>
          <w:sz w:val="18"/>
          <w:szCs w:val="18"/>
        </w:rPr>
      </w:pPr>
      <w:r>
        <w:rPr>
          <w:rFonts w:ascii="Calibri" w:eastAsia="Times New Roman" w:hAnsi="Calibri" w:cs="Times New Roman"/>
          <w:i/>
          <w:iCs/>
          <w:color w:val="000000"/>
          <w:sz w:val="18"/>
          <w:szCs w:val="18"/>
        </w:rPr>
        <w:lastRenderedPageBreak/>
        <w:t>Figure 8.3</w:t>
      </w:r>
      <w:r>
        <w:rPr>
          <w:rFonts w:ascii="Calibri" w:eastAsia="Times New Roman" w:hAnsi="Calibri" w:cs="Times New Roman"/>
          <w:i/>
          <w:iCs/>
          <w:color w:val="BB9966"/>
          <w:sz w:val="18"/>
          <w:szCs w:val="18"/>
        </w:rPr>
        <w:t>Rejection Region for the Choice </w:t>
      </w:r>
      <w:r>
        <w:rPr>
          <w:rFonts w:ascii="MathJax_Math" w:eastAsia="Times New Roman" w:hAnsi="MathJax_Math" w:cs="Times New Roman"/>
          <w:i/>
          <w:iCs/>
          <w:color w:val="BB9966"/>
          <w:sz w:val="15"/>
          <w:szCs w:val="15"/>
        </w:rPr>
        <w:t>α</w:t>
      </w:r>
      <w:r>
        <w:rPr>
          <w:rFonts w:ascii="MathJax_Main" w:eastAsia="Times New Roman" w:hAnsi="MathJax_Main" w:cs="Times New Roman"/>
          <w:color w:val="BB9966"/>
          <w:sz w:val="15"/>
          <w:szCs w:val="15"/>
        </w:rPr>
        <w:t>=0.10</w:t>
      </w:r>
    </w:p>
    <w:p w:rsidR="00AD77BB" w:rsidRDefault="00B45BA0">
      <w:pPr>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rPr>
        <w:drawing>
          <wp:inline distT="0" distB="0" distL="0" distR="0" wp14:anchorId="7B239BAF" wp14:editId="20187B71">
            <wp:extent cx="5886450" cy="3800475"/>
            <wp:effectExtent l="0" t="0" r="0" b="9525"/>
            <wp:docPr id="259" name="Picture 274" descr="http://images.flatworldknowledge.com/shafer/shafer-fig0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images.flatworldknowledge.com/shafer/shafer-fig08_003.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886450" cy="3800475"/>
                    </a:xfrm>
                    <a:prstGeom prst="rect">
                      <a:avLst/>
                    </a:prstGeom>
                    <a:noFill/>
                    <a:ln>
                      <a:noFill/>
                    </a:ln>
                  </pic:spPr>
                </pic:pic>
              </a:graphicData>
            </a:graphic>
          </wp:inline>
        </w:drawing>
      </w:r>
    </w:p>
    <w:p w:rsidR="00AD77BB" w:rsidRDefault="00B45BA0">
      <w:p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The decision procedure is: take a sample of size 5 and compute the sample mean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w:t>
      </w:r>
      <w:r>
        <w:rPr>
          <w:rFonts w:ascii="Calibri" w:eastAsia="Times New Roman" w:hAnsi="Calibri" w:cs="Times New Roman"/>
          <w:color w:val="333333"/>
          <w:sz w:val="21"/>
          <w:szCs w:val="21"/>
        </w:rPr>
        <w:t> If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w:t>
      </w:r>
      <w:r>
        <w:rPr>
          <w:rFonts w:ascii="Calibri" w:eastAsia="Times New Roman" w:hAnsi="Calibri" w:cs="Times New Roman"/>
          <w:color w:val="333333"/>
          <w:sz w:val="21"/>
          <w:szCs w:val="21"/>
        </w:rPr>
        <w:t> is either 7.89 grams or less or 8.11 grams or more then reject the hypothesis that the average amount of fat in </w:t>
      </w:r>
      <w:r>
        <w:rPr>
          <w:rFonts w:ascii="Calibri" w:eastAsia="Times New Roman" w:hAnsi="Calibri" w:cs="Times New Roman"/>
          <w:i/>
          <w:iCs/>
          <w:color w:val="333333"/>
          <w:sz w:val="20"/>
          <w:szCs w:val="20"/>
        </w:rPr>
        <w:t>all</w:t>
      </w:r>
      <w:r>
        <w:rPr>
          <w:rFonts w:ascii="Calibri" w:eastAsia="Times New Roman" w:hAnsi="Calibri" w:cs="Times New Roman"/>
          <w:color w:val="333333"/>
          <w:sz w:val="21"/>
          <w:szCs w:val="21"/>
        </w:rPr>
        <w:t> servings of the product is 8.0 grams in favor of the alternative that it is different from 8.0 grams. Otherwise do not reject the hypothesis that the average amount is 8.0 grams.</w:t>
      </w:r>
    </w:p>
    <w:p w:rsidR="00AD77BB" w:rsidRDefault="00B45BA0">
      <w:pPr>
        <w:shd w:val="clear" w:color="auto" w:fill="DAEEF3" w:themeFill="accent5" w:themeFillTint="33"/>
        <w:spacing w:before="150" w:after="0" w:line="360" w:lineRule="auto"/>
        <w:ind w:left="302" w:right="374"/>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The reasoning is that if the true average amount of fat per serving were 8.0 grams then there would be less than a 10% chance that a sample of size 5 would produce a mean of either 7.89 grams or less or 8.11 grams or more. Hence if that happened it would be more likely that the value 8.0 is incorrect (always assuming that the population standard deviation is 0.15 gram).</w:t>
      </w:r>
    </w:p>
    <w:p w:rsidR="00AD77BB" w:rsidRDefault="00AD77BB">
      <w:pPr>
        <w:shd w:val="clear" w:color="auto" w:fill="FFFFFF" w:themeFill="background1"/>
        <w:spacing w:after="0" w:line="360" w:lineRule="auto"/>
        <w:ind w:right="374"/>
        <w:textAlignment w:val="baseline"/>
        <w:rPr>
          <w:rFonts w:ascii="Georgia" w:hAnsi="Georgia"/>
          <w:color w:val="333333"/>
          <w:sz w:val="20"/>
          <w:szCs w:val="20"/>
          <w:shd w:val="clear" w:color="auto" w:fill="FFFFFF"/>
        </w:rPr>
      </w:pPr>
    </w:p>
    <w:p w:rsidR="00AD77BB" w:rsidRDefault="00B45BA0">
      <w:pPr>
        <w:shd w:val="clear" w:color="auto" w:fill="FFFFFF" w:themeFill="background1"/>
        <w:spacing w:after="0" w:line="360" w:lineRule="auto"/>
        <w:ind w:right="374"/>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Because the rejection regions are computed based on areas in tails of distributions, as shown in </w:t>
      </w:r>
      <w:r>
        <w:rPr>
          <w:rFonts w:ascii="Georgia" w:hAnsi="Georgia"/>
          <w:color w:val="2689C6"/>
          <w:sz w:val="20"/>
          <w:szCs w:val="20"/>
          <w:shd w:val="clear" w:color="auto" w:fill="FFFFFF"/>
        </w:rPr>
        <w:t>Figure 8.2</w:t>
      </w:r>
      <w:r>
        <w:rPr>
          <w:rFonts w:ascii="Georgia" w:hAnsi="Georgia"/>
          <w:color w:val="333333"/>
          <w:sz w:val="20"/>
          <w:szCs w:val="20"/>
          <w:shd w:val="clear" w:color="auto" w:fill="FFFFFF"/>
        </w:rPr>
        <w:t>, hypothesis tests are classified according to the form of the alternative hypothesis in the following way.</w:t>
      </w:r>
    </w:p>
    <w:p w:rsidR="00AD77BB" w:rsidRDefault="00AD77BB">
      <w:pPr>
        <w:pStyle w:val="Heading3"/>
        <w:spacing w:before="0" w:beforeAutospacing="0" w:after="0" w:afterAutospacing="0" w:line="360" w:lineRule="auto"/>
        <w:textAlignment w:val="baseline"/>
        <w:rPr>
          <w:rFonts w:ascii="Calibri" w:hAnsi="Calibri"/>
          <w:color w:val="333333"/>
          <w:sz w:val="31"/>
          <w:szCs w:val="31"/>
        </w:rPr>
      </w:pPr>
    </w:p>
    <w:p w:rsidR="00AD77BB" w:rsidRDefault="00B45BA0">
      <w:pPr>
        <w:pStyle w:val="Heading3"/>
        <w:shd w:val="clear" w:color="auto" w:fill="DAEEF3" w:themeFill="accent5" w:themeFillTint="33"/>
        <w:spacing w:before="0" w:beforeAutospacing="0" w:after="0" w:afterAutospacing="0" w:line="360" w:lineRule="auto"/>
        <w:textAlignment w:val="baseline"/>
        <w:rPr>
          <w:rFonts w:ascii="Calibri" w:hAnsi="Calibri"/>
          <w:color w:val="333333"/>
          <w:sz w:val="31"/>
          <w:szCs w:val="31"/>
        </w:rPr>
      </w:pPr>
      <w:r>
        <w:rPr>
          <w:rFonts w:ascii="Calibri" w:hAnsi="Calibri"/>
          <w:color w:val="333333"/>
          <w:sz w:val="31"/>
          <w:szCs w:val="31"/>
        </w:rPr>
        <w:t>Definition</w:t>
      </w:r>
    </w:p>
    <w:p w:rsidR="00AD77BB" w:rsidRDefault="00B45BA0">
      <w:pPr>
        <w:pStyle w:val="para"/>
        <w:shd w:val="clear" w:color="auto" w:fill="DAEEF3" w:themeFill="accent5" w:themeFillTint="33"/>
        <w:spacing w:before="0" w:beforeAutospacing="0" w:after="0" w:afterAutospacing="0" w:line="360" w:lineRule="auto"/>
        <w:textAlignment w:val="baseline"/>
        <w:rPr>
          <w:rFonts w:ascii="Georgia" w:hAnsi="Georgia"/>
          <w:color w:val="333333"/>
          <w:sz w:val="21"/>
          <w:szCs w:val="21"/>
        </w:rPr>
      </w:pPr>
      <w:r>
        <w:rPr>
          <w:rStyle w:val="Emphasis"/>
          <w:rFonts w:ascii="Georgia" w:hAnsi="Georgia"/>
          <w:color w:val="333333"/>
          <w:sz w:val="20"/>
          <w:szCs w:val="20"/>
        </w:rPr>
        <w:t>If</w:t>
      </w:r>
      <w:r>
        <w:rPr>
          <w:rStyle w:val="apple-converted-space"/>
          <w:rFonts w:ascii="Georgia" w:hAnsi="Georgia"/>
          <w:color w:val="333333"/>
          <w:sz w:val="21"/>
          <w:szCs w:val="21"/>
        </w:rPr>
        <w:t> </w:t>
      </w:r>
      <w:r>
        <w:rPr>
          <w:rStyle w:val="Emphasis"/>
          <w:rFonts w:ascii="Georgia" w:hAnsi="Georgia"/>
          <w:color w:val="333333"/>
          <w:sz w:val="20"/>
          <w:szCs w:val="20"/>
        </w:rPr>
        <w:t>H</w:t>
      </w:r>
      <w:r>
        <w:rPr>
          <w:rStyle w:val="Emphasis"/>
          <w:rFonts w:ascii="Georgia" w:hAnsi="Georgia"/>
          <w:color w:val="333333"/>
          <w:sz w:val="15"/>
          <w:szCs w:val="15"/>
          <w:vertAlign w:val="subscript"/>
        </w:rPr>
        <w:t>a</w:t>
      </w:r>
      <w:r>
        <w:rPr>
          <w:rStyle w:val="apple-converted-space"/>
          <w:rFonts w:ascii="Georgia" w:hAnsi="Georgia"/>
          <w:color w:val="333333"/>
          <w:sz w:val="21"/>
          <w:szCs w:val="21"/>
        </w:rPr>
        <w:t> </w:t>
      </w:r>
      <w:r>
        <w:rPr>
          <w:rStyle w:val="Emphasis"/>
          <w:rFonts w:ascii="Georgia" w:hAnsi="Georgia"/>
          <w:color w:val="333333"/>
          <w:sz w:val="20"/>
          <w:szCs w:val="20"/>
        </w:rPr>
        <w:t>has the form</w:t>
      </w:r>
      <w:r>
        <w:rPr>
          <w:rStyle w:val="apple-converted-space"/>
          <w:rFonts w:ascii="Georgia" w:hAnsi="Georgia"/>
          <w:color w:val="333333"/>
          <w:sz w:val="21"/>
          <w:szCs w:val="21"/>
        </w:rPr>
        <w:t> </w:t>
      </w:r>
      <w:r>
        <w:rPr>
          <w:rStyle w:val="mi"/>
          <w:rFonts w:ascii="MathJax_Math" w:hAnsi="MathJax_Math"/>
          <w:i/>
          <w:iCs/>
          <w:color w:val="333333"/>
          <w:sz w:val="18"/>
          <w:szCs w:val="18"/>
        </w:rPr>
        <w:t>μ</w:t>
      </w:r>
      <w:r>
        <w:rPr>
          <w:rStyle w:val="mo"/>
          <w:rFonts w:ascii="MathJax_Main" w:hAnsi="MathJax_Main"/>
          <w:color w:val="333333"/>
          <w:sz w:val="18"/>
          <w:szCs w:val="18"/>
        </w:rPr>
        <w:t>≠</w:t>
      </w:r>
      <w:r>
        <w:rPr>
          <w:rStyle w:val="mi"/>
          <w:rFonts w:ascii="MathJax_Math" w:hAnsi="MathJax_Math"/>
          <w:i/>
          <w:iCs/>
          <w:color w:val="333333"/>
          <w:sz w:val="18"/>
          <w:szCs w:val="18"/>
        </w:rPr>
        <w:t>μ</w:t>
      </w:r>
      <w:r>
        <w:rPr>
          <w:rStyle w:val="mn"/>
          <w:rFonts w:ascii="MathJax_Main" w:hAnsi="MathJax_Main"/>
          <w:color w:val="333333"/>
          <w:sz w:val="14"/>
          <w:szCs w:val="14"/>
          <w:vertAlign w:val="subscript"/>
        </w:rPr>
        <w:t>0</w:t>
      </w:r>
      <w:r>
        <w:rPr>
          <w:rStyle w:val="apple-converted-space"/>
          <w:rFonts w:ascii="Georgia" w:hAnsi="Georgia"/>
          <w:color w:val="333333"/>
          <w:sz w:val="21"/>
          <w:szCs w:val="21"/>
          <w:vertAlign w:val="subscript"/>
        </w:rPr>
        <w:t> </w:t>
      </w:r>
      <w:r>
        <w:rPr>
          <w:rStyle w:val="Emphasis"/>
          <w:rFonts w:ascii="Georgia" w:hAnsi="Georgia"/>
          <w:color w:val="333333"/>
          <w:sz w:val="20"/>
          <w:szCs w:val="20"/>
        </w:rPr>
        <w:t>the test is called a</w:t>
      </w:r>
      <w:r>
        <w:rPr>
          <w:rStyle w:val="apple-converted-space"/>
          <w:rFonts w:ascii="Georgia" w:hAnsi="Georgia"/>
          <w:color w:val="333333"/>
          <w:sz w:val="21"/>
          <w:szCs w:val="21"/>
        </w:rPr>
        <w:t> </w:t>
      </w:r>
      <w:r>
        <w:rPr>
          <w:rStyle w:val="Strong"/>
          <w:rFonts w:ascii="Georgia" w:hAnsi="Georgia"/>
          <w:color w:val="333333"/>
          <w:sz w:val="20"/>
          <w:szCs w:val="20"/>
        </w:rPr>
        <w:t>two-tailed test</w:t>
      </w:r>
      <w:r>
        <w:rPr>
          <w:rStyle w:val="Emphasis"/>
          <w:rFonts w:ascii="Georgia" w:hAnsi="Georgia"/>
          <w:color w:val="333333"/>
          <w:sz w:val="20"/>
          <w:szCs w:val="20"/>
        </w:rPr>
        <w:t>.</w:t>
      </w:r>
    </w:p>
    <w:p w:rsidR="00AD77BB" w:rsidRDefault="00B45BA0">
      <w:pPr>
        <w:pStyle w:val="para"/>
        <w:shd w:val="clear" w:color="auto" w:fill="DAEEF3" w:themeFill="accent5" w:themeFillTint="33"/>
        <w:spacing w:before="0" w:beforeAutospacing="0" w:after="0" w:afterAutospacing="0" w:line="360" w:lineRule="auto"/>
        <w:textAlignment w:val="baseline"/>
        <w:rPr>
          <w:rFonts w:ascii="Georgia" w:hAnsi="Georgia"/>
          <w:color w:val="333333"/>
          <w:sz w:val="21"/>
          <w:szCs w:val="21"/>
        </w:rPr>
      </w:pPr>
      <w:r>
        <w:rPr>
          <w:rStyle w:val="Emphasis"/>
          <w:rFonts w:ascii="Georgia" w:hAnsi="Georgia"/>
          <w:color w:val="333333"/>
          <w:sz w:val="20"/>
          <w:szCs w:val="20"/>
        </w:rPr>
        <w:lastRenderedPageBreak/>
        <w:t>If</w:t>
      </w:r>
      <w:r>
        <w:rPr>
          <w:rStyle w:val="apple-converted-space"/>
          <w:rFonts w:ascii="Georgia" w:hAnsi="Georgia"/>
          <w:color w:val="333333"/>
          <w:sz w:val="21"/>
          <w:szCs w:val="21"/>
        </w:rPr>
        <w:t> </w:t>
      </w:r>
      <w:r>
        <w:rPr>
          <w:rStyle w:val="Emphasis"/>
          <w:rFonts w:ascii="Georgia" w:hAnsi="Georgia"/>
          <w:color w:val="333333"/>
          <w:sz w:val="20"/>
          <w:szCs w:val="20"/>
        </w:rPr>
        <w:t>H</w:t>
      </w:r>
      <w:r>
        <w:rPr>
          <w:rStyle w:val="Emphasis"/>
          <w:rFonts w:ascii="Georgia" w:hAnsi="Georgia"/>
          <w:color w:val="333333"/>
          <w:sz w:val="15"/>
          <w:szCs w:val="15"/>
          <w:vertAlign w:val="subscript"/>
        </w:rPr>
        <w:t>a</w:t>
      </w:r>
      <w:r>
        <w:rPr>
          <w:rStyle w:val="apple-converted-space"/>
          <w:rFonts w:ascii="Georgia" w:hAnsi="Georgia"/>
          <w:color w:val="333333"/>
          <w:sz w:val="21"/>
          <w:szCs w:val="21"/>
        </w:rPr>
        <w:t> </w:t>
      </w:r>
      <w:r>
        <w:rPr>
          <w:rStyle w:val="Emphasis"/>
          <w:rFonts w:ascii="Georgia" w:hAnsi="Georgia"/>
          <w:color w:val="333333"/>
          <w:sz w:val="20"/>
          <w:szCs w:val="20"/>
        </w:rPr>
        <w:t>has the form</w:t>
      </w:r>
      <w:r>
        <w:rPr>
          <w:rStyle w:val="apple-converted-space"/>
          <w:rFonts w:ascii="Georgia" w:hAnsi="Georgia"/>
          <w:color w:val="333333"/>
          <w:sz w:val="21"/>
          <w:szCs w:val="21"/>
        </w:rPr>
        <w:t> </w:t>
      </w:r>
      <w:r>
        <w:rPr>
          <w:rStyle w:val="mi"/>
          <w:rFonts w:ascii="MathJax_Math" w:hAnsi="MathJax_Math"/>
          <w:i/>
          <w:iCs/>
          <w:color w:val="333333"/>
          <w:sz w:val="18"/>
          <w:szCs w:val="18"/>
        </w:rPr>
        <w:t>μ</w:t>
      </w:r>
      <w:r>
        <w:rPr>
          <w:rStyle w:val="mo"/>
          <w:rFonts w:ascii="MathJax_Main" w:hAnsi="MathJax_Main"/>
          <w:color w:val="333333"/>
          <w:sz w:val="18"/>
          <w:szCs w:val="18"/>
        </w:rPr>
        <w:t>&lt;</w:t>
      </w:r>
      <w:r>
        <w:rPr>
          <w:rStyle w:val="mi"/>
          <w:rFonts w:ascii="MathJax_Math" w:hAnsi="MathJax_Math"/>
          <w:i/>
          <w:iCs/>
          <w:color w:val="333333"/>
          <w:sz w:val="18"/>
          <w:szCs w:val="18"/>
        </w:rPr>
        <w:t>μ</w:t>
      </w:r>
      <w:r>
        <w:rPr>
          <w:rStyle w:val="mn"/>
          <w:rFonts w:ascii="MathJax_Main" w:hAnsi="MathJax_Main"/>
          <w:color w:val="333333"/>
          <w:sz w:val="14"/>
          <w:szCs w:val="14"/>
          <w:vertAlign w:val="subscript"/>
        </w:rPr>
        <w:t>0</w:t>
      </w:r>
      <w:r>
        <w:rPr>
          <w:rStyle w:val="apple-converted-space"/>
          <w:rFonts w:ascii="Georgia" w:hAnsi="Georgia"/>
          <w:color w:val="333333"/>
          <w:sz w:val="21"/>
          <w:szCs w:val="21"/>
        </w:rPr>
        <w:t> </w:t>
      </w:r>
      <w:r>
        <w:rPr>
          <w:rStyle w:val="Emphasis"/>
          <w:rFonts w:ascii="Georgia" w:hAnsi="Georgia"/>
          <w:color w:val="333333"/>
          <w:sz w:val="20"/>
          <w:szCs w:val="20"/>
        </w:rPr>
        <w:t>the test is called a</w:t>
      </w:r>
      <w:r>
        <w:rPr>
          <w:rStyle w:val="apple-converted-space"/>
          <w:rFonts w:ascii="Georgia" w:hAnsi="Georgia"/>
          <w:color w:val="333333"/>
          <w:sz w:val="21"/>
          <w:szCs w:val="21"/>
        </w:rPr>
        <w:t> </w:t>
      </w:r>
      <w:r>
        <w:rPr>
          <w:rStyle w:val="Strong"/>
          <w:rFonts w:ascii="Georgia" w:hAnsi="Georgia"/>
          <w:color w:val="333333"/>
          <w:sz w:val="20"/>
          <w:szCs w:val="20"/>
        </w:rPr>
        <w:t>left-tailed test</w:t>
      </w:r>
      <w:r>
        <w:rPr>
          <w:rStyle w:val="Emphasis"/>
          <w:rFonts w:ascii="Georgia" w:hAnsi="Georgia"/>
          <w:color w:val="333333"/>
          <w:sz w:val="20"/>
          <w:szCs w:val="20"/>
        </w:rPr>
        <w:t>.</w:t>
      </w:r>
    </w:p>
    <w:p w:rsidR="00AD77BB" w:rsidRDefault="00B45BA0">
      <w:pPr>
        <w:pStyle w:val="para"/>
        <w:shd w:val="clear" w:color="auto" w:fill="DAEEF3" w:themeFill="accent5" w:themeFillTint="33"/>
        <w:spacing w:before="0" w:beforeAutospacing="0" w:after="0" w:afterAutospacing="0" w:line="360" w:lineRule="auto"/>
        <w:textAlignment w:val="baseline"/>
        <w:rPr>
          <w:rFonts w:ascii="Georgia" w:hAnsi="Georgia"/>
          <w:color w:val="333333"/>
          <w:sz w:val="21"/>
          <w:szCs w:val="21"/>
        </w:rPr>
      </w:pPr>
      <w:r>
        <w:rPr>
          <w:rStyle w:val="Emphasis"/>
          <w:rFonts w:ascii="Georgia" w:hAnsi="Georgia"/>
          <w:color w:val="333333"/>
          <w:sz w:val="20"/>
          <w:szCs w:val="20"/>
        </w:rPr>
        <w:t>If</w:t>
      </w:r>
      <w:r>
        <w:rPr>
          <w:rStyle w:val="apple-converted-space"/>
          <w:rFonts w:ascii="Georgia" w:hAnsi="Georgia"/>
          <w:color w:val="333333"/>
          <w:sz w:val="21"/>
          <w:szCs w:val="21"/>
        </w:rPr>
        <w:t> </w:t>
      </w:r>
      <w:r>
        <w:rPr>
          <w:rStyle w:val="Emphasis"/>
          <w:rFonts w:ascii="Georgia" w:hAnsi="Georgia"/>
          <w:color w:val="333333"/>
          <w:sz w:val="20"/>
          <w:szCs w:val="20"/>
        </w:rPr>
        <w:t>H</w:t>
      </w:r>
      <w:r>
        <w:rPr>
          <w:rStyle w:val="Emphasis"/>
          <w:rFonts w:ascii="Georgia" w:hAnsi="Georgia"/>
          <w:color w:val="333333"/>
          <w:sz w:val="15"/>
          <w:szCs w:val="15"/>
          <w:vertAlign w:val="subscript"/>
        </w:rPr>
        <w:t>a</w:t>
      </w:r>
      <w:r>
        <w:rPr>
          <w:rStyle w:val="apple-converted-space"/>
          <w:rFonts w:ascii="Georgia" w:hAnsi="Georgia"/>
          <w:color w:val="333333"/>
          <w:sz w:val="21"/>
          <w:szCs w:val="21"/>
        </w:rPr>
        <w:t> </w:t>
      </w:r>
      <w:r>
        <w:rPr>
          <w:rStyle w:val="Emphasis"/>
          <w:rFonts w:ascii="Georgia" w:hAnsi="Georgia"/>
          <w:color w:val="333333"/>
          <w:sz w:val="20"/>
          <w:szCs w:val="20"/>
        </w:rPr>
        <w:t>has the form</w:t>
      </w:r>
      <w:r>
        <w:rPr>
          <w:rStyle w:val="apple-converted-space"/>
          <w:rFonts w:ascii="Georgia" w:hAnsi="Georgia"/>
          <w:color w:val="333333"/>
          <w:sz w:val="21"/>
          <w:szCs w:val="21"/>
        </w:rPr>
        <w:t> </w:t>
      </w:r>
      <w:r>
        <w:rPr>
          <w:rStyle w:val="mi"/>
          <w:rFonts w:ascii="MathJax_Math" w:hAnsi="MathJax_Math"/>
          <w:i/>
          <w:iCs/>
          <w:color w:val="333333"/>
          <w:sz w:val="18"/>
          <w:szCs w:val="18"/>
        </w:rPr>
        <w:t>μ</w:t>
      </w:r>
      <w:r>
        <w:rPr>
          <w:rStyle w:val="mo"/>
          <w:rFonts w:ascii="MathJax_Main" w:hAnsi="MathJax_Main"/>
          <w:color w:val="333333"/>
          <w:sz w:val="18"/>
          <w:szCs w:val="18"/>
        </w:rPr>
        <w:t>&gt;</w:t>
      </w:r>
      <w:r>
        <w:rPr>
          <w:rStyle w:val="mi"/>
          <w:rFonts w:ascii="MathJax_Math" w:hAnsi="MathJax_Math"/>
          <w:i/>
          <w:iCs/>
          <w:color w:val="333333"/>
          <w:sz w:val="18"/>
          <w:szCs w:val="18"/>
        </w:rPr>
        <w:t>μ</w:t>
      </w:r>
      <w:r>
        <w:rPr>
          <w:rStyle w:val="mn"/>
          <w:rFonts w:ascii="MathJax_Main" w:hAnsi="MathJax_Main"/>
          <w:color w:val="333333"/>
          <w:sz w:val="14"/>
          <w:szCs w:val="14"/>
          <w:vertAlign w:val="subscript"/>
        </w:rPr>
        <w:t>0</w:t>
      </w:r>
      <w:r>
        <w:rPr>
          <w:rStyle w:val="apple-converted-space"/>
          <w:rFonts w:ascii="Georgia" w:hAnsi="Georgia"/>
          <w:color w:val="333333"/>
          <w:sz w:val="21"/>
          <w:szCs w:val="21"/>
        </w:rPr>
        <w:t> </w:t>
      </w:r>
      <w:r>
        <w:rPr>
          <w:rStyle w:val="Emphasis"/>
          <w:rFonts w:ascii="Georgia" w:hAnsi="Georgia"/>
          <w:color w:val="333333"/>
          <w:sz w:val="20"/>
          <w:szCs w:val="20"/>
        </w:rPr>
        <w:t>the test is called a</w:t>
      </w:r>
      <w:r>
        <w:rPr>
          <w:rStyle w:val="apple-converted-space"/>
          <w:rFonts w:ascii="Georgia" w:hAnsi="Georgia"/>
          <w:color w:val="333333"/>
          <w:sz w:val="21"/>
          <w:szCs w:val="21"/>
        </w:rPr>
        <w:t> </w:t>
      </w:r>
      <w:r>
        <w:rPr>
          <w:rStyle w:val="Strong"/>
          <w:rFonts w:ascii="Georgia" w:hAnsi="Georgia"/>
          <w:color w:val="333333"/>
          <w:sz w:val="20"/>
          <w:szCs w:val="20"/>
        </w:rPr>
        <w:t>right-tailed test</w:t>
      </w:r>
      <w:r>
        <w:rPr>
          <w:rStyle w:val="Emphasis"/>
          <w:rFonts w:ascii="Georgia" w:hAnsi="Georgia"/>
          <w:color w:val="333333"/>
          <w:sz w:val="20"/>
          <w:szCs w:val="20"/>
        </w:rPr>
        <w:t>.</w:t>
      </w:r>
    </w:p>
    <w:p w:rsidR="00AD77BB" w:rsidRDefault="00B45BA0">
      <w:pPr>
        <w:pStyle w:val="para"/>
        <w:shd w:val="clear" w:color="auto" w:fill="DAEEF3" w:themeFill="accent5" w:themeFillTint="33"/>
        <w:spacing w:before="0" w:beforeAutospacing="0" w:after="0" w:afterAutospacing="0" w:line="360" w:lineRule="auto"/>
        <w:textAlignment w:val="baseline"/>
        <w:rPr>
          <w:rFonts w:ascii="Georgia" w:hAnsi="Georgia"/>
          <w:color w:val="333333"/>
          <w:sz w:val="21"/>
          <w:szCs w:val="21"/>
        </w:rPr>
      </w:pPr>
      <w:r>
        <w:rPr>
          <w:rStyle w:val="Emphasis"/>
          <w:rFonts w:ascii="Georgia" w:hAnsi="Georgia"/>
          <w:color w:val="333333"/>
          <w:sz w:val="20"/>
          <w:szCs w:val="20"/>
        </w:rPr>
        <w:t>Each of the last two forms is also called a</w:t>
      </w:r>
      <w:r>
        <w:rPr>
          <w:rStyle w:val="apple-converted-space"/>
          <w:rFonts w:ascii="Georgia" w:hAnsi="Georgia"/>
          <w:color w:val="333333"/>
          <w:sz w:val="21"/>
          <w:szCs w:val="21"/>
        </w:rPr>
        <w:t> </w:t>
      </w:r>
      <w:r>
        <w:rPr>
          <w:rStyle w:val="Strong"/>
          <w:rFonts w:ascii="Georgia" w:hAnsi="Georgia"/>
          <w:color w:val="333333"/>
          <w:sz w:val="20"/>
          <w:szCs w:val="20"/>
        </w:rPr>
        <w:t>one-tailed test</w:t>
      </w:r>
      <w:r>
        <w:rPr>
          <w:rStyle w:val="Emphasis"/>
          <w:rFonts w:ascii="Georgia" w:hAnsi="Georgia"/>
          <w:color w:val="333333"/>
          <w:sz w:val="20"/>
          <w:szCs w:val="20"/>
        </w:rPr>
        <w:t>.</w:t>
      </w:r>
    </w:p>
    <w:p w:rsidR="00AD77BB" w:rsidRDefault="00AD77BB">
      <w:pPr>
        <w:pStyle w:val="Heading2"/>
        <w:shd w:val="clear" w:color="auto" w:fill="FFFFFF"/>
        <w:spacing w:before="0" w:line="439" w:lineRule="atLeast"/>
        <w:textAlignment w:val="baseline"/>
        <w:rPr>
          <w:rFonts w:ascii="Calibri" w:hAnsi="Calibri"/>
          <w:color w:val="333333"/>
          <w:sz w:val="29"/>
          <w:szCs w:val="29"/>
        </w:rPr>
      </w:pPr>
    </w:p>
    <w:p w:rsidR="00AD77BB" w:rsidRDefault="00B45BA0">
      <w:pPr>
        <w:pStyle w:val="Heading2"/>
        <w:shd w:val="clear" w:color="auto" w:fill="FFFFFF"/>
        <w:spacing w:before="0" w:line="439" w:lineRule="atLeast"/>
        <w:textAlignment w:val="baseline"/>
        <w:rPr>
          <w:rFonts w:ascii="Calibri" w:hAnsi="Calibri"/>
          <w:color w:val="333333"/>
          <w:sz w:val="29"/>
          <w:szCs w:val="29"/>
        </w:rPr>
      </w:pPr>
      <w:r>
        <w:rPr>
          <w:rFonts w:ascii="Calibri" w:hAnsi="Calibri"/>
          <w:color w:val="333333"/>
          <w:sz w:val="29"/>
          <w:szCs w:val="29"/>
        </w:rPr>
        <w:t>Two Types of Errors</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format of the testing procedure in general terms is to take a sample and use the information it contains to come to a decision about the two hypotheses. As stated before our decision will always be either</w:t>
      </w:r>
    </w:p>
    <w:p w:rsidR="00AD77BB" w:rsidRDefault="00B45BA0">
      <w:pPr>
        <w:numPr>
          <w:ilvl w:val="0"/>
          <w:numId w:val="185"/>
        </w:numPr>
        <w:shd w:val="clear" w:color="auto" w:fill="FFFFFF"/>
        <w:spacing w:after="0" w:line="360" w:lineRule="auto"/>
        <w:ind w:left="360"/>
        <w:textAlignment w:val="baseline"/>
        <w:rPr>
          <w:rFonts w:ascii="Georgia" w:hAnsi="Georgia"/>
          <w:color w:val="333333"/>
          <w:sz w:val="20"/>
          <w:szCs w:val="20"/>
        </w:rPr>
      </w:pPr>
      <w:r>
        <w:rPr>
          <w:rFonts w:ascii="Georgia" w:hAnsi="Georgia"/>
          <w:color w:val="333333"/>
          <w:sz w:val="20"/>
          <w:szCs w:val="20"/>
        </w:rPr>
        <w:t>reject the null hypothesis</w:t>
      </w:r>
      <w:r>
        <w:rPr>
          <w:rStyle w:val="apple-converted-space"/>
          <w:rFonts w:ascii="Georgia" w:hAnsi="Georgia"/>
          <w:color w:val="333333"/>
          <w:sz w:val="20"/>
          <w:szCs w:val="20"/>
        </w:rPr>
        <w:t> </w:t>
      </w:r>
      <w:r>
        <w:rPr>
          <w:rStyle w:val="Emphasis"/>
          <w:rFonts w:ascii="Georgia" w:hAnsi="Georgia"/>
          <w:color w:val="333333"/>
          <w:sz w:val="20"/>
          <w:szCs w:val="20"/>
        </w:rPr>
        <w:t>H</w:t>
      </w:r>
      <w:r>
        <w:rPr>
          <w:rFonts w:ascii="Georgia" w:hAnsi="Georgia"/>
          <w:color w:val="333333"/>
          <w:sz w:val="15"/>
          <w:szCs w:val="15"/>
          <w:vertAlign w:val="subscript"/>
        </w:rPr>
        <w:t>0</w:t>
      </w:r>
      <w:r>
        <w:rPr>
          <w:rStyle w:val="apple-converted-space"/>
          <w:rFonts w:ascii="Georgia" w:hAnsi="Georgia"/>
          <w:color w:val="333333"/>
          <w:sz w:val="20"/>
          <w:szCs w:val="20"/>
        </w:rPr>
        <w:t> </w:t>
      </w:r>
      <w:r>
        <w:rPr>
          <w:rFonts w:ascii="Georgia" w:hAnsi="Georgia"/>
          <w:color w:val="333333"/>
          <w:sz w:val="20"/>
          <w:szCs w:val="20"/>
        </w:rPr>
        <w:t>in favor of the alternative</w:t>
      </w:r>
      <w:r>
        <w:rPr>
          <w:rStyle w:val="apple-converted-space"/>
          <w:rFonts w:ascii="Georgia" w:hAnsi="Georgia"/>
          <w:color w:val="333333"/>
          <w:sz w:val="20"/>
          <w:szCs w:val="20"/>
        </w:rPr>
        <w:t> </w:t>
      </w:r>
      <w:r>
        <w:rPr>
          <w:rStyle w:val="Emphasis"/>
          <w:rFonts w:ascii="Georgia" w:hAnsi="Georgia"/>
          <w:color w:val="333333"/>
          <w:sz w:val="20"/>
          <w:szCs w:val="20"/>
        </w:rPr>
        <w:t>H</w:t>
      </w:r>
      <w:r>
        <w:rPr>
          <w:rStyle w:val="Emphasis"/>
          <w:rFonts w:ascii="Georgia" w:hAnsi="Georgia"/>
          <w:color w:val="333333"/>
          <w:sz w:val="15"/>
          <w:szCs w:val="15"/>
          <w:vertAlign w:val="subscript"/>
        </w:rPr>
        <w:t>a</w:t>
      </w:r>
      <w:r>
        <w:rPr>
          <w:rStyle w:val="apple-converted-space"/>
          <w:rFonts w:ascii="Georgia" w:hAnsi="Georgia"/>
          <w:color w:val="333333"/>
          <w:sz w:val="20"/>
          <w:szCs w:val="20"/>
        </w:rPr>
        <w:t> </w:t>
      </w:r>
      <w:r>
        <w:rPr>
          <w:rFonts w:ascii="Georgia" w:hAnsi="Georgia"/>
          <w:color w:val="333333"/>
          <w:sz w:val="20"/>
          <w:szCs w:val="20"/>
        </w:rPr>
        <w:t>presented, or</w:t>
      </w:r>
    </w:p>
    <w:p w:rsidR="00AD77BB" w:rsidRDefault="00B45BA0">
      <w:pPr>
        <w:numPr>
          <w:ilvl w:val="0"/>
          <w:numId w:val="185"/>
        </w:numPr>
        <w:shd w:val="clear" w:color="auto" w:fill="FFFFFF"/>
        <w:spacing w:after="0" w:line="360" w:lineRule="auto"/>
        <w:ind w:left="360"/>
        <w:textAlignment w:val="baseline"/>
        <w:rPr>
          <w:rFonts w:ascii="Georgia" w:hAnsi="Georgia"/>
          <w:color w:val="333333"/>
          <w:sz w:val="20"/>
          <w:szCs w:val="20"/>
        </w:rPr>
      </w:pPr>
      <w:r>
        <w:rPr>
          <w:rFonts w:ascii="Georgia" w:hAnsi="Georgia"/>
          <w:color w:val="333333"/>
          <w:sz w:val="20"/>
          <w:szCs w:val="20"/>
        </w:rPr>
        <w:t>do not reject the null hypothesis</w:t>
      </w:r>
      <w:r>
        <w:rPr>
          <w:rStyle w:val="apple-converted-space"/>
          <w:rFonts w:ascii="Georgia" w:hAnsi="Georgia"/>
          <w:color w:val="333333"/>
          <w:sz w:val="20"/>
          <w:szCs w:val="20"/>
        </w:rPr>
        <w:t> </w:t>
      </w:r>
      <w:r>
        <w:rPr>
          <w:rStyle w:val="Emphasis"/>
          <w:rFonts w:ascii="Georgia" w:hAnsi="Georgia"/>
          <w:color w:val="333333"/>
          <w:sz w:val="20"/>
          <w:szCs w:val="20"/>
        </w:rPr>
        <w:t>H</w:t>
      </w:r>
      <w:r>
        <w:rPr>
          <w:rFonts w:ascii="Georgia" w:hAnsi="Georgia"/>
          <w:color w:val="333333"/>
          <w:sz w:val="15"/>
          <w:szCs w:val="15"/>
          <w:vertAlign w:val="subscript"/>
        </w:rPr>
        <w:t>0</w:t>
      </w:r>
      <w:r>
        <w:rPr>
          <w:rStyle w:val="apple-converted-space"/>
          <w:rFonts w:ascii="Georgia" w:hAnsi="Georgia"/>
          <w:color w:val="333333"/>
          <w:sz w:val="20"/>
          <w:szCs w:val="20"/>
        </w:rPr>
        <w:t> </w:t>
      </w:r>
      <w:r>
        <w:rPr>
          <w:rFonts w:ascii="Georgia" w:hAnsi="Georgia"/>
          <w:color w:val="333333"/>
          <w:sz w:val="20"/>
          <w:szCs w:val="20"/>
        </w:rPr>
        <w:t>in favor of the alternative</w:t>
      </w:r>
      <w:r>
        <w:rPr>
          <w:rStyle w:val="apple-converted-space"/>
          <w:rFonts w:ascii="Georgia" w:hAnsi="Georgia"/>
          <w:color w:val="333333"/>
          <w:sz w:val="20"/>
          <w:szCs w:val="20"/>
        </w:rPr>
        <w:t> </w:t>
      </w:r>
      <w:r>
        <w:rPr>
          <w:rStyle w:val="Emphasis"/>
          <w:rFonts w:ascii="Georgia" w:hAnsi="Georgia"/>
          <w:color w:val="333333"/>
          <w:sz w:val="20"/>
          <w:szCs w:val="20"/>
        </w:rPr>
        <w:t>H</w:t>
      </w:r>
      <w:r>
        <w:rPr>
          <w:rStyle w:val="Emphasis"/>
          <w:rFonts w:ascii="Georgia" w:hAnsi="Georgia"/>
          <w:color w:val="333333"/>
          <w:sz w:val="15"/>
          <w:szCs w:val="15"/>
          <w:vertAlign w:val="subscript"/>
        </w:rPr>
        <w:t xml:space="preserve">a </w:t>
      </w:r>
      <w:r>
        <w:rPr>
          <w:rFonts w:ascii="Georgia" w:hAnsi="Georgia"/>
          <w:color w:val="333333"/>
          <w:sz w:val="20"/>
          <w:szCs w:val="20"/>
        </w:rPr>
        <w:t>presented.</w:t>
      </w:r>
    </w:p>
    <w:p w:rsidR="00AD77BB" w:rsidRDefault="00AD77BB">
      <w:pPr>
        <w:shd w:val="clear" w:color="auto" w:fill="FFFFFF"/>
        <w:spacing w:after="0" w:line="360" w:lineRule="auto"/>
        <w:textAlignment w:val="baseline"/>
        <w:rPr>
          <w:rFonts w:ascii="Georgia" w:hAnsi="Georgia"/>
          <w:color w:val="333333"/>
          <w:sz w:val="20"/>
          <w:szCs w:val="20"/>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There are four possible outcomes of hypothesis testing procedure, as shown in the following table:</w:t>
      </w:r>
    </w:p>
    <w:p w:rsidR="00AD77BB" w:rsidRDefault="00AD77BB">
      <w:pPr>
        <w:shd w:val="clear" w:color="auto" w:fill="FFFFFF"/>
        <w:spacing w:after="195" w:line="360" w:lineRule="auto"/>
        <w:textAlignment w:val="baseline"/>
        <w:rPr>
          <w:rFonts w:ascii="Calibri" w:eastAsia="Times New Roman" w:hAnsi="Calibri" w:cs="Times New Roman"/>
          <w:color w:val="555555"/>
          <w:sz w:val="23"/>
          <w:szCs w:val="23"/>
        </w:rPr>
      </w:pPr>
    </w:p>
    <w:tbl>
      <w:tblPr>
        <w:tblW w:w="0" w:type="auto"/>
        <w:tblCellMar>
          <w:left w:w="0" w:type="dxa"/>
          <w:right w:w="0" w:type="dxa"/>
        </w:tblCellMar>
        <w:tblLook w:val="04A0" w:firstRow="1" w:lastRow="0" w:firstColumn="1" w:lastColumn="0" w:noHBand="0" w:noVBand="1"/>
      </w:tblPr>
      <w:tblGrid>
        <w:gridCol w:w="1276"/>
        <w:gridCol w:w="1501"/>
        <w:gridCol w:w="1533"/>
        <w:gridCol w:w="1533"/>
        <w:gridCol w:w="156"/>
      </w:tblGrid>
      <w:tr w:rsidR="00AD77BB">
        <w:trPr>
          <w:gridAfter w:val="1"/>
        </w:trPr>
        <w:tc>
          <w:tcPr>
            <w:tcW w:w="0" w:type="auto"/>
            <w:gridSpan w:val="2"/>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rPr>
                <w:rFonts w:cs="Times New Roman"/>
              </w:rPr>
            </w:pP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True State of Nature</w:t>
            </w:r>
          </w:p>
        </w:tc>
      </w:tr>
      <w:tr w:rsidR="00AD77BB">
        <w:tc>
          <w:tcPr>
            <w:tcW w:w="0" w:type="auto"/>
            <w:gridSpan w:val="2"/>
            <w:vMerge/>
            <w:tcBorders>
              <w:top w:val="single" w:sz="6" w:space="0" w:color="auto"/>
              <w:left w:val="single" w:sz="6" w:space="0" w:color="auto"/>
              <w:bottom w:val="single" w:sz="6" w:space="0" w:color="auto"/>
              <w:right w:val="single" w:sz="6" w:space="0" w:color="auto"/>
            </w:tcBorders>
            <w:vAlign w:val="center"/>
            <w:hideMark/>
          </w:tcPr>
          <w:p w:rsidR="00AD77BB" w:rsidRDefault="00AD77BB">
            <w:pPr>
              <w:spacing w:after="0" w:line="240" w:lineRule="auto"/>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i/>
                <w:iCs/>
                <w:sz w:val="21"/>
                <w:szCs w:val="21"/>
              </w:rPr>
              <w:t>H</w:t>
            </w:r>
            <w:r>
              <w:rPr>
                <w:rFonts w:ascii="Times New Roman" w:eastAsia="Times New Roman" w:hAnsi="Times New Roman" w:cs="Times New Roman"/>
                <w:sz w:val="15"/>
                <w:szCs w:val="15"/>
                <w:vertAlign w:val="subscript"/>
              </w:rPr>
              <w:t>0</w:t>
            </w:r>
            <w:r>
              <w:rPr>
                <w:rFonts w:ascii="Times New Roman" w:eastAsia="Times New Roman" w:hAnsi="Times New Roman" w:cs="Times New Roman"/>
                <w:sz w:val="21"/>
                <w:szCs w:val="21"/>
              </w:rPr>
              <w:t> is true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i/>
                <w:iCs/>
                <w:sz w:val="21"/>
                <w:szCs w:val="21"/>
              </w:rPr>
              <w:t>H</w:t>
            </w:r>
            <w:r>
              <w:rPr>
                <w:rFonts w:ascii="Times New Roman" w:eastAsia="Times New Roman" w:hAnsi="Times New Roman" w:cs="Times New Roman"/>
                <w:sz w:val="15"/>
                <w:szCs w:val="15"/>
                <w:vertAlign w:val="subscript"/>
              </w:rPr>
              <w:t>0</w:t>
            </w:r>
            <w:r>
              <w:rPr>
                <w:rFonts w:ascii="Times New Roman" w:eastAsia="Times New Roman" w:hAnsi="Times New Roman" w:cs="Times New Roman"/>
                <w:sz w:val="21"/>
                <w:szCs w:val="21"/>
              </w:rPr>
              <w:t> is false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r>
      <w:tr w:rsidR="00AD77BB">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Our Decision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Do not reject </w:t>
            </w:r>
            <w:r>
              <w:rPr>
                <w:rFonts w:ascii="Times New Roman" w:eastAsia="Times New Roman" w:hAnsi="Times New Roman" w:cs="Times New Roman"/>
                <w:i/>
                <w:iCs/>
                <w:sz w:val="21"/>
                <w:szCs w:val="21"/>
              </w:rPr>
              <w:t>H</w:t>
            </w:r>
            <w:r>
              <w:rPr>
                <w:rFonts w:ascii="Times New Roman" w:eastAsia="Times New Roman" w:hAnsi="Times New Roman" w:cs="Times New Roman"/>
                <w:sz w:val="15"/>
                <w:szCs w:val="15"/>
                <w:vertAlign w:val="subscript"/>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Correct decision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Type II error</w:t>
            </w:r>
          </w:p>
        </w:tc>
        <w:tc>
          <w:tcPr>
            <w:tcW w:w="0" w:type="auto"/>
            <w:vAlign w:val="bottom"/>
            <w:hideMark/>
          </w:tcPr>
          <w:p w:rsidR="00AD77BB" w:rsidRDefault="00AD77BB">
            <w:pPr>
              <w:spacing w:after="0"/>
              <w:rPr>
                <w:rFonts w:cs="Times New Roman"/>
              </w:rPr>
            </w:pPr>
          </w:p>
        </w:tc>
      </w:tr>
      <w:tr w:rsidR="00AD77BB">
        <w:tc>
          <w:tcPr>
            <w:tcW w:w="0" w:type="auto"/>
            <w:vMerge/>
            <w:tcBorders>
              <w:top w:val="single" w:sz="6" w:space="0" w:color="auto"/>
              <w:left w:val="single" w:sz="6" w:space="0" w:color="auto"/>
              <w:bottom w:val="single" w:sz="6" w:space="0" w:color="auto"/>
              <w:right w:val="single" w:sz="6" w:space="0" w:color="auto"/>
            </w:tcBorders>
            <w:vAlign w:val="center"/>
            <w:hideMark/>
          </w:tcPr>
          <w:p w:rsidR="00AD77BB" w:rsidRDefault="00AD77BB">
            <w:pPr>
              <w:spacing w:after="0" w:line="240" w:lineRule="auto"/>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Reject </w:t>
            </w:r>
            <w:r>
              <w:rPr>
                <w:rFonts w:ascii="Times New Roman" w:eastAsia="Times New Roman" w:hAnsi="Times New Roman" w:cs="Times New Roman"/>
                <w:i/>
                <w:iCs/>
                <w:sz w:val="21"/>
                <w:szCs w:val="21"/>
              </w:rPr>
              <w:t>H</w:t>
            </w:r>
            <w:r>
              <w:rPr>
                <w:rFonts w:ascii="Times New Roman" w:eastAsia="Times New Roman" w:hAnsi="Times New Roman" w:cs="Times New Roman"/>
                <w:sz w:val="15"/>
                <w:szCs w:val="15"/>
                <w:vertAlign w:val="subscript"/>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Type I error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Correct decision</w:t>
            </w:r>
          </w:p>
        </w:tc>
        <w:tc>
          <w:tcPr>
            <w:tcW w:w="0" w:type="auto"/>
            <w:vAlign w:val="bottom"/>
            <w:hideMark/>
          </w:tcPr>
          <w:p w:rsidR="00AD77BB" w:rsidRDefault="00AD77BB">
            <w:pPr>
              <w:spacing w:after="0"/>
              <w:rPr>
                <w:rFonts w:cs="Times New Roman"/>
              </w:rPr>
            </w:pPr>
          </w:p>
        </w:tc>
      </w:tr>
    </w:tbl>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As the table shows, there are two ways to be right and two ways to be wrong. Typically to reject </w:t>
      </w:r>
      <w:r>
        <w:rPr>
          <w:rFonts w:ascii="Georgia" w:eastAsia="Times New Roman" w:hAnsi="Georgia" w:cs="Times New Roman"/>
          <w:i/>
          <w:iCs/>
          <w:color w:val="333333"/>
          <w:sz w:val="20"/>
          <w:szCs w:val="20"/>
        </w:rPr>
        <w:t>H</w:t>
      </w:r>
      <w:r>
        <w:rPr>
          <w:rFonts w:ascii="Georgia" w:eastAsia="Times New Roman" w:hAnsi="Georgia" w:cs="Times New Roman"/>
          <w:color w:val="333333"/>
          <w:sz w:val="15"/>
          <w:szCs w:val="15"/>
          <w:vertAlign w:val="subscript"/>
        </w:rPr>
        <w:t>0</w:t>
      </w:r>
      <w:r>
        <w:rPr>
          <w:rFonts w:ascii="Georgia" w:eastAsia="Times New Roman" w:hAnsi="Georgia" w:cs="Times New Roman"/>
          <w:color w:val="333333"/>
          <w:sz w:val="21"/>
          <w:szCs w:val="21"/>
        </w:rPr>
        <w:t> when it is actually true is a more serious error than to fail to reject it when it is false, so the former error is labeled “Type I” and the latter error “Type II.”</w:t>
      </w:r>
    </w:p>
    <w:p w:rsidR="00AD77BB" w:rsidRDefault="00B45BA0">
      <w:pPr>
        <w:shd w:val="clear" w:color="auto" w:fill="DAEEF3" w:themeFill="accent5" w:themeFillTint="33"/>
        <w:spacing w:after="0" w:line="264" w:lineRule="atLeast"/>
        <w:textAlignment w:val="baseline"/>
        <w:outlineLvl w:val="2"/>
        <w:rPr>
          <w:rFonts w:ascii="Calibri" w:eastAsia="Times New Roman" w:hAnsi="Calibri" w:cs="Times New Roman"/>
          <w:b/>
          <w:bCs/>
          <w:color w:val="333333"/>
          <w:sz w:val="31"/>
          <w:szCs w:val="31"/>
        </w:rPr>
      </w:pPr>
      <w:r>
        <w:rPr>
          <w:rFonts w:ascii="Calibri" w:eastAsia="Times New Roman" w:hAnsi="Calibri" w:cs="Times New Roman"/>
          <w:b/>
          <w:bCs/>
          <w:color w:val="333333"/>
          <w:sz w:val="31"/>
          <w:szCs w:val="31"/>
        </w:rPr>
        <w:t>Definition</w:t>
      </w:r>
    </w:p>
    <w:p w:rsidR="00AD77BB" w:rsidRDefault="00B45BA0">
      <w:pPr>
        <w:shd w:val="clear" w:color="auto" w:fill="DAEEF3" w:themeFill="accent5" w:themeFillTint="33"/>
        <w:spacing w:after="0"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i/>
          <w:iCs/>
          <w:color w:val="333333"/>
          <w:sz w:val="20"/>
          <w:szCs w:val="20"/>
        </w:rPr>
        <w:t>In a test of hypotheses, a</w:t>
      </w:r>
      <w:r>
        <w:rPr>
          <w:rFonts w:ascii="Georgia" w:eastAsia="Times New Roman" w:hAnsi="Georgia" w:cs="Times New Roman"/>
          <w:color w:val="333333"/>
          <w:sz w:val="21"/>
          <w:szCs w:val="21"/>
        </w:rPr>
        <w:t> </w:t>
      </w:r>
      <w:r>
        <w:rPr>
          <w:rFonts w:ascii="Georgia" w:eastAsia="Times New Roman" w:hAnsi="Georgia" w:cs="Times New Roman"/>
          <w:color w:val="333333"/>
          <w:sz w:val="20"/>
          <w:szCs w:val="20"/>
        </w:rPr>
        <w:t>Type I error</w:t>
      </w:r>
      <w:r>
        <w:rPr>
          <w:rFonts w:ascii="Georgia" w:eastAsia="Times New Roman" w:hAnsi="Georgia" w:cs="Times New Roman"/>
          <w:color w:val="333333"/>
          <w:sz w:val="21"/>
          <w:szCs w:val="21"/>
        </w:rPr>
        <w:t> </w:t>
      </w:r>
      <w:r>
        <w:rPr>
          <w:rFonts w:ascii="Georgia" w:eastAsia="Times New Roman" w:hAnsi="Georgia" w:cs="Times New Roman"/>
          <w:i/>
          <w:iCs/>
          <w:color w:val="333333"/>
          <w:sz w:val="20"/>
          <w:szCs w:val="20"/>
        </w:rPr>
        <w:t>is the decision to reject</w:t>
      </w:r>
      <w:r>
        <w:rPr>
          <w:rFonts w:ascii="Georgia" w:eastAsia="Times New Roman" w:hAnsi="Georgia" w:cs="Times New Roman"/>
          <w:color w:val="333333"/>
          <w:sz w:val="21"/>
          <w:szCs w:val="21"/>
        </w:rPr>
        <w:t> </w:t>
      </w:r>
      <w:r>
        <w:rPr>
          <w:rFonts w:ascii="Georgia" w:eastAsia="Times New Roman" w:hAnsi="Georgia" w:cs="Times New Roman"/>
          <w:i/>
          <w:iCs/>
          <w:color w:val="333333"/>
          <w:sz w:val="20"/>
          <w:szCs w:val="20"/>
        </w:rPr>
        <w:t>H</w:t>
      </w:r>
      <w:r>
        <w:rPr>
          <w:rFonts w:ascii="Georgia" w:eastAsia="Times New Roman" w:hAnsi="Georgia" w:cs="Times New Roman"/>
          <w:color w:val="333333"/>
          <w:sz w:val="15"/>
          <w:szCs w:val="15"/>
          <w:vertAlign w:val="subscript"/>
        </w:rPr>
        <w:t>0</w:t>
      </w:r>
      <w:r>
        <w:rPr>
          <w:rFonts w:ascii="Georgia" w:eastAsia="Times New Roman" w:hAnsi="Georgia" w:cs="Times New Roman"/>
          <w:color w:val="333333"/>
          <w:sz w:val="21"/>
          <w:szCs w:val="21"/>
        </w:rPr>
        <w:t> </w:t>
      </w:r>
      <w:r>
        <w:rPr>
          <w:rFonts w:ascii="Georgia" w:eastAsia="Times New Roman" w:hAnsi="Georgia" w:cs="Times New Roman"/>
          <w:i/>
          <w:iCs/>
          <w:color w:val="333333"/>
          <w:sz w:val="20"/>
          <w:szCs w:val="20"/>
        </w:rPr>
        <w:t>when it is in fact true. A</w:t>
      </w:r>
      <w:r>
        <w:rPr>
          <w:rFonts w:ascii="Georgia" w:eastAsia="Times New Roman" w:hAnsi="Georgia" w:cs="Times New Roman"/>
          <w:color w:val="333333"/>
          <w:sz w:val="21"/>
          <w:szCs w:val="21"/>
        </w:rPr>
        <w:t> </w:t>
      </w:r>
      <w:r>
        <w:rPr>
          <w:rFonts w:ascii="Georgia" w:eastAsia="Times New Roman" w:hAnsi="Georgia" w:cs="Times New Roman"/>
          <w:color w:val="333333"/>
          <w:sz w:val="20"/>
          <w:szCs w:val="20"/>
        </w:rPr>
        <w:t>Type II error</w:t>
      </w:r>
      <w:r>
        <w:rPr>
          <w:rFonts w:ascii="Georgia" w:eastAsia="Times New Roman" w:hAnsi="Georgia" w:cs="Times New Roman"/>
          <w:color w:val="333333"/>
          <w:sz w:val="21"/>
          <w:szCs w:val="21"/>
        </w:rPr>
        <w:t> </w:t>
      </w:r>
      <w:r>
        <w:rPr>
          <w:rFonts w:ascii="Georgia" w:eastAsia="Times New Roman" w:hAnsi="Georgia" w:cs="Times New Roman"/>
          <w:i/>
          <w:iCs/>
          <w:color w:val="333333"/>
          <w:sz w:val="20"/>
          <w:szCs w:val="20"/>
        </w:rPr>
        <w:t>is the decision not to reject</w:t>
      </w:r>
      <w:r>
        <w:rPr>
          <w:rFonts w:ascii="Georgia" w:eastAsia="Times New Roman" w:hAnsi="Georgia" w:cs="Times New Roman"/>
          <w:color w:val="333333"/>
          <w:sz w:val="21"/>
          <w:szCs w:val="21"/>
        </w:rPr>
        <w:t> </w:t>
      </w:r>
      <w:r>
        <w:rPr>
          <w:rFonts w:ascii="Georgia" w:eastAsia="Times New Roman" w:hAnsi="Georgia" w:cs="Times New Roman"/>
          <w:i/>
          <w:iCs/>
          <w:color w:val="333333"/>
          <w:sz w:val="20"/>
          <w:szCs w:val="20"/>
        </w:rPr>
        <w:t>H</w:t>
      </w:r>
      <w:r>
        <w:rPr>
          <w:rFonts w:ascii="Georgia" w:eastAsia="Times New Roman" w:hAnsi="Georgia" w:cs="Times New Roman"/>
          <w:color w:val="333333"/>
          <w:sz w:val="15"/>
          <w:szCs w:val="15"/>
          <w:vertAlign w:val="subscript"/>
        </w:rPr>
        <w:t>0</w:t>
      </w:r>
      <w:r>
        <w:rPr>
          <w:rFonts w:ascii="Georgia" w:eastAsia="Times New Roman" w:hAnsi="Georgia" w:cs="Times New Roman"/>
          <w:color w:val="333333"/>
          <w:sz w:val="21"/>
          <w:szCs w:val="21"/>
        </w:rPr>
        <w:t> </w:t>
      </w:r>
      <w:r>
        <w:rPr>
          <w:rFonts w:ascii="Georgia" w:eastAsia="Times New Roman" w:hAnsi="Georgia" w:cs="Times New Roman"/>
          <w:i/>
          <w:iCs/>
          <w:color w:val="333333"/>
          <w:sz w:val="20"/>
          <w:szCs w:val="20"/>
        </w:rPr>
        <w:t>when it is in fact not true.</w:t>
      </w:r>
    </w:p>
    <w:p w:rsidR="00AD77BB" w:rsidRDefault="00AD77BB">
      <w:pPr>
        <w:shd w:val="clear" w:color="auto" w:fill="FFFFFF" w:themeFill="background1"/>
        <w:spacing w:after="0" w:line="360" w:lineRule="auto"/>
        <w:ind w:right="374"/>
        <w:textAlignment w:val="baseline"/>
        <w:rPr>
          <w:rFonts w:ascii="Georgia" w:hAnsi="Georgia"/>
          <w:color w:val="333333"/>
          <w:sz w:val="20"/>
          <w:szCs w:val="20"/>
          <w:shd w:val="clear" w:color="auto" w:fill="FFFFFF"/>
        </w:rPr>
      </w:pPr>
    </w:p>
    <w:p w:rsidR="00AD77BB" w:rsidRDefault="00B45BA0">
      <w:pPr>
        <w:shd w:val="clear" w:color="auto" w:fill="FFFFFF" w:themeFill="background1"/>
        <w:spacing w:after="0" w:line="360" w:lineRule="auto"/>
        <w:ind w:right="374"/>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Unless we perform a census we do not have certain knowledge, so we do not know whether our decision matches the true state of nature or if we have made an error. We reject</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H</w:t>
      </w:r>
      <w:r>
        <w:rPr>
          <w:rFonts w:ascii="Georgia" w:hAnsi="Georgia"/>
          <w:color w:val="333333"/>
          <w:sz w:val="20"/>
          <w:szCs w:val="20"/>
          <w:shd w:val="clear" w:color="auto" w:fill="FFFFFF"/>
          <w:vertAlign w:val="subscript"/>
        </w:rPr>
        <w:t>0</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if what we observe would be a “rare” event if</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H</w:t>
      </w:r>
      <w:r>
        <w:rPr>
          <w:rFonts w:ascii="Georgia" w:hAnsi="Georgia"/>
          <w:color w:val="333333"/>
          <w:sz w:val="20"/>
          <w:szCs w:val="20"/>
          <w:shd w:val="clear" w:color="auto" w:fill="FFFFFF"/>
          <w:vertAlign w:val="subscript"/>
        </w:rPr>
        <w:t>0</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were true. But rare events are not impossible: they occur with probability</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shd w:val="clear" w:color="auto" w:fill="FFFFFF"/>
        </w:rPr>
        <w:t>α</w:t>
      </w:r>
      <w:r>
        <w:rPr>
          <w:rStyle w:val="mo"/>
          <w:rFonts w:ascii="MathJax_Main" w:hAnsi="MathJax_Main"/>
          <w:color w:val="333333"/>
          <w:sz w:val="18"/>
          <w:szCs w:val="18"/>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Thus when</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H</w:t>
      </w:r>
      <w:r>
        <w:rPr>
          <w:rFonts w:ascii="Georgia" w:hAnsi="Georgia"/>
          <w:color w:val="333333"/>
          <w:sz w:val="20"/>
          <w:szCs w:val="20"/>
          <w:shd w:val="clear" w:color="auto" w:fill="FFFFFF"/>
          <w:vertAlign w:val="subscript"/>
        </w:rPr>
        <w:t>0</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is true, a rare event will be observed in the proportion</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shd w:val="clear" w:color="auto" w:fill="FFFFFF"/>
        </w:rPr>
        <w:t>α</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of repeated similar tests, and</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H</w:t>
      </w:r>
      <w:r>
        <w:rPr>
          <w:rFonts w:ascii="Georgia" w:hAnsi="Georgia"/>
          <w:color w:val="333333"/>
          <w:sz w:val="20"/>
          <w:szCs w:val="20"/>
          <w:shd w:val="clear" w:color="auto" w:fill="FFFFFF"/>
          <w:vertAlign w:val="subscript"/>
        </w:rPr>
        <w:t>0</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will be erroneously rejected in those tests. Thus</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shd w:val="clear" w:color="auto" w:fill="FFFFFF"/>
        </w:rPr>
        <w:t>α</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is the probability that in following the testing procedure to decide between</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H</w:t>
      </w:r>
      <w:r>
        <w:rPr>
          <w:rFonts w:ascii="Georgia" w:hAnsi="Georgia"/>
          <w:color w:val="333333"/>
          <w:sz w:val="20"/>
          <w:szCs w:val="20"/>
          <w:shd w:val="clear" w:color="auto" w:fill="FFFFFF"/>
          <w:vertAlign w:val="subscript"/>
        </w:rPr>
        <w:t>0</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and</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H</w:t>
      </w:r>
      <w:r>
        <w:rPr>
          <w:rStyle w:val="Emphasis"/>
          <w:rFonts w:ascii="Georgia" w:hAnsi="Georgia"/>
          <w:color w:val="333333"/>
          <w:sz w:val="15"/>
          <w:szCs w:val="15"/>
          <w:shd w:val="clear" w:color="auto" w:fill="FFFFFF"/>
          <w:vertAlign w:val="subscript"/>
        </w:rPr>
        <w:t xml:space="preserve">a </w:t>
      </w:r>
      <w:r>
        <w:rPr>
          <w:rFonts w:ascii="Georgia" w:hAnsi="Georgia"/>
          <w:color w:val="333333"/>
          <w:sz w:val="20"/>
          <w:szCs w:val="20"/>
          <w:shd w:val="clear" w:color="auto" w:fill="FFFFFF"/>
        </w:rPr>
        <w:t>we will make a Type I error.</w:t>
      </w:r>
    </w:p>
    <w:p w:rsidR="00AD77BB" w:rsidRDefault="00AD77BB">
      <w:pPr>
        <w:pStyle w:val="Heading3"/>
        <w:spacing w:before="0" w:beforeAutospacing="0" w:after="0" w:afterAutospacing="0" w:line="264" w:lineRule="atLeast"/>
        <w:textAlignment w:val="baseline"/>
        <w:rPr>
          <w:rFonts w:ascii="Calibri" w:hAnsi="Calibri"/>
          <w:color w:val="333333"/>
          <w:sz w:val="31"/>
          <w:szCs w:val="31"/>
        </w:rPr>
      </w:pPr>
    </w:p>
    <w:p w:rsidR="00AD77BB" w:rsidRDefault="00AD77BB">
      <w:pPr>
        <w:pStyle w:val="Heading3"/>
        <w:spacing w:before="0" w:beforeAutospacing="0" w:after="0" w:afterAutospacing="0" w:line="264" w:lineRule="atLeast"/>
        <w:textAlignment w:val="baseline"/>
        <w:rPr>
          <w:rFonts w:ascii="Calibri" w:hAnsi="Calibri"/>
          <w:color w:val="333333"/>
          <w:sz w:val="31"/>
          <w:szCs w:val="31"/>
        </w:rPr>
      </w:pPr>
    </w:p>
    <w:p w:rsidR="00AD77BB" w:rsidRDefault="00B45BA0">
      <w:pPr>
        <w:pStyle w:val="Heading3"/>
        <w:shd w:val="clear" w:color="auto" w:fill="DAEEF3" w:themeFill="accent5" w:themeFillTint="33"/>
        <w:spacing w:before="0" w:beforeAutospacing="0" w:after="0" w:afterAutospacing="0" w:line="264" w:lineRule="atLeast"/>
        <w:textAlignment w:val="baseline"/>
        <w:rPr>
          <w:rFonts w:ascii="Calibri" w:hAnsi="Calibri"/>
          <w:color w:val="333333"/>
          <w:sz w:val="31"/>
          <w:szCs w:val="31"/>
        </w:rPr>
      </w:pPr>
      <w:r>
        <w:rPr>
          <w:rFonts w:ascii="Calibri" w:hAnsi="Calibri"/>
          <w:color w:val="333333"/>
          <w:sz w:val="31"/>
          <w:szCs w:val="31"/>
        </w:rPr>
        <w:t>Definition</w:t>
      </w:r>
    </w:p>
    <w:p w:rsidR="00AD77BB" w:rsidRDefault="00B45BA0">
      <w:pPr>
        <w:pStyle w:val="para"/>
        <w:shd w:val="clear" w:color="auto" w:fill="DAEEF3" w:themeFill="accent5" w:themeFillTint="33"/>
        <w:spacing w:before="0" w:beforeAutospacing="0" w:after="0" w:afterAutospacing="0" w:line="439" w:lineRule="atLeast"/>
        <w:textAlignment w:val="baseline"/>
        <w:rPr>
          <w:rFonts w:ascii="Georgia" w:hAnsi="Georgia"/>
          <w:color w:val="333333"/>
          <w:sz w:val="21"/>
          <w:szCs w:val="21"/>
        </w:rPr>
      </w:pPr>
      <w:r>
        <w:rPr>
          <w:rStyle w:val="Emphasis"/>
          <w:rFonts w:ascii="Georgia" w:hAnsi="Georgia"/>
          <w:color w:val="333333"/>
          <w:sz w:val="20"/>
          <w:szCs w:val="20"/>
        </w:rPr>
        <w:t>The number</w:t>
      </w:r>
      <w:r>
        <w:rPr>
          <w:rStyle w:val="apple-converted-space"/>
          <w:rFonts w:ascii="Georgia" w:hAnsi="Georgia"/>
          <w:color w:val="333333"/>
          <w:sz w:val="21"/>
          <w:szCs w:val="21"/>
        </w:rPr>
        <w:t> </w:t>
      </w:r>
      <w:r>
        <w:rPr>
          <w:rStyle w:val="mi"/>
          <w:rFonts w:ascii="MathJax_Math" w:hAnsi="MathJax_Math"/>
          <w:i/>
          <w:iCs/>
          <w:color w:val="333333"/>
          <w:sz w:val="18"/>
          <w:szCs w:val="18"/>
        </w:rPr>
        <w:t>α</w:t>
      </w:r>
      <w:r>
        <w:rPr>
          <w:rStyle w:val="apple-converted-space"/>
          <w:rFonts w:ascii="Georgia" w:hAnsi="Georgia"/>
          <w:color w:val="333333"/>
          <w:sz w:val="21"/>
          <w:szCs w:val="21"/>
        </w:rPr>
        <w:t> </w:t>
      </w:r>
      <w:r>
        <w:rPr>
          <w:rStyle w:val="Emphasis"/>
          <w:rFonts w:ascii="Georgia" w:hAnsi="Georgia"/>
          <w:color w:val="333333"/>
          <w:sz w:val="20"/>
          <w:szCs w:val="20"/>
        </w:rPr>
        <w:t xml:space="preserve">that is used to determine the rejection region is called the </w:t>
      </w:r>
      <w:r>
        <w:rPr>
          <w:rStyle w:val="marginterm"/>
          <w:rFonts w:ascii="Georgia" w:hAnsi="Georgia"/>
          <w:color w:val="333333"/>
          <w:sz w:val="20"/>
          <w:szCs w:val="20"/>
        </w:rPr>
        <w:t>level of significance of the test</w:t>
      </w:r>
      <w:r>
        <w:rPr>
          <w:rStyle w:val="Emphasis"/>
          <w:rFonts w:ascii="Georgia" w:hAnsi="Georgia"/>
          <w:color w:val="333333"/>
          <w:sz w:val="20"/>
          <w:szCs w:val="20"/>
        </w:rPr>
        <w:t>. It is the probability that the test procedure will result in a Type I error.</w:t>
      </w: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The probability of making a Type II error is too complicated to discuss in a beginning text, so we will say no more about it than this: for a fixed sample size, choosing</w:t>
      </w:r>
      <w:r>
        <w:rPr>
          <w:rStyle w:val="apple-converted-space"/>
          <w:rFonts w:ascii="Georgia" w:hAnsi="Georgia"/>
          <w:color w:val="333333"/>
          <w:sz w:val="20"/>
          <w:szCs w:val="20"/>
        </w:rPr>
        <w:t> </w:t>
      </w:r>
      <w:r>
        <w:rPr>
          <w:rStyle w:val="mi"/>
          <w:rFonts w:ascii="MathJax_Math" w:eastAsiaTheme="majorEastAsia" w:hAnsi="MathJax_Math"/>
          <w:i/>
          <w:iCs/>
          <w:color w:val="333333"/>
          <w:sz w:val="18"/>
          <w:szCs w:val="18"/>
        </w:rPr>
        <w:t>α</w:t>
      </w:r>
      <w:r>
        <w:rPr>
          <w:rStyle w:val="apple-converted-space"/>
          <w:rFonts w:ascii="Georgia" w:hAnsi="Georgia"/>
          <w:color w:val="333333"/>
          <w:sz w:val="20"/>
          <w:szCs w:val="20"/>
        </w:rPr>
        <w:t> </w:t>
      </w:r>
      <w:r>
        <w:rPr>
          <w:rFonts w:ascii="Georgia" w:hAnsi="Georgia"/>
          <w:color w:val="333333"/>
          <w:sz w:val="20"/>
          <w:szCs w:val="20"/>
        </w:rPr>
        <w:t>smaller in order to reduce the chance of making a Type I error has the effect of increasing the chance of making a Type II error. The only way to simultaneously reduce the chances of making either kind of error is to increase the sample size.</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0"/>
          <w:szCs w:val="20"/>
        </w:rPr>
      </w:pPr>
    </w:p>
    <w:p w:rsidR="00AD77BB" w:rsidRDefault="00B45BA0">
      <w:pPr>
        <w:pStyle w:val="Heading2"/>
        <w:shd w:val="clear" w:color="auto" w:fill="FFFFFF"/>
        <w:spacing w:before="0" w:line="360" w:lineRule="auto"/>
        <w:textAlignment w:val="baseline"/>
        <w:rPr>
          <w:rFonts w:ascii="Calibri" w:hAnsi="Calibri"/>
          <w:color w:val="333333"/>
          <w:sz w:val="28"/>
          <w:szCs w:val="28"/>
        </w:rPr>
      </w:pPr>
      <w:r>
        <w:rPr>
          <w:rFonts w:ascii="Calibri" w:hAnsi="Calibri"/>
          <w:color w:val="333333"/>
          <w:sz w:val="28"/>
          <w:szCs w:val="28"/>
        </w:rPr>
        <w:t>Standardizing the Test Statistic</w:t>
      </w:r>
    </w:p>
    <w:p w:rsidR="00AD77BB" w:rsidRDefault="00AD77BB">
      <w:pPr>
        <w:spacing w:line="360" w:lineRule="auto"/>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 xml:space="preserve">Hypotheses testing will be considered in a number of contexts, and great unification as well as simplification results when the relevant sample statistic is </w:t>
      </w:r>
      <w:r>
        <w:rPr>
          <w:rStyle w:val="Emphasis"/>
          <w:rFonts w:ascii="Georgia" w:hAnsi="Georgia"/>
          <w:color w:val="333333"/>
          <w:sz w:val="20"/>
          <w:szCs w:val="20"/>
        </w:rPr>
        <w:t>standardized</w:t>
      </w:r>
      <w:r>
        <w:rPr>
          <w:rStyle w:val="apple-converted-space"/>
          <w:rFonts w:ascii="Georgia" w:hAnsi="Georgia"/>
          <w:color w:val="333333"/>
          <w:sz w:val="20"/>
          <w:szCs w:val="20"/>
        </w:rPr>
        <w:t> </w:t>
      </w:r>
      <w:r>
        <w:rPr>
          <w:rFonts w:ascii="Georgia" w:hAnsi="Georgia"/>
          <w:color w:val="333333"/>
          <w:sz w:val="20"/>
          <w:szCs w:val="20"/>
        </w:rPr>
        <w:t>by subtracting its mean from it and then dividing by its standard deviation. The resulting statistic is called a</w:t>
      </w:r>
      <w:r>
        <w:rPr>
          <w:rStyle w:val="apple-converted-space"/>
          <w:rFonts w:ascii="Georgia" w:hAnsi="Georgia"/>
          <w:color w:val="333333"/>
          <w:sz w:val="20"/>
          <w:szCs w:val="20"/>
        </w:rPr>
        <w:t> </w:t>
      </w:r>
      <w:r>
        <w:rPr>
          <w:rStyle w:val="Emphasis"/>
          <w:rFonts w:ascii="Georgia" w:hAnsi="Georgia"/>
          <w:color w:val="333333"/>
          <w:sz w:val="20"/>
          <w:szCs w:val="20"/>
        </w:rPr>
        <w:t>standardized test statistic</w:t>
      </w:r>
      <w:r>
        <w:rPr>
          <w:rFonts w:ascii="Georgia" w:hAnsi="Georgia"/>
          <w:color w:val="333333"/>
          <w:sz w:val="20"/>
          <w:szCs w:val="20"/>
        </w:rPr>
        <w:t>. In every situation treated in this and the following two chapters the standardized test statistic will have either the standard normal distribution or Student’s</w:t>
      </w:r>
      <w:r>
        <w:rPr>
          <w:rStyle w:val="apple-converted-space"/>
          <w:rFonts w:ascii="Georgia" w:hAnsi="Georgia"/>
          <w:color w:val="333333"/>
          <w:sz w:val="20"/>
          <w:szCs w:val="20"/>
        </w:rPr>
        <w:t> </w:t>
      </w:r>
      <w:r>
        <w:rPr>
          <w:rStyle w:val="Emphasis"/>
          <w:rFonts w:ascii="Georgia" w:hAnsi="Georgia"/>
          <w:color w:val="333333"/>
          <w:sz w:val="20"/>
          <w:szCs w:val="20"/>
        </w:rPr>
        <w:t>t</w:t>
      </w:r>
      <w:r>
        <w:rPr>
          <w:rFonts w:ascii="Georgia" w:hAnsi="Georgia"/>
          <w:color w:val="333333"/>
          <w:sz w:val="20"/>
          <w:szCs w:val="20"/>
        </w:rPr>
        <w:t>-distribution.</w:t>
      </w:r>
    </w:p>
    <w:p w:rsidR="00AD77BB" w:rsidRDefault="00AD77BB">
      <w:pPr>
        <w:pStyle w:val="para"/>
        <w:shd w:val="clear" w:color="auto" w:fill="DAEEF3" w:themeFill="accent5" w:themeFillTint="33"/>
        <w:spacing w:before="0" w:beforeAutospacing="0" w:after="0" w:afterAutospacing="0" w:line="360" w:lineRule="auto"/>
        <w:textAlignment w:val="baseline"/>
        <w:rPr>
          <w:rFonts w:ascii="Georgia" w:hAnsi="Georgia"/>
          <w:color w:val="333333"/>
          <w:sz w:val="20"/>
          <w:szCs w:val="20"/>
        </w:rPr>
      </w:pPr>
    </w:p>
    <w:p w:rsidR="00AD77BB" w:rsidRDefault="00B45BA0">
      <w:pPr>
        <w:pStyle w:val="Heading3"/>
        <w:shd w:val="clear" w:color="auto" w:fill="DAEEF3" w:themeFill="accent5" w:themeFillTint="33"/>
        <w:spacing w:before="0" w:beforeAutospacing="0" w:after="0" w:afterAutospacing="0" w:line="360" w:lineRule="auto"/>
        <w:textAlignment w:val="baseline"/>
        <w:rPr>
          <w:rFonts w:ascii="Calibri" w:hAnsi="Calibri"/>
          <w:color w:val="333333"/>
          <w:sz w:val="31"/>
          <w:szCs w:val="31"/>
        </w:rPr>
      </w:pPr>
      <w:r>
        <w:rPr>
          <w:rFonts w:ascii="Calibri" w:hAnsi="Calibri"/>
          <w:color w:val="333333"/>
          <w:sz w:val="31"/>
          <w:szCs w:val="31"/>
        </w:rPr>
        <w:t>Definition</w:t>
      </w:r>
    </w:p>
    <w:p w:rsidR="00AD77BB" w:rsidRDefault="00B45BA0">
      <w:pPr>
        <w:pStyle w:val="para"/>
        <w:shd w:val="clear" w:color="auto" w:fill="DAEEF3" w:themeFill="accent5" w:themeFillTint="33"/>
        <w:spacing w:before="0" w:beforeAutospacing="0" w:after="0" w:afterAutospacing="0" w:line="360" w:lineRule="auto"/>
        <w:textAlignment w:val="baseline"/>
        <w:rPr>
          <w:rFonts w:ascii="Georgia" w:hAnsi="Georgia"/>
          <w:color w:val="333333"/>
          <w:sz w:val="21"/>
          <w:szCs w:val="21"/>
        </w:rPr>
      </w:pPr>
      <w:r>
        <w:rPr>
          <w:rStyle w:val="Emphasis"/>
          <w:rFonts w:ascii="Georgia" w:hAnsi="Georgia"/>
          <w:color w:val="333333"/>
          <w:sz w:val="20"/>
          <w:szCs w:val="20"/>
        </w:rPr>
        <w:t>A</w:t>
      </w:r>
      <w:r>
        <w:rPr>
          <w:rStyle w:val="apple-converted-space"/>
          <w:rFonts w:ascii="Georgia" w:hAnsi="Georgia"/>
          <w:color w:val="333333"/>
          <w:sz w:val="21"/>
          <w:szCs w:val="21"/>
        </w:rPr>
        <w:t> </w:t>
      </w:r>
      <w:r>
        <w:rPr>
          <w:rStyle w:val="marginterm"/>
          <w:rFonts w:ascii="Georgia" w:eastAsiaTheme="majorEastAsia" w:hAnsi="Georgia"/>
          <w:b/>
          <w:color w:val="333333"/>
          <w:sz w:val="20"/>
          <w:szCs w:val="20"/>
        </w:rPr>
        <w:t>standardized test statistic</w:t>
      </w:r>
      <w:r>
        <w:rPr>
          <w:rStyle w:val="apple-converted-space"/>
          <w:rFonts w:ascii="Georgia" w:hAnsi="Georgia"/>
          <w:color w:val="333333"/>
          <w:sz w:val="21"/>
          <w:szCs w:val="21"/>
        </w:rPr>
        <w:t> </w:t>
      </w:r>
      <w:r>
        <w:rPr>
          <w:rStyle w:val="Emphasis"/>
          <w:rFonts w:ascii="Georgia" w:hAnsi="Georgia"/>
          <w:color w:val="333333"/>
          <w:sz w:val="20"/>
          <w:szCs w:val="20"/>
        </w:rPr>
        <w:t>for a hypothesis test is the statistic that is formed by subtracting from the statistic of interest its mean and dividing by its standard deviation.</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0"/>
          <w:szCs w:val="20"/>
        </w:rPr>
      </w:pP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6644630F" wp14:editId="68991B73">
            <wp:extent cx="5495925" cy="7639050"/>
            <wp:effectExtent l="0" t="0" r="9525" b="0"/>
            <wp:docPr id="260"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495925" cy="7639050"/>
                    </a:xfrm>
                    <a:prstGeom prst="rect">
                      <a:avLst/>
                    </a:prstGeom>
                    <a:noFill/>
                    <a:ln>
                      <a:noFill/>
                    </a:ln>
                  </pic:spPr>
                </pic:pic>
              </a:graphicData>
            </a:graphic>
          </wp:inline>
        </w:drawing>
      </w: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lastRenderedPageBreak/>
        <w:t>Every instance of hypothesis testing discussed in this and the following two chapters will have a rejection region like one of the six forms tabulated in the tables above.</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No matter what the context a test of hypotheses can always be performed by applying the following systematic procedure, which will be illustrated in the examples in the succeeding sections.</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Heading3"/>
        <w:shd w:val="clear" w:color="auto" w:fill="F4F4F4"/>
        <w:spacing w:before="0" w:beforeAutospacing="0" w:after="0" w:afterAutospacing="0" w:line="360" w:lineRule="auto"/>
        <w:textAlignment w:val="baseline"/>
        <w:rPr>
          <w:rFonts w:ascii="Calibri" w:hAnsi="Calibri"/>
          <w:color w:val="333333"/>
          <w:sz w:val="30"/>
          <w:szCs w:val="30"/>
        </w:rPr>
      </w:pPr>
      <w:r>
        <w:rPr>
          <w:rFonts w:ascii="Calibri" w:hAnsi="Calibri"/>
          <w:color w:val="333333"/>
          <w:sz w:val="30"/>
          <w:szCs w:val="30"/>
        </w:rPr>
        <w:t>Systematic Hypothesis Testing Procedure: Critical Value Approach</w:t>
      </w:r>
    </w:p>
    <w:p w:rsidR="00AD77BB" w:rsidRDefault="00B45BA0">
      <w:pPr>
        <w:numPr>
          <w:ilvl w:val="0"/>
          <w:numId w:val="186"/>
        </w:numPr>
        <w:shd w:val="clear" w:color="auto" w:fill="F4F4F4"/>
        <w:spacing w:after="0" w:line="360" w:lineRule="auto"/>
        <w:ind w:left="360"/>
        <w:textAlignment w:val="baseline"/>
        <w:rPr>
          <w:rFonts w:ascii="Georgia" w:hAnsi="Georgia"/>
          <w:color w:val="333333"/>
          <w:sz w:val="20"/>
          <w:szCs w:val="20"/>
        </w:rPr>
      </w:pPr>
      <w:r>
        <w:rPr>
          <w:rFonts w:ascii="Georgia" w:hAnsi="Georgia"/>
          <w:color w:val="333333"/>
          <w:sz w:val="20"/>
          <w:szCs w:val="20"/>
        </w:rPr>
        <w:t>Identify the null and alternative hypotheses.</w:t>
      </w:r>
    </w:p>
    <w:p w:rsidR="00AD77BB" w:rsidRDefault="00B45BA0">
      <w:pPr>
        <w:numPr>
          <w:ilvl w:val="0"/>
          <w:numId w:val="186"/>
        </w:numPr>
        <w:shd w:val="clear" w:color="auto" w:fill="F4F4F4"/>
        <w:spacing w:after="0" w:line="360" w:lineRule="auto"/>
        <w:ind w:left="360"/>
        <w:textAlignment w:val="baseline"/>
        <w:rPr>
          <w:rFonts w:ascii="Georgia" w:hAnsi="Georgia"/>
          <w:color w:val="333333"/>
          <w:sz w:val="20"/>
          <w:szCs w:val="20"/>
        </w:rPr>
      </w:pPr>
      <w:r>
        <w:rPr>
          <w:rFonts w:ascii="Georgia" w:hAnsi="Georgia"/>
          <w:color w:val="333333"/>
          <w:sz w:val="20"/>
          <w:szCs w:val="20"/>
        </w:rPr>
        <w:t>Identify the relevant test statistic and its distribution.</w:t>
      </w:r>
    </w:p>
    <w:p w:rsidR="00AD77BB" w:rsidRDefault="00B45BA0">
      <w:pPr>
        <w:numPr>
          <w:ilvl w:val="0"/>
          <w:numId w:val="186"/>
        </w:numPr>
        <w:shd w:val="clear" w:color="auto" w:fill="F4F4F4"/>
        <w:spacing w:after="0" w:line="360" w:lineRule="auto"/>
        <w:ind w:left="360"/>
        <w:textAlignment w:val="baseline"/>
        <w:rPr>
          <w:rFonts w:ascii="Georgia" w:hAnsi="Georgia"/>
          <w:color w:val="333333"/>
          <w:sz w:val="20"/>
          <w:szCs w:val="20"/>
        </w:rPr>
      </w:pPr>
      <w:r>
        <w:rPr>
          <w:rFonts w:ascii="Georgia" w:hAnsi="Georgia"/>
          <w:color w:val="333333"/>
          <w:sz w:val="20"/>
          <w:szCs w:val="20"/>
        </w:rPr>
        <w:t>Compute from the data the value of the test statistic.</w:t>
      </w:r>
    </w:p>
    <w:p w:rsidR="00AD77BB" w:rsidRDefault="00B45BA0">
      <w:pPr>
        <w:numPr>
          <w:ilvl w:val="0"/>
          <w:numId w:val="186"/>
        </w:numPr>
        <w:shd w:val="clear" w:color="auto" w:fill="F4F4F4"/>
        <w:spacing w:after="0" w:line="360" w:lineRule="auto"/>
        <w:ind w:left="360"/>
        <w:textAlignment w:val="baseline"/>
        <w:rPr>
          <w:rFonts w:ascii="Georgia" w:hAnsi="Georgia"/>
          <w:color w:val="333333"/>
          <w:sz w:val="20"/>
          <w:szCs w:val="20"/>
        </w:rPr>
      </w:pPr>
      <w:r>
        <w:rPr>
          <w:rFonts w:ascii="Georgia" w:hAnsi="Georgia"/>
          <w:color w:val="333333"/>
          <w:sz w:val="20"/>
          <w:szCs w:val="20"/>
        </w:rPr>
        <w:t>Construct the rejection region.</w:t>
      </w:r>
    </w:p>
    <w:p w:rsidR="00AD77BB" w:rsidRDefault="00B45BA0">
      <w:pPr>
        <w:numPr>
          <w:ilvl w:val="0"/>
          <w:numId w:val="186"/>
        </w:numPr>
        <w:shd w:val="clear" w:color="auto" w:fill="F4F4F4"/>
        <w:spacing w:after="0" w:line="360" w:lineRule="auto"/>
        <w:ind w:left="360"/>
        <w:textAlignment w:val="baseline"/>
        <w:rPr>
          <w:rFonts w:ascii="Georgia" w:hAnsi="Georgia"/>
          <w:color w:val="333333"/>
          <w:sz w:val="20"/>
          <w:szCs w:val="20"/>
        </w:rPr>
      </w:pPr>
      <w:r>
        <w:rPr>
          <w:rFonts w:ascii="Georgia" w:hAnsi="Georgia"/>
          <w:color w:val="333333"/>
          <w:sz w:val="20"/>
          <w:szCs w:val="20"/>
        </w:rPr>
        <w:t>Compare the value computed in Step 3 to the rejection region constructed in Step 4 and make a decision. Formulate the decision in the context of the problem, if applicable.</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procedure that we have outlined in this section is called the “Critical Value Approach” to hypothesis testing to distinguish it from an alternative but equivalent approach that will be introduced at the end of</w:t>
      </w:r>
      <w:r>
        <w:rPr>
          <w:rStyle w:val="apple-converted-space"/>
          <w:rFonts w:ascii="Georgia" w:hAnsi="Georgia"/>
          <w:color w:val="333333"/>
          <w:sz w:val="21"/>
          <w:szCs w:val="21"/>
        </w:rPr>
        <w:t> </w:t>
      </w:r>
      <w:r>
        <w:rPr>
          <w:rFonts w:ascii="Georgia" w:hAnsi="Georgia"/>
          <w:color w:val="2689C6"/>
          <w:sz w:val="21"/>
          <w:szCs w:val="21"/>
        </w:rPr>
        <w:t>Section 8.3 "The Observed Significance of a Test"</w:t>
      </w:r>
      <w:r>
        <w:rPr>
          <w:rFonts w:ascii="Georgia" w:hAnsi="Georgia"/>
          <w:color w:val="333333"/>
          <w:sz w:val="21"/>
          <w:szCs w:val="21"/>
        </w:rPr>
        <w:t>.</w:t>
      </w: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AD77BB" w:rsidRDefault="00B45BA0">
      <w:pPr>
        <w:numPr>
          <w:ilvl w:val="0"/>
          <w:numId w:val="187"/>
        </w:numPr>
        <w:shd w:val="clear" w:color="auto" w:fill="ECF9EA"/>
        <w:spacing w:after="0"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test of hypotheses is a statistical process for deciding between two competing assertions about a population parameter.</w:t>
      </w:r>
    </w:p>
    <w:p w:rsidR="00AD77BB" w:rsidRDefault="00B45BA0">
      <w:pPr>
        <w:numPr>
          <w:ilvl w:val="0"/>
          <w:numId w:val="187"/>
        </w:numPr>
        <w:shd w:val="clear" w:color="auto" w:fill="ECF9EA"/>
        <w:spacing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testing procedure is formalized in a five-step procedure.</w:t>
      </w:r>
    </w:p>
    <w:p w:rsidR="00AD77BB" w:rsidRDefault="00B45BA0">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AD77BB" w:rsidRDefault="00B45BA0">
      <w:pPr>
        <w:numPr>
          <w:ilvl w:val="0"/>
          <w:numId w:val="188"/>
        </w:numPr>
        <w:shd w:val="clear" w:color="auto" w:fill="E3EFF7"/>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State the null and alternative hypotheses for each of the following situations. (That is, identify the correct number </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vertAlign w:val="subscript"/>
        </w:rPr>
        <w:t>0</w:t>
      </w:r>
      <w:r>
        <w:rPr>
          <w:rFonts w:ascii="Calibri" w:eastAsia="Times New Roman" w:hAnsi="Calibri" w:cs="Times New Roman"/>
          <w:color w:val="333333"/>
          <w:sz w:val="20"/>
          <w:szCs w:val="20"/>
        </w:rPr>
        <w:t> and write </w:t>
      </w: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vertAlign w:val="subscript"/>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vertAlign w:val="subscript"/>
        </w:rPr>
        <w:t>0</w:t>
      </w:r>
      <w:r>
        <w:rPr>
          <w:rFonts w:ascii="Calibri" w:eastAsia="Times New Roman" w:hAnsi="Calibri" w:cs="Times New Roman"/>
          <w:color w:val="333333"/>
          <w:sz w:val="20"/>
          <w:szCs w:val="20"/>
        </w:rPr>
        <w:t> and the appropriate analogous expression for </w:t>
      </w:r>
      <w:r>
        <w:rPr>
          <w:rFonts w:ascii="Calibri" w:eastAsia="Times New Roman" w:hAnsi="Calibri" w:cs="Times New Roman"/>
          <w:i/>
          <w:iCs/>
          <w:color w:val="333333"/>
          <w:sz w:val="20"/>
          <w:szCs w:val="20"/>
        </w:rPr>
        <w:t>H</w:t>
      </w:r>
      <w:r>
        <w:rPr>
          <w:rFonts w:ascii="Calibri" w:eastAsia="Times New Roman" w:hAnsi="Calibri" w:cs="Times New Roman"/>
          <w:i/>
          <w:iCs/>
          <w:color w:val="333333"/>
          <w:sz w:val="20"/>
          <w:szCs w:val="20"/>
          <w:vertAlign w:val="subscript"/>
        </w:rPr>
        <w:t>a</w:t>
      </w:r>
      <w:r>
        <w:rPr>
          <w:rFonts w:ascii="Calibri" w:eastAsia="Times New Roman" w:hAnsi="Calibri" w:cs="Times New Roman"/>
          <w:color w:val="333333"/>
          <w:sz w:val="20"/>
          <w:szCs w:val="20"/>
        </w:rPr>
        <w:t>.)</w:t>
      </w:r>
    </w:p>
    <w:p w:rsidR="00AD77BB" w:rsidRDefault="00B45BA0">
      <w:pPr>
        <w:numPr>
          <w:ilvl w:val="1"/>
          <w:numId w:val="188"/>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average July temperature in a region historically has been 74.5°F. Perhaps it is higher now.</w:t>
      </w:r>
    </w:p>
    <w:p w:rsidR="00AD77BB" w:rsidRDefault="00B45BA0">
      <w:pPr>
        <w:pStyle w:val="ListParagraph"/>
        <w:numPr>
          <w:ilvl w:val="1"/>
          <w:numId w:val="188"/>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The average weight of a female airline passenger with luggage was 145 pounds ten years ago. The FAA believes it to be higher now.</w:t>
      </w:r>
    </w:p>
    <w:p w:rsidR="00AD77BB" w:rsidRDefault="00B45BA0">
      <w:pPr>
        <w:numPr>
          <w:ilvl w:val="1"/>
          <w:numId w:val="188"/>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average stipend for doctoral students in a particular discipline at a state university is $14,756. The department chairman believes that the national average is higher.</w:t>
      </w:r>
    </w:p>
    <w:p w:rsidR="00AD77BB" w:rsidRDefault="00B45BA0">
      <w:pPr>
        <w:numPr>
          <w:ilvl w:val="1"/>
          <w:numId w:val="188"/>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average room rate in hotels in a certain region is $82.53. A travel agent believes that the average in a particular resort area is different.</w:t>
      </w:r>
    </w:p>
    <w:p w:rsidR="00AD77BB" w:rsidRDefault="00B45BA0">
      <w:pPr>
        <w:numPr>
          <w:ilvl w:val="1"/>
          <w:numId w:val="188"/>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average farm size in a predominately rural state was 69.4 acres. The secretary of agriculture of that state asserts that it is less today.</w:t>
      </w:r>
    </w:p>
    <w:p w:rsidR="00AD77BB" w:rsidRDefault="00B45BA0">
      <w:pPr>
        <w:numPr>
          <w:ilvl w:val="0"/>
          <w:numId w:val="188"/>
        </w:numPr>
        <w:shd w:val="clear" w:color="auto" w:fill="E3EFF7"/>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State the null and alternative hypotheses for each of the following situations. (That is, identify the correct number </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vertAlign w:val="subscript"/>
        </w:rPr>
        <w:t>0</w:t>
      </w:r>
      <w:r>
        <w:rPr>
          <w:rFonts w:ascii="Calibri" w:eastAsia="Times New Roman" w:hAnsi="Calibri" w:cs="Times New Roman"/>
          <w:color w:val="333333"/>
          <w:sz w:val="20"/>
          <w:szCs w:val="20"/>
        </w:rPr>
        <w:t> and write </w:t>
      </w: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vertAlign w:val="subscript"/>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vertAlign w:val="subscript"/>
        </w:rPr>
        <w:t>0</w:t>
      </w:r>
      <w:r>
        <w:rPr>
          <w:rFonts w:ascii="Calibri" w:eastAsia="Times New Roman" w:hAnsi="Calibri" w:cs="Times New Roman"/>
          <w:color w:val="333333"/>
          <w:sz w:val="20"/>
          <w:szCs w:val="20"/>
        </w:rPr>
        <w:t> and the appropriate analogous expression for </w:t>
      </w:r>
      <w:r>
        <w:rPr>
          <w:rFonts w:ascii="Calibri" w:eastAsia="Times New Roman" w:hAnsi="Calibri" w:cs="Times New Roman"/>
          <w:i/>
          <w:iCs/>
          <w:color w:val="333333"/>
          <w:sz w:val="20"/>
          <w:szCs w:val="20"/>
        </w:rPr>
        <w:t>H</w:t>
      </w:r>
      <w:r>
        <w:rPr>
          <w:rFonts w:ascii="Calibri" w:eastAsia="Times New Roman" w:hAnsi="Calibri" w:cs="Times New Roman"/>
          <w:i/>
          <w:iCs/>
          <w:color w:val="333333"/>
          <w:sz w:val="20"/>
          <w:szCs w:val="20"/>
          <w:vertAlign w:val="subscript"/>
        </w:rPr>
        <w:t>a</w:t>
      </w:r>
      <w:r>
        <w:rPr>
          <w:rFonts w:ascii="Calibri" w:eastAsia="Times New Roman" w:hAnsi="Calibri" w:cs="Times New Roman"/>
          <w:color w:val="333333"/>
          <w:sz w:val="20"/>
          <w:szCs w:val="20"/>
        </w:rPr>
        <w:t>.)</w:t>
      </w:r>
    </w:p>
    <w:p w:rsidR="00AD77BB" w:rsidRDefault="00B45BA0">
      <w:pPr>
        <w:numPr>
          <w:ilvl w:val="1"/>
          <w:numId w:val="188"/>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average time workers spent commuting to work in Verona five years ago was 38.2 minutes. The Verona Chamber of Commerce asserts that the average is less now.</w:t>
      </w:r>
    </w:p>
    <w:p w:rsidR="00AD77BB" w:rsidRDefault="00B45BA0">
      <w:pPr>
        <w:numPr>
          <w:ilvl w:val="1"/>
          <w:numId w:val="188"/>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mean salary for all men in a certain profession is $58,291. A special interest group thinks that the mean salary for women in the same profession is different.</w:t>
      </w:r>
    </w:p>
    <w:p w:rsidR="00AD77BB" w:rsidRDefault="00B45BA0">
      <w:pPr>
        <w:numPr>
          <w:ilvl w:val="1"/>
          <w:numId w:val="188"/>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accepted figure for the caffeine content of an 8-ounce cup of coffee is 133 mg. A dietitian believes that the average for coffee served in a local restaurants is higher.</w:t>
      </w:r>
    </w:p>
    <w:p w:rsidR="00AD77BB" w:rsidRDefault="00B45BA0">
      <w:pPr>
        <w:pStyle w:val="ListParagraph"/>
        <w:numPr>
          <w:ilvl w:val="1"/>
          <w:numId w:val="188"/>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The average yield per acre for all types of corn in a recent year was 161.9 bushels. An economist believes that the average yield per acre is different this year.</w:t>
      </w:r>
    </w:p>
    <w:p w:rsidR="00AD77BB" w:rsidRDefault="00B45BA0">
      <w:pPr>
        <w:numPr>
          <w:ilvl w:val="1"/>
          <w:numId w:val="188"/>
        </w:numPr>
        <w:shd w:val="clear" w:color="auto" w:fill="E3EFF7"/>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industry association asserts that the average age of all self-described fly fishermen is 42.8 years. A sociologist suspects that it is higher.</w:t>
      </w:r>
    </w:p>
    <w:p w:rsidR="00AD77BB" w:rsidRDefault="00B45BA0">
      <w:pPr>
        <w:numPr>
          <w:ilvl w:val="0"/>
          <w:numId w:val="188"/>
        </w:numPr>
        <w:shd w:val="clear" w:color="auto" w:fill="E3EFF7"/>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Describe the two types of errors that can be made in a test of hypotheses.</w:t>
      </w:r>
    </w:p>
    <w:p w:rsidR="00AD77BB" w:rsidRDefault="00B45BA0">
      <w:pPr>
        <w:numPr>
          <w:ilvl w:val="0"/>
          <w:numId w:val="188"/>
        </w:numPr>
        <w:shd w:val="clear" w:color="auto" w:fill="E3EFF7"/>
        <w:spacing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Under what circumstance is a test of hypotheses certain to yield a correct decision?</w:t>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54BF0549" wp14:editId="3F3A9AAF">
            <wp:extent cx="6000750" cy="2943225"/>
            <wp:effectExtent l="0" t="0" r="0" b="9525"/>
            <wp:docPr id="261"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000750" cy="2943225"/>
                    </a:xfrm>
                    <a:prstGeom prst="rect">
                      <a:avLst/>
                    </a:prstGeom>
                    <a:noFill/>
                    <a:ln>
                      <a:noFill/>
                    </a:ln>
                  </pic:spPr>
                </pic:pic>
              </a:graphicData>
            </a:graphic>
          </wp:inline>
        </w:drawing>
      </w: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B45BA0">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8.2</w:t>
      </w:r>
      <w:r>
        <w:rPr>
          <w:rFonts w:ascii="Calibri" w:eastAsia="Times New Roman" w:hAnsi="Calibri" w:cs="Times New Roman"/>
          <w:b/>
          <w:bCs/>
          <w:color w:val="333333"/>
          <w:sz w:val="36"/>
          <w:szCs w:val="36"/>
        </w:rPr>
        <w:t> Large Sample Tests for a Population Mean</w:t>
      </w:r>
    </w:p>
    <w:p w:rsidR="00AD77BB" w:rsidRDefault="00AD77BB">
      <w:pPr>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rsidR="00AD77BB" w:rsidRDefault="00B45BA0">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AD77BB" w:rsidRDefault="00B45BA0">
      <w:pPr>
        <w:numPr>
          <w:ilvl w:val="0"/>
          <w:numId w:val="189"/>
        </w:numPr>
        <w:shd w:val="clear" w:color="auto" w:fill="EAE9DC"/>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how to apply the five-step test procedure for a test of hypotheses concerning a population mean when the sample size is large.</w:t>
      </w:r>
    </w:p>
    <w:p w:rsidR="00AD77BB" w:rsidRDefault="00B45BA0">
      <w:pPr>
        <w:numPr>
          <w:ilvl w:val="0"/>
          <w:numId w:val="189"/>
        </w:numPr>
        <w:shd w:val="clear" w:color="auto" w:fill="EAE9DC"/>
        <w:spacing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how to interpret the result of a test of hypotheses in the context of the original narrated situation.</w:t>
      </w: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464D0B42" wp14:editId="14B5BB18">
            <wp:extent cx="5581650" cy="4572000"/>
            <wp:effectExtent l="0" t="0" r="0" b="0"/>
            <wp:docPr id="262"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581650" cy="4572000"/>
                    </a:xfrm>
                    <a:prstGeom prst="rect">
                      <a:avLst/>
                    </a:prstGeom>
                    <a:noFill/>
                    <a:ln>
                      <a:noFill/>
                    </a:ln>
                  </pic:spPr>
                </pic:pic>
              </a:graphicData>
            </a:graphic>
          </wp:inline>
        </w:drawing>
      </w: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B45BA0">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1AD75293" wp14:editId="5187967C">
            <wp:extent cx="5695950" cy="6343650"/>
            <wp:effectExtent l="0" t="0" r="0" b="0"/>
            <wp:docPr id="263"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695950" cy="6343650"/>
                    </a:xfrm>
                    <a:prstGeom prst="rect">
                      <a:avLst/>
                    </a:prstGeom>
                    <a:noFill/>
                    <a:ln>
                      <a:noFill/>
                    </a:ln>
                  </pic:spPr>
                </pic:pic>
              </a:graphicData>
            </a:graphic>
          </wp:inline>
        </w:drawing>
      </w:r>
    </w:p>
    <w:p w:rsidR="00AD77BB" w:rsidRDefault="00AD77BB">
      <w:pPr>
        <w:shd w:val="clear" w:color="auto" w:fill="FFFFFF" w:themeFill="background1"/>
        <w:spacing w:after="0" w:line="360" w:lineRule="auto"/>
        <w:ind w:right="374"/>
        <w:textAlignment w:val="baseline"/>
        <w:rPr>
          <w:rFonts w:ascii="Calibri" w:eastAsia="Times New Roman" w:hAnsi="Calibri" w:cs="Times New Roman"/>
          <w:b/>
          <w:color w:val="FF0000"/>
          <w:sz w:val="20"/>
          <w:szCs w:val="20"/>
        </w:rPr>
      </w:pP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4</w:t>
      </w:r>
    </w:p>
    <w:p w:rsidR="00AD77BB" w:rsidRDefault="00B45BA0">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 xml:space="preserve">It is hoped that a newly developed pain reliever will more quickly produce perceptible reduction in pain to patients after minor surgeries than a standard pain reliever. The standard pain reliever is known to bring relief in an average of 3.5 minutes with standard deviation 2.1 minutes. To test whether the new pain reliever works more quickly than the standard one, 50 patients with minor surgeries were given the new pain reliever and their times to relief were recorded. The experiment </w:t>
      </w:r>
      <w:r>
        <w:rPr>
          <w:rFonts w:ascii="Calibri" w:hAnsi="Calibri"/>
          <w:color w:val="333333"/>
          <w:sz w:val="21"/>
          <w:szCs w:val="21"/>
        </w:rPr>
        <w:lastRenderedPageBreak/>
        <w:t>yielded sample mean</w:t>
      </w:r>
      <w:r>
        <w:rPr>
          <w:rStyle w:val="apple-converted-space"/>
          <w:rFonts w:ascii="Calibri" w:hAnsi="Calibri"/>
          <w:color w:val="333333"/>
          <w:sz w:val="21"/>
          <w:szCs w:val="21"/>
        </w:rPr>
        <w:t> </w:t>
      </w:r>
      <w:r>
        <w:rPr>
          <w:rStyle w:val="mi"/>
          <w:rFonts w:ascii="MathJax_Math" w:hAnsi="MathJax_Math"/>
          <w:i/>
          <w:iCs/>
          <w:color w:val="333333"/>
          <w:sz w:val="15"/>
          <w:szCs w:val="15"/>
        </w:rPr>
        <w:t>x</w:t>
      </w:r>
      <w:r>
        <w:rPr>
          <w:rStyle w:val="mi"/>
          <w:i/>
          <w:iCs/>
          <w:color w:val="333333"/>
          <w:sz w:val="15"/>
          <w:szCs w:val="15"/>
        </w:rPr>
        <w:t>^</w:t>
      </w:r>
      <w:r>
        <w:rPr>
          <w:rStyle w:val="mo"/>
          <w:rFonts w:ascii="MathJax_Main" w:hAnsi="MathJax_Main"/>
          <w:color w:val="333333"/>
          <w:sz w:val="15"/>
          <w:szCs w:val="15"/>
        </w:rPr>
        <w:t>−=</w:t>
      </w:r>
      <w:r>
        <w:rPr>
          <w:rStyle w:val="mn"/>
          <w:rFonts w:ascii="MathJax_Main" w:hAnsi="MathJax_Main"/>
          <w:color w:val="333333"/>
          <w:sz w:val="15"/>
          <w:szCs w:val="15"/>
        </w:rPr>
        <w:t>3.1</w:t>
      </w:r>
      <w:r>
        <w:rPr>
          <w:rStyle w:val="apple-converted-space"/>
          <w:rFonts w:ascii="Calibri" w:hAnsi="Calibri"/>
          <w:color w:val="333333"/>
          <w:sz w:val="21"/>
          <w:szCs w:val="21"/>
        </w:rPr>
        <w:t> </w:t>
      </w:r>
      <w:r>
        <w:rPr>
          <w:rFonts w:ascii="Calibri" w:hAnsi="Calibri"/>
          <w:color w:val="333333"/>
          <w:sz w:val="21"/>
          <w:szCs w:val="21"/>
        </w:rPr>
        <w:t>minutes and sample standard deviation</w:t>
      </w:r>
      <w:r>
        <w:rPr>
          <w:rStyle w:val="apple-converted-space"/>
          <w:rFonts w:ascii="Calibri" w:hAnsi="Calibri"/>
          <w:color w:val="333333"/>
          <w:sz w:val="21"/>
          <w:szCs w:val="21"/>
        </w:rPr>
        <w:t> </w:t>
      </w:r>
      <w:r>
        <w:rPr>
          <w:rStyle w:val="Emphasis"/>
          <w:rFonts w:ascii="Calibri" w:hAnsi="Calibri"/>
          <w:color w:val="333333"/>
          <w:sz w:val="20"/>
          <w:szCs w:val="20"/>
        </w:rPr>
        <w:t>s</w:t>
      </w:r>
      <w:r>
        <w:rPr>
          <w:rStyle w:val="apple-converted-space"/>
          <w:rFonts w:ascii="Calibri" w:hAnsi="Calibri"/>
          <w:color w:val="333333"/>
          <w:sz w:val="21"/>
          <w:szCs w:val="21"/>
        </w:rPr>
        <w:t> </w:t>
      </w:r>
      <w:r>
        <w:rPr>
          <w:rFonts w:ascii="Calibri" w:hAnsi="Calibri"/>
          <w:color w:val="333333"/>
          <w:sz w:val="21"/>
          <w:szCs w:val="21"/>
        </w:rPr>
        <w:t>= 1.5 minutes. Is there sufficient evidence in the sample to indicate, at the 5% level of significance, that the newly developed pain reliever does deliver perceptible relief more quickly?</w:t>
      </w:r>
    </w:p>
    <w:p w:rsidR="00AD77BB" w:rsidRDefault="00B45BA0">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Solution:</w:t>
      </w:r>
    </w:p>
    <w:p w:rsidR="00AD77BB" w:rsidRDefault="00AD77BB">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p>
    <w:p w:rsidR="00AD77BB" w:rsidRDefault="00B45BA0">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We perform the test of hypotheses using the five-step procedure given at the end of</w:t>
      </w:r>
      <w:r>
        <w:rPr>
          <w:rStyle w:val="apple-converted-space"/>
          <w:rFonts w:ascii="Calibri" w:hAnsi="Calibri"/>
          <w:color w:val="333333"/>
          <w:sz w:val="21"/>
          <w:szCs w:val="21"/>
        </w:rPr>
        <w:t> </w:t>
      </w:r>
      <w:r>
        <w:rPr>
          <w:rFonts w:ascii="Calibri" w:hAnsi="Calibri"/>
          <w:color w:val="2689C6"/>
          <w:sz w:val="21"/>
          <w:szCs w:val="21"/>
        </w:rPr>
        <w:t>Section 8.1 "The Elements of Hypothesis Testing"</w:t>
      </w:r>
      <w:r>
        <w:rPr>
          <w:rFonts w:ascii="Calibri" w:hAnsi="Calibri"/>
          <w:color w:val="333333"/>
          <w:sz w:val="21"/>
          <w:szCs w:val="21"/>
        </w:rPr>
        <w:t>.</w:t>
      </w:r>
    </w:p>
    <w:p w:rsidR="00AD77BB" w:rsidRDefault="00AD77BB">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p>
    <w:p w:rsidR="00AD77BB" w:rsidRDefault="00B45BA0">
      <w:pPr>
        <w:pStyle w:val="para"/>
        <w:numPr>
          <w:ilvl w:val="0"/>
          <w:numId w:val="190"/>
        </w:numPr>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Step 1. The natural assumption is that the new drug is no better than the old one, but must be proved to be better. Thus if</w:t>
      </w:r>
      <w:r>
        <w:rPr>
          <w:rStyle w:val="apple-converted-space"/>
          <w:rFonts w:ascii="Calibri" w:hAnsi="Calibri"/>
          <w:color w:val="333333"/>
          <w:sz w:val="20"/>
          <w:szCs w:val="20"/>
        </w:rPr>
        <w:t> </w:t>
      </w:r>
      <w:r>
        <w:rPr>
          <w:rStyle w:val="Emphasis"/>
          <w:rFonts w:ascii="Calibri" w:hAnsi="Calibri"/>
          <w:color w:val="333333"/>
          <w:sz w:val="20"/>
          <w:szCs w:val="20"/>
        </w:rPr>
        <w:t>μ</w:t>
      </w:r>
      <w:r>
        <w:rPr>
          <w:rStyle w:val="apple-converted-space"/>
          <w:rFonts w:ascii="Calibri" w:hAnsi="Calibri"/>
          <w:color w:val="333333"/>
          <w:sz w:val="20"/>
          <w:szCs w:val="20"/>
        </w:rPr>
        <w:t> </w:t>
      </w:r>
      <w:r>
        <w:rPr>
          <w:rFonts w:ascii="Calibri" w:hAnsi="Calibri"/>
          <w:color w:val="333333"/>
          <w:sz w:val="20"/>
          <w:szCs w:val="20"/>
        </w:rPr>
        <w:t>denotes the average time until all patients who are given the new drug experience pain relief, the hypothesis test is</w:t>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59A4FF04" wp14:editId="29D832D7">
            <wp:extent cx="4762500" cy="5038725"/>
            <wp:effectExtent l="0" t="0" r="0" b="9525"/>
            <wp:docPr id="264"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762500" cy="5038725"/>
                    </a:xfrm>
                    <a:prstGeom prst="rect">
                      <a:avLst/>
                    </a:prstGeom>
                    <a:noFill/>
                    <a:ln>
                      <a:noFill/>
                    </a:ln>
                  </pic:spPr>
                </pic:pic>
              </a:graphicData>
            </a:graphic>
          </wp:inline>
        </w:drawing>
      </w: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B45BA0">
      <w:pPr>
        <w:pStyle w:val="para"/>
        <w:shd w:val="clear" w:color="auto" w:fill="DAEEF3" w:themeFill="accent5" w:themeFillTint="33"/>
        <w:spacing w:before="15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lastRenderedPageBreak/>
        <w:t>perceptible relief from pain using the new pain reliever is smaller than the average time for the standard pain reliever.</w:t>
      </w:r>
    </w:p>
    <w:p w:rsidR="00AD77BB" w:rsidRDefault="00B45BA0">
      <w:pPr>
        <w:pStyle w:val="Title8"/>
        <w:spacing w:before="0" w:beforeAutospacing="0" w:after="0" w:afterAutospacing="0" w:line="439" w:lineRule="atLeast"/>
        <w:ind w:left="300" w:right="375"/>
        <w:textAlignment w:val="baseline"/>
        <w:rPr>
          <w:rFonts w:ascii="Calibri" w:hAnsi="Calibri"/>
          <w:i/>
          <w:iCs/>
          <w:color w:val="BB9966"/>
          <w:sz w:val="18"/>
          <w:szCs w:val="18"/>
        </w:rPr>
      </w:pPr>
      <w:r>
        <w:rPr>
          <w:rStyle w:val="title-prefix"/>
          <w:rFonts w:ascii="Calibri" w:hAnsi="Calibri"/>
          <w:i/>
          <w:iCs/>
          <w:color w:val="000000"/>
          <w:sz w:val="18"/>
          <w:szCs w:val="18"/>
        </w:rPr>
        <w:t>Figure 8.5</w:t>
      </w:r>
      <w:r>
        <w:rPr>
          <w:rFonts w:ascii="Calibri" w:hAnsi="Calibri"/>
          <w:i/>
          <w:iCs/>
          <w:color w:val="BB9966"/>
          <w:sz w:val="18"/>
          <w:szCs w:val="18"/>
        </w:rPr>
        <w:t>Rejection Region and Test Statistic for</w:t>
      </w:r>
      <w:r>
        <w:rPr>
          <w:rFonts w:ascii="Calibri" w:hAnsi="Calibri"/>
          <w:i/>
          <w:iCs/>
          <w:color w:val="2689C6"/>
          <w:sz w:val="18"/>
          <w:szCs w:val="18"/>
        </w:rPr>
        <w:t>Note 8.27 "Example 4"</w:t>
      </w:r>
    </w:p>
    <w:p w:rsidR="00AD77BB" w:rsidRDefault="00B45BA0">
      <w:pPr>
        <w:spacing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14:anchorId="66233BA5" wp14:editId="70B4051A">
            <wp:extent cx="4438650" cy="2847975"/>
            <wp:effectExtent l="0" t="0" r="0" b="9525"/>
            <wp:docPr id="265" name="Picture 280" descr="http://images.flatworldknowledge.com/shafer/shafer-fig08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images.flatworldknowledge.com/shafer/shafer-fig08_005.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438650" cy="2847975"/>
                    </a:xfrm>
                    <a:prstGeom prst="rect">
                      <a:avLst/>
                    </a:prstGeom>
                    <a:noFill/>
                    <a:ln>
                      <a:noFill/>
                    </a:ln>
                  </pic:spPr>
                </pic:pic>
              </a:graphicData>
            </a:graphic>
          </wp:inline>
        </w:drawing>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EXAMPLE 5</w:t>
      </w:r>
    </w:p>
    <w:p w:rsidR="00AD77BB" w:rsidRDefault="00B45BA0">
      <w:pPr>
        <w:spacing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A cosmetics company fills its best-selling 8-ounce jars of facial cream by an automatic dispensing machine. The machine is set to dispense a mean of 8.1 ounces per jar. Uncontrollable factors in the process can shift the mean away from 8.1 and cause either underfill or overfill, both of which are undesirable. In such a case the dispensing machine is stopped and recalibrated. Regardless of the mean amount dispensed, the standard deviation of the amount dispensed always has value 0.22 ounce. A quality control engineer routinely selects 30 jars from the assembly line to check the amounts filled. On one occasion, the sample mean is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−=8.2</w:t>
      </w:r>
      <w:r>
        <w:rPr>
          <w:rFonts w:ascii="Calibri" w:eastAsia="Times New Roman" w:hAnsi="Calibri" w:cs="Times New Roman"/>
          <w:color w:val="333333"/>
          <w:sz w:val="21"/>
          <w:szCs w:val="21"/>
        </w:rPr>
        <w:t> ounces and the sample standard deviation is </w:t>
      </w:r>
      <w:r>
        <w:rPr>
          <w:rFonts w:ascii="Calibri" w:eastAsia="Times New Roman" w:hAnsi="Calibri" w:cs="Times New Roman"/>
          <w:i/>
          <w:iCs/>
          <w:color w:val="333333"/>
          <w:sz w:val="20"/>
          <w:szCs w:val="20"/>
        </w:rPr>
        <w:t>s</w:t>
      </w:r>
      <w:r>
        <w:rPr>
          <w:rFonts w:ascii="Calibri" w:eastAsia="Times New Roman" w:hAnsi="Calibri" w:cs="Times New Roman"/>
          <w:color w:val="333333"/>
          <w:sz w:val="21"/>
          <w:szCs w:val="21"/>
        </w:rPr>
        <w:t> = 0.25 ounce. Determine if there is sufficient evidence in the sample to indicate, at the 1% level of significance, that the machine should be recalibrated.</w:t>
      </w:r>
    </w:p>
    <w:p w:rsidR="00AD77BB" w:rsidRDefault="00B45BA0">
      <w:pPr>
        <w:spacing w:before="150"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Solution:</w:t>
      </w:r>
    </w:p>
    <w:p w:rsidR="00AD77BB" w:rsidRDefault="00B45BA0">
      <w:pPr>
        <w:numPr>
          <w:ilvl w:val="0"/>
          <w:numId w:val="191"/>
        </w:numPr>
        <w:spacing w:after="0" w:line="360" w:lineRule="auto"/>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Step 1. The natural assumption is that the machine is working properly. Thus if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 denotes the mean amount of facial cream being dispensed, the hypothesis test is</w:t>
      </w:r>
    </w:p>
    <w:p w:rsidR="00AD77BB" w:rsidRDefault="00B45BA0">
      <w:pPr>
        <w:spacing w:line="360" w:lineRule="auto"/>
        <w:ind w:left="300" w:right="375"/>
        <w:jc w:val="center"/>
        <w:textAlignment w:val="baseline"/>
        <w:rPr>
          <w:rFonts w:ascii="MathJax_Main" w:eastAsia="Times New Roman" w:hAnsi="MathJax_Main" w:cs="Times New Roman"/>
          <w:b/>
          <w:color w:val="333333"/>
          <w:sz w:val="15"/>
          <w:szCs w:val="15"/>
        </w:rPr>
      </w:pPr>
      <w:r>
        <w:rPr>
          <w:rFonts w:ascii="MathJax_Math" w:eastAsia="Times New Roman" w:hAnsi="MathJax_Math" w:cs="Times New Roman"/>
          <w:b/>
          <w:i/>
          <w:iCs/>
          <w:color w:val="333333"/>
          <w:sz w:val="15"/>
          <w:szCs w:val="15"/>
        </w:rPr>
        <w:t>H</w:t>
      </w:r>
      <w:r>
        <w:rPr>
          <w:rFonts w:ascii="MathJax_Main" w:eastAsia="Times New Roman" w:hAnsi="MathJax_Main" w:cs="Times New Roman"/>
          <w:b/>
          <w:color w:val="333333"/>
          <w:sz w:val="12"/>
          <w:szCs w:val="12"/>
        </w:rPr>
        <w:t>0</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μ</w:t>
      </w:r>
      <w:r>
        <w:rPr>
          <w:rFonts w:ascii="MathJax_Main" w:eastAsia="Times New Roman" w:hAnsi="MathJax_Main" w:cs="Times New Roman"/>
          <w:b/>
          <w:color w:val="333333"/>
          <w:sz w:val="15"/>
          <w:szCs w:val="15"/>
        </w:rPr>
        <w:t> </w:t>
      </w:r>
      <w:r>
        <w:rPr>
          <w:rFonts w:ascii="MathJax_Main" w:eastAsia="Times New Roman" w:hAnsi="MathJax_Main" w:cs="Times New Roman"/>
          <w:b/>
          <w:color w:val="333333"/>
          <w:sz w:val="15"/>
          <w:szCs w:val="15"/>
        </w:rPr>
        <w:t>= 8.1</w:t>
      </w:r>
    </w:p>
    <w:p w:rsidR="00AD77BB" w:rsidRDefault="00B45BA0">
      <w:pPr>
        <w:spacing w:line="360" w:lineRule="auto"/>
        <w:ind w:left="300" w:right="375"/>
        <w:jc w:val="center"/>
        <w:textAlignment w:val="baseline"/>
        <w:rPr>
          <w:rFonts w:ascii="Calibri" w:eastAsia="Times New Roman" w:hAnsi="Calibri" w:cs="Times New Roman"/>
          <w:b/>
          <w:color w:val="333333"/>
          <w:sz w:val="20"/>
          <w:szCs w:val="20"/>
        </w:rPr>
      </w:pPr>
      <w:r>
        <w:rPr>
          <w:rFonts w:ascii="MathJax_Main" w:eastAsia="Times New Roman" w:hAnsi="MathJax_Main" w:cs="Times New Roman"/>
          <w:b/>
          <w:color w:val="333333"/>
          <w:sz w:val="15"/>
          <w:szCs w:val="15"/>
        </w:rPr>
        <w:t>vs. </w:t>
      </w:r>
      <w:r>
        <w:rPr>
          <w:rFonts w:ascii="MathJax_Math" w:eastAsia="Times New Roman" w:hAnsi="MathJax_Math" w:cs="Times New Roman"/>
          <w:b/>
          <w:i/>
          <w:iCs/>
          <w:color w:val="333333"/>
          <w:sz w:val="15"/>
          <w:szCs w:val="15"/>
        </w:rPr>
        <w:t>H</w:t>
      </w:r>
      <w:r>
        <w:rPr>
          <w:rFonts w:ascii="MathJax_Math" w:eastAsia="Times New Roman" w:hAnsi="MathJax_Math" w:cs="Times New Roman"/>
          <w:b/>
          <w:i/>
          <w:iCs/>
          <w:color w:val="333333"/>
          <w:sz w:val="12"/>
          <w:szCs w:val="12"/>
        </w:rPr>
        <w:t>a</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μ</w:t>
      </w:r>
      <w:r>
        <w:rPr>
          <w:rFonts w:ascii="MathJax_Main" w:eastAsia="Times New Roman" w:hAnsi="MathJax_Main" w:cs="Times New Roman"/>
          <w:b/>
          <w:color w:val="333333"/>
          <w:sz w:val="15"/>
          <w:szCs w:val="15"/>
        </w:rPr>
        <w:t xml:space="preserve">=≠8.1 </w:t>
      </w:r>
      <w:r>
        <w:rPr>
          <w:rFonts w:ascii="MathJax_Main" w:eastAsia="Times New Roman" w:hAnsi="MathJax_Main" w:cs="Times New Roman"/>
          <w:b/>
          <w:i/>
          <w:iCs/>
          <w:color w:val="333333"/>
          <w:sz w:val="15"/>
          <w:szCs w:val="15"/>
        </w:rPr>
        <w:t>@</w:t>
      </w:r>
      <w:r>
        <w:rPr>
          <w:rFonts w:ascii="MathJax_Main" w:eastAsia="Times New Roman" w:hAnsi="MathJax_Main" w:cs="Times New Roman"/>
          <w:b/>
          <w:color w:val="333333"/>
          <w:sz w:val="15"/>
          <w:szCs w:val="15"/>
        </w:rPr>
        <w:t> </w:t>
      </w:r>
      <w:r>
        <w:rPr>
          <w:rFonts w:ascii="MathJax_Math" w:eastAsia="Times New Roman" w:hAnsi="MathJax_Math" w:cs="Times New Roman"/>
          <w:b/>
          <w:i/>
          <w:iCs/>
          <w:color w:val="333333"/>
          <w:sz w:val="15"/>
          <w:szCs w:val="15"/>
        </w:rPr>
        <w:t>α</w:t>
      </w:r>
      <w:r>
        <w:rPr>
          <w:rFonts w:ascii="MathJax_Main" w:eastAsia="Times New Roman" w:hAnsi="MathJax_Main" w:cs="Times New Roman"/>
          <w:b/>
          <w:color w:val="333333"/>
          <w:sz w:val="15"/>
          <w:szCs w:val="15"/>
        </w:rPr>
        <w:t>=0.01</w:t>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4534A052" wp14:editId="0EF73698">
            <wp:extent cx="5248275" cy="5991225"/>
            <wp:effectExtent l="0" t="0" r="9525" b="9525"/>
            <wp:docPr id="266"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248275" cy="5991225"/>
                    </a:xfrm>
                    <a:prstGeom prst="rect">
                      <a:avLst/>
                    </a:prstGeom>
                    <a:noFill/>
                    <a:ln>
                      <a:noFill/>
                    </a:ln>
                  </pic:spPr>
                </pic:pic>
              </a:graphicData>
            </a:graphic>
          </wp:inline>
        </w:drawing>
      </w:r>
    </w:p>
    <w:p w:rsidR="00AD77BB" w:rsidRDefault="00B45BA0">
      <w:pPr>
        <w:pStyle w:val="Title8"/>
        <w:shd w:val="clear" w:color="auto" w:fill="E3EFF7"/>
        <w:spacing w:before="0" w:beforeAutospacing="0" w:after="0" w:afterAutospacing="0" w:line="439" w:lineRule="atLeast"/>
        <w:ind w:left="300" w:right="375"/>
        <w:textAlignment w:val="baseline"/>
        <w:rPr>
          <w:rFonts w:ascii="Calibri" w:hAnsi="Calibri"/>
          <w:i/>
          <w:iCs/>
          <w:color w:val="BB9966"/>
          <w:sz w:val="19"/>
          <w:szCs w:val="19"/>
        </w:rPr>
      </w:pPr>
      <w:r>
        <w:rPr>
          <w:rStyle w:val="title-prefix"/>
          <w:rFonts w:ascii="Calibri" w:hAnsi="Calibri"/>
          <w:i/>
          <w:iCs/>
          <w:color w:val="000000"/>
          <w:sz w:val="18"/>
          <w:szCs w:val="18"/>
        </w:rPr>
        <w:t>Figure 8.6</w:t>
      </w:r>
      <w:r>
        <w:rPr>
          <w:rFonts w:ascii="Calibri" w:hAnsi="Calibri"/>
          <w:i/>
          <w:iCs/>
          <w:color w:val="BB9966"/>
          <w:sz w:val="19"/>
          <w:szCs w:val="19"/>
        </w:rPr>
        <w:t>Rejection Region and Test Statistic for</w:t>
      </w:r>
      <w:r>
        <w:rPr>
          <w:rFonts w:ascii="Calibri" w:hAnsi="Calibri"/>
          <w:i/>
          <w:iCs/>
          <w:color w:val="2689C6"/>
          <w:sz w:val="19"/>
          <w:szCs w:val="19"/>
        </w:rPr>
        <w:t>Note 8.28 "Example 5"</w:t>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hAnsi="Calibri"/>
          <w:noProof/>
          <w:color w:val="2689C6"/>
          <w:sz w:val="23"/>
          <w:szCs w:val="23"/>
          <w:shd w:val="clear" w:color="auto" w:fill="E3EFF7"/>
        </w:rPr>
        <w:drawing>
          <wp:inline distT="0" distB="0" distL="0" distR="0" wp14:anchorId="3CF61FAA" wp14:editId="49298A4F">
            <wp:extent cx="2800350" cy="1800225"/>
            <wp:effectExtent l="0" t="0" r="0" b="9525"/>
            <wp:docPr id="267" name="Picture 282" descr="http://images.flatworldknowledge.com/shafer/shafer-fig08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images.flatworldknowledge.com/shafer/shafer-fig08_006.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800350" cy="1800225"/>
                    </a:xfrm>
                    <a:prstGeom prst="rect">
                      <a:avLst/>
                    </a:prstGeom>
                    <a:noFill/>
                    <a:ln>
                      <a:noFill/>
                    </a:ln>
                  </pic:spPr>
                </pic:pic>
              </a:graphicData>
            </a:graphic>
          </wp:inline>
        </w:drawing>
      </w: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lastRenderedPageBreak/>
        <w:t>KEY TAKEAWAYS</w:t>
      </w:r>
    </w:p>
    <w:p w:rsidR="00AD77BB" w:rsidRDefault="00B45BA0">
      <w:pPr>
        <w:numPr>
          <w:ilvl w:val="0"/>
          <w:numId w:val="192"/>
        </w:numPr>
        <w:shd w:val="clear" w:color="auto" w:fill="ECF9EA"/>
        <w:spacing w:after="0"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There are two formulas for the test statistic in testing hypotheses about a population mean with large samples. Both test statistics follow the standard normal distribution.</w:t>
      </w:r>
    </w:p>
    <w:p w:rsidR="00AD77BB" w:rsidRDefault="00B45BA0">
      <w:pPr>
        <w:numPr>
          <w:ilvl w:val="0"/>
          <w:numId w:val="192"/>
        </w:numPr>
        <w:shd w:val="clear" w:color="auto" w:fill="ECF9EA"/>
        <w:spacing w:after="0"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population standard deviation is used if it is known, otherwise the sample standard deviation is used.</w:t>
      </w:r>
    </w:p>
    <w:p w:rsidR="00AD77BB" w:rsidRDefault="00B45BA0">
      <w:pPr>
        <w:numPr>
          <w:ilvl w:val="0"/>
          <w:numId w:val="192"/>
        </w:numPr>
        <w:shd w:val="clear" w:color="auto" w:fill="ECF9EA"/>
        <w:spacing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same five-step procedure is used with either test statistic.</w:t>
      </w:r>
    </w:p>
    <w:p w:rsidR="00AD77BB" w:rsidRDefault="00B45BA0">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AD77BB" w:rsidRDefault="00B45BA0">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rPr>
      </w:pPr>
      <w:r>
        <w:rPr>
          <w:rFonts w:ascii="Calibri" w:eastAsia="Times New Roman" w:hAnsi="Calibri" w:cs="Times New Roman"/>
          <w:b/>
          <w:bCs/>
          <w:caps/>
          <w:color w:val="FFFFFF"/>
          <w:spacing w:val="30"/>
        </w:rPr>
        <w:t>BASIC</w:t>
      </w:r>
    </w:p>
    <w:p w:rsidR="00AD77BB" w:rsidRDefault="00B45BA0">
      <w:pPr>
        <w:numPr>
          <w:ilvl w:val="0"/>
          <w:numId w:val="193"/>
        </w:numPr>
        <w:shd w:val="clear" w:color="auto" w:fill="E3EFF7"/>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rejection region (for the standardized test statistic) for each hypothesis test.</w:t>
      </w:r>
    </w:p>
    <w:p w:rsidR="00AD77BB" w:rsidRDefault="00B45BA0">
      <w:pPr>
        <w:numPr>
          <w:ilvl w:val="1"/>
          <w:numId w:val="193"/>
        </w:numPr>
        <w:shd w:val="clear" w:color="auto" w:fill="E3EFF7"/>
        <w:spacing w:after="0" w:line="360" w:lineRule="auto"/>
        <w:ind w:left="450"/>
        <w:textAlignment w:val="baseline"/>
        <w:rPr>
          <w:rFonts w:ascii="Calibri" w:eastAsia="Times New Roman" w:hAnsi="Calibri" w:cs="Times New Roman"/>
          <w:color w:val="333333"/>
          <w:sz w:val="20"/>
          <w:szCs w:val="20"/>
        </w:rPr>
      </w:pP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=27</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&lt;27</w:t>
      </w:r>
      <w:r>
        <w:rPr>
          <w:rFonts w:ascii="Calibri" w:eastAsia="Times New Roman" w:hAnsi="Calibri" w:cs="Times New Roman"/>
          <w:color w:val="333333"/>
          <w:sz w:val="20"/>
          <w:szCs w:val="20"/>
        </w:rPr>
        <w:t> @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=0.05.</w:t>
      </w:r>
    </w:p>
    <w:p w:rsidR="00AD77BB" w:rsidRDefault="00B45BA0">
      <w:pPr>
        <w:numPr>
          <w:ilvl w:val="1"/>
          <w:numId w:val="193"/>
        </w:numPr>
        <w:shd w:val="clear" w:color="auto" w:fill="E3EFF7"/>
        <w:spacing w:after="0" w:line="360" w:lineRule="auto"/>
        <w:ind w:left="450"/>
        <w:textAlignment w:val="baseline"/>
        <w:rPr>
          <w:rFonts w:ascii="Calibri" w:eastAsia="Times New Roman" w:hAnsi="Calibri" w:cs="Times New Roman"/>
          <w:color w:val="333333"/>
          <w:sz w:val="20"/>
          <w:szCs w:val="20"/>
        </w:rPr>
      </w:pP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=52</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≠52</w:t>
      </w:r>
      <w:r>
        <w:rPr>
          <w:rFonts w:ascii="Calibri" w:eastAsia="Times New Roman" w:hAnsi="Calibri" w:cs="Times New Roman"/>
          <w:color w:val="333333"/>
          <w:sz w:val="20"/>
          <w:szCs w:val="20"/>
        </w:rPr>
        <w:t> @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=0.05.</w:t>
      </w:r>
    </w:p>
    <w:p w:rsidR="00AD77BB" w:rsidRDefault="00B45BA0">
      <w:pPr>
        <w:numPr>
          <w:ilvl w:val="1"/>
          <w:numId w:val="193"/>
        </w:numPr>
        <w:shd w:val="clear" w:color="auto" w:fill="E3EFF7"/>
        <w:spacing w:after="0" w:line="360" w:lineRule="auto"/>
        <w:ind w:left="450"/>
        <w:textAlignment w:val="baseline"/>
        <w:rPr>
          <w:rFonts w:ascii="Calibri" w:eastAsia="Times New Roman" w:hAnsi="Calibri" w:cs="Times New Roman"/>
          <w:color w:val="333333"/>
          <w:sz w:val="20"/>
          <w:szCs w:val="20"/>
        </w:rPr>
      </w:pP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=−105</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&gt;−105</w:t>
      </w:r>
      <w:r>
        <w:rPr>
          <w:rFonts w:ascii="Calibri" w:eastAsia="Times New Roman" w:hAnsi="Calibri" w:cs="Times New Roman"/>
          <w:color w:val="333333"/>
          <w:sz w:val="20"/>
          <w:szCs w:val="20"/>
        </w:rPr>
        <w:t> @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=0.10.</w:t>
      </w:r>
    </w:p>
    <w:p w:rsidR="00AD77BB" w:rsidRDefault="00B45BA0">
      <w:pPr>
        <w:numPr>
          <w:ilvl w:val="1"/>
          <w:numId w:val="193"/>
        </w:numPr>
        <w:shd w:val="clear" w:color="auto" w:fill="E3EFF7"/>
        <w:spacing w:line="360" w:lineRule="auto"/>
        <w:ind w:left="450"/>
        <w:textAlignment w:val="baseline"/>
        <w:rPr>
          <w:rFonts w:ascii="Calibri" w:eastAsia="Times New Roman" w:hAnsi="Calibri" w:cs="Times New Roman"/>
          <w:color w:val="333333"/>
          <w:sz w:val="20"/>
          <w:szCs w:val="20"/>
        </w:rPr>
      </w:pP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=78.8</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≠78.8</w:t>
      </w:r>
      <w:r>
        <w:rPr>
          <w:rFonts w:ascii="Calibri" w:eastAsia="Times New Roman" w:hAnsi="Calibri" w:cs="Times New Roman"/>
          <w:color w:val="333333"/>
          <w:sz w:val="20"/>
          <w:szCs w:val="20"/>
        </w:rPr>
        <w:t> @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=0.10.</w:t>
      </w:r>
    </w:p>
    <w:p w:rsidR="00AD77BB" w:rsidRDefault="00B45BA0">
      <w:pPr>
        <w:numPr>
          <w:ilvl w:val="0"/>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rejection region (for the standardized test statistic) for each hypothesis test.</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=17</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&lt;17</w:t>
      </w:r>
      <w:r>
        <w:rPr>
          <w:rFonts w:ascii="Calibri" w:eastAsia="Times New Roman" w:hAnsi="Calibri" w:cs="Times New Roman"/>
          <w:color w:val="333333"/>
          <w:sz w:val="20"/>
          <w:szCs w:val="20"/>
        </w:rPr>
        <w:t> @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=0.01.</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=880</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≠880</w:t>
      </w:r>
      <w:r>
        <w:rPr>
          <w:rFonts w:ascii="Calibri" w:eastAsia="Times New Roman" w:hAnsi="Calibri" w:cs="Times New Roman"/>
          <w:color w:val="333333"/>
          <w:sz w:val="20"/>
          <w:szCs w:val="20"/>
        </w:rPr>
        <w:t> @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=0.01.</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=−12</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&gt;−12</w:t>
      </w:r>
      <w:r>
        <w:rPr>
          <w:rFonts w:ascii="Calibri" w:eastAsia="Times New Roman" w:hAnsi="Calibri" w:cs="Times New Roman"/>
          <w:color w:val="333333"/>
          <w:sz w:val="20"/>
          <w:szCs w:val="20"/>
        </w:rPr>
        <w:t> @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=0.05.</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=21.1</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≠21.1</w:t>
      </w:r>
      <w:r>
        <w:rPr>
          <w:rFonts w:ascii="Calibri" w:eastAsia="Times New Roman" w:hAnsi="Calibri" w:cs="Times New Roman"/>
          <w:color w:val="333333"/>
          <w:sz w:val="20"/>
          <w:szCs w:val="20"/>
        </w:rPr>
        <w:t>@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=0.05.</w:t>
      </w:r>
    </w:p>
    <w:p w:rsidR="00AD77BB" w:rsidRDefault="00B45BA0">
      <w:pPr>
        <w:numPr>
          <w:ilvl w:val="0"/>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rejection region (for the standardized test statistic) for each hypothesis test. Identify the test as left-tailed, right-tailed, or two-tailed.</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=141</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&lt;141</w:t>
      </w:r>
      <w:r>
        <w:rPr>
          <w:rFonts w:ascii="Calibri" w:eastAsia="Times New Roman" w:hAnsi="Calibri" w:cs="Times New Roman"/>
          <w:color w:val="333333"/>
          <w:sz w:val="20"/>
          <w:szCs w:val="20"/>
        </w:rPr>
        <w:t> @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=0.20.</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=−54</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&lt;−54</w:t>
      </w:r>
      <w:r>
        <w:rPr>
          <w:rFonts w:ascii="Calibri" w:eastAsia="Times New Roman" w:hAnsi="Calibri" w:cs="Times New Roman"/>
          <w:color w:val="333333"/>
          <w:sz w:val="20"/>
          <w:szCs w:val="20"/>
        </w:rPr>
        <w:t> @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=0.05.</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=98.6</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≠98.6</w:t>
      </w:r>
      <w:r>
        <w:rPr>
          <w:rFonts w:ascii="Calibri" w:eastAsia="Times New Roman" w:hAnsi="Calibri" w:cs="Times New Roman"/>
          <w:color w:val="333333"/>
          <w:sz w:val="20"/>
          <w:szCs w:val="20"/>
        </w:rPr>
        <w:t> @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=0.05.</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=3.8</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&gt;3.8</w:t>
      </w:r>
      <w:r>
        <w:rPr>
          <w:rFonts w:ascii="Calibri" w:eastAsia="Times New Roman" w:hAnsi="Calibri" w:cs="Times New Roman"/>
          <w:color w:val="333333"/>
          <w:sz w:val="20"/>
          <w:szCs w:val="20"/>
        </w:rPr>
        <w:t> @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=0.001.</w:t>
      </w:r>
    </w:p>
    <w:p w:rsidR="00AD77BB" w:rsidRDefault="00B45BA0">
      <w:pPr>
        <w:numPr>
          <w:ilvl w:val="0"/>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rejection region (for the standardized test statistic) for each hypothesis test. Identify the test as left-tailed, right-tailed, or two-tailed.</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=−62</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≠−62</w:t>
      </w:r>
      <w:r>
        <w:rPr>
          <w:rFonts w:ascii="Calibri" w:eastAsia="Times New Roman" w:hAnsi="Calibri" w:cs="Times New Roman"/>
          <w:color w:val="333333"/>
          <w:sz w:val="20"/>
          <w:szCs w:val="20"/>
        </w:rPr>
        <w:t> @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=0.005.</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=73</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&gt;73</w:t>
      </w:r>
      <w:r>
        <w:rPr>
          <w:rFonts w:ascii="Calibri" w:eastAsia="Times New Roman" w:hAnsi="Calibri" w:cs="Times New Roman"/>
          <w:color w:val="333333"/>
          <w:sz w:val="20"/>
          <w:szCs w:val="20"/>
        </w:rPr>
        <w:t> @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=0.001.</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=1124</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&lt;1124</w:t>
      </w:r>
      <w:r>
        <w:rPr>
          <w:rFonts w:ascii="Calibri" w:eastAsia="Times New Roman" w:hAnsi="Calibri" w:cs="Times New Roman"/>
          <w:color w:val="333333"/>
          <w:sz w:val="20"/>
          <w:szCs w:val="20"/>
        </w:rPr>
        <w:t> @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=0.001.</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=0.12</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≠0.12</w:t>
      </w:r>
      <w:r>
        <w:rPr>
          <w:rFonts w:ascii="Calibri" w:eastAsia="Times New Roman" w:hAnsi="Calibri" w:cs="Times New Roman"/>
          <w:color w:val="333333"/>
          <w:sz w:val="20"/>
          <w:szCs w:val="20"/>
        </w:rPr>
        <w:t> @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=0.001.</w:t>
      </w:r>
    </w:p>
    <w:p w:rsidR="00AD77BB" w:rsidRDefault="00B45BA0">
      <w:pPr>
        <w:numPr>
          <w:ilvl w:val="0"/>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Compute the value of the test statistic for the indicated test, based on the information given.</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Testing </w:t>
      </w: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=72.2</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&gt;72.2</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unknown,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55,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−=75.1</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9.25</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Testing </w:t>
      </w: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=58</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&gt;58</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 1.22,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40,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−=58.5</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1.29</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Testing </w:t>
      </w: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=−19.5</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&lt;−19.5</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unknown,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30,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−=−23.2</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9.55</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Testing </w:t>
      </w: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=805</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≠805</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 37.5,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75,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−=818</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36.2</w:t>
      </w:r>
    </w:p>
    <w:p w:rsidR="00AD77BB" w:rsidRDefault="00B45BA0">
      <w:pPr>
        <w:numPr>
          <w:ilvl w:val="0"/>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value of the test statistic for the indicated test, based on the information given.</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Testing </w:t>
      </w: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=342</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&lt;342</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 11.2,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40,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−=339</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10.3</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Testing </w:t>
      </w: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=105</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&gt;105</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 5.3,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80,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−=107</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5.1</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Testing </w:t>
      </w: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=−13.5</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≠−13.5</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unknown,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32,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−=−13.8</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1.5</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Testing </w:t>
      </w: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=28</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≠28</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unknown,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68,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−=27.8</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1.3</w:t>
      </w:r>
    </w:p>
    <w:p w:rsidR="00AD77BB" w:rsidRDefault="00B45BA0">
      <w:pPr>
        <w:numPr>
          <w:ilvl w:val="0"/>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Perform the indicated test of hypotheses, based on the information given.</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w:t>
      </w: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=212</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&lt;212</w:t>
      </w:r>
      <w:r>
        <w:rPr>
          <w:rFonts w:ascii="Calibri" w:eastAsia="Times New Roman" w:hAnsi="Calibri" w:cs="Times New Roman"/>
          <w:color w:val="333333"/>
          <w:sz w:val="20"/>
          <w:szCs w:val="20"/>
        </w:rPr>
        <w:t> @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=0.10</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unknown,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36,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−=211.2</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2.2</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w:t>
      </w: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=−18</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&gt;−18</w:t>
      </w:r>
      <w:r>
        <w:rPr>
          <w:rFonts w:ascii="Calibri" w:eastAsia="Times New Roman" w:hAnsi="Calibri" w:cs="Times New Roman"/>
          <w:color w:val="333333"/>
          <w:sz w:val="20"/>
          <w:szCs w:val="20"/>
        </w:rPr>
        <w:t> @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=0.05</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 3.3,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44,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−=−17.2</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3.1</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w:t>
      </w: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=24</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≠24</w:t>
      </w:r>
      <w:r>
        <w:rPr>
          <w:rFonts w:ascii="Calibri" w:eastAsia="Times New Roman" w:hAnsi="Calibri" w:cs="Times New Roman"/>
          <w:color w:val="333333"/>
          <w:sz w:val="20"/>
          <w:szCs w:val="20"/>
        </w:rPr>
        <w:t> @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=0.02</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unknown,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50,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−=22.8</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1.9</w:t>
      </w:r>
    </w:p>
    <w:p w:rsidR="00AD77BB" w:rsidRDefault="00B45BA0">
      <w:pPr>
        <w:numPr>
          <w:ilvl w:val="0"/>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Perform the indicated test of hypotheses, based on the information given.</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w:t>
      </w: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=105</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&gt;105</w:t>
      </w:r>
      <w:r>
        <w:rPr>
          <w:rFonts w:ascii="Calibri" w:eastAsia="Times New Roman" w:hAnsi="Calibri" w:cs="Times New Roman"/>
          <w:color w:val="333333"/>
          <w:sz w:val="20"/>
          <w:szCs w:val="20"/>
        </w:rPr>
        <w:t> @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=0.05</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unknown,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30,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−=108</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7.2</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w:t>
      </w: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=21.6</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&lt;21.6</w:t>
      </w:r>
      <w:r>
        <w:rPr>
          <w:rFonts w:ascii="Calibri" w:eastAsia="Times New Roman" w:hAnsi="Calibri" w:cs="Times New Roman"/>
          <w:color w:val="333333"/>
          <w:sz w:val="20"/>
          <w:szCs w:val="20"/>
        </w:rPr>
        <w:t> @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=0.01</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unknown,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78,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−=20.5</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3.9</w:t>
      </w:r>
    </w:p>
    <w:p w:rsidR="00AD77BB" w:rsidRDefault="00B45BA0">
      <w:pPr>
        <w:numPr>
          <w:ilvl w:val="1"/>
          <w:numId w:val="193"/>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w:t>
      </w: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=−375</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≠−375</w:t>
      </w:r>
      <w:r>
        <w:rPr>
          <w:rFonts w:ascii="Calibri" w:eastAsia="Times New Roman" w:hAnsi="Calibri" w:cs="Times New Roman"/>
          <w:color w:val="333333"/>
          <w:sz w:val="20"/>
          <w:szCs w:val="20"/>
        </w:rPr>
        <w:t> @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=0.01</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 18.5,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31,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−=−388</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18.0</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APPLICATIONS</w:t>
      </w:r>
    </w:p>
    <w:p w:rsidR="00AD77BB" w:rsidRDefault="00B45BA0">
      <w:pPr>
        <w:numPr>
          <w:ilvl w:val="0"/>
          <w:numId w:val="19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the past the average length of an outgoing telephone call from a business office has been 143 seconds. A manager wishes to check whether that average has decreased after the introduction of policy changes. A sample of 100 telephone calls produced a mean of 133 seconds, with a standard deviation of 35 seconds. Perform the relevant test at the 1% level of significance.</w:t>
      </w:r>
    </w:p>
    <w:p w:rsidR="00AD77BB" w:rsidRDefault="00B45BA0">
      <w:pPr>
        <w:numPr>
          <w:ilvl w:val="0"/>
          <w:numId w:val="19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government of an impoverished country reports the mean age at death among those who have survived to adulthood as 66.2 years. A relief agency examines 30 randomly selected deaths and obtains a mean of 62.3 years with standard deviation 8.1 years. Test whether the agency’s data support the alternative hypothesis, at the 1% level of significance, that the population mean is less than 66.2.</w:t>
      </w:r>
    </w:p>
    <w:p w:rsidR="00AD77BB" w:rsidRDefault="00B45BA0">
      <w:pPr>
        <w:numPr>
          <w:ilvl w:val="0"/>
          <w:numId w:val="19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average household size in a certain region several years ago was 3.14 persons. A sociologist wishes to test, at the 5% level of significance, whether it is different now. Perform the test using the information collected by the sociologist: in a random sample of 75 households, the average size was 2.98 persons, with sample standard deviation 0.82 person.</w:t>
      </w:r>
    </w:p>
    <w:p w:rsidR="00AD77BB" w:rsidRDefault="00B45BA0">
      <w:pPr>
        <w:numPr>
          <w:ilvl w:val="0"/>
          <w:numId w:val="19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The recommended daily calorie intake for teenage girls is 2,200 calories/day. A nutritionist at a state university believes the average daily caloric intake of girls in that state to be lower. Test that hypothesis, at the 5% level of significance, against the null hypothesis that the population average is 2,200 calories/day using the following sample data: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 36,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 2,150</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203.</w:t>
      </w:r>
    </w:p>
    <w:p w:rsidR="00AD77BB" w:rsidRDefault="00B45BA0">
      <w:pPr>
        <w:numPr>
          <w:ilvl w:val="0"/>
          <w:numId w:val="19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automobile manufacturer recommends oil change intervals of 3,000 miles. To compare actual intervals to the recommendation, the company randomly samples records of 50 oil changes at service facilities and obtains sample mean 3,752 miles with sample standard deviation 638 miles. Determine whether the data provide sufficient evidence, at the 5% level of significance, that the population mean interval between oil changes exceeds 3,000 miles.</w:t>
      </w:r>
    </w:p>
    <w:p w:rsidR="00AD77BB" w:rsidRDefault="00B45BA0">
      <w:pPr>
        <w:numPr>
          <w:ilvl w:val="0"/>
          <w:numId w:val="19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medical laboratory claims that the mean turn-around time for performance of a battery of tests on blood samples is 1.88 business days. The manager of a large medical practice believes that the actual mean is larger. A random sample of 45 blood samples yielded mean 2.09 and sample standard deviation 0.13 day. Perform the relevant test at the 10% level of significance, using these data.</w:t>
      </w:r>
    </w:p>
    <w:p w:rsidR="00AD77BB" w:rsidRDefault="00B45BA0">
      <w:pPr>
        <w:numPr>
          <w:ilvl w:val="0"/>
          <w:numId w:val="19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grocery store chain has as one standard of service that the mean time customers wait in line to begin checking out not exceed 2 minutes. To verify the performance of a store the company measures the waiting time in 30 instances, obtaining mean time 2.17 minutes with standard deviation 0.46 minute. Use these data to test the null hypothesis that the mean waiting time is 2 minutes versus the alternative that it exceeds 2 minutes, at the 10% level of significance.</w:t>
      </w:r>
    </w:p>
    <w:p w:rsidR="00AD77BB" w:rsidRDefault="00B45BA0">
      <w:pPr>
        <w:numPr>
          <w:ilvl w:val="0"/>
          <w:numId w:val="19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magazine publisher tells potential advertisers that the mean household income of its regular readership is $61,500. An advertising agency wishes to test this claim against the alternative that the mean is smaller. A sample of 40 randomly selected regular readers yields mean income $59,800 with standard deviation $5,850. Perform the relevant test at the 1% level of significance.</w:t>
      </w:r>
    </w:p>
    <w:p w:rsidR="00AD77BB" w:rsidRDefault="00B45BA0">
      <w:pPr>
        <w:numPr>
          <w:ilvl w:val="0"/>
          <w:numId w:val="19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Authors of a computer algebra system wish to compare the speed of a new computational algorithm to the currently implemented algorithm. They apply the new algorithm to 50 standard problems; it averages 8.16 seconds with standard deviation 0.17 second. The current algorithm averages 8.21 seconds on such problems. Test, at the 1% level of significance, the alternative hypothesis that the new algorithm has a lower average time than the current algorithm.</w:t>
      </w:r>
    </w:p>
    <w:p w:rsidR="00AD77BB" w:rsidRDefault="00B45BA0">
      <w:pPr>
        <w:numPr>
          <w:ilvl w:val="0"/>
          <w:numId w:val="19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random sample of the starting salaries of 35 randomly selected graduates with bachelor’s degrees last year gave sample mean and standard deviation $41,202 and $7,621, respectively. Test whether the data provide sufficient evidence, at the 5% level of significance, to conclude that the mean starting salary of all graduates last year is less than the mean of all graduates two years before, $43,589.</w:t>
      </w:r>
    </w:p>
    <w:p w:rsidR="00AD77BB" w:rsidRDefault="00B45BA0">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ADDITIONAL EXERCISES</w:t>
      </w:r>
    </w:p>
    <w:p w:rsidR="00AD77BB" w:rsidRDefault="00B45BA0">
      <w:pPr>
        <w:numPr>
          <w:ilvl w:val="0"/>
          <w:numId w:val="195"/>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mean household income in a region served by a chain of clothing stores is $48,750. In a sample of 40 customers taken at various stores the mean income of the customers was $51,505 with standard deviation $6,852.</w:t>
      </w:r>
    </w:p>
    <w:p w:rsidR="00AD77BB" w:rsidRDefault="00B45BA0">
      <w:pPr>
        <w:numPr>
          <w:ilvl w:val="1"/>
          <w:numId w:val="19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Test at the 10% level of significance the null hypothesis that the mean household income of customers of the chain is $48,750 against that alternative that it is different from $48,750.</w:t>
      </w:r>
    </w:p>
    <w:p w:rsidR="00AD77BB" w:rsidRDefault="00B45BA0">
      <w:pPr>
        <w:numPr>
          <w:ilvl w:val="1"/>
          <w:numId w:val="19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sample mean is greater than $48,750, suggesting that the actual mean of people who patronize this store is greater than $48,750. Perform this test, also at the 10% level of significance. (The computation of the test statistic done in part (a) still applies here.)</w:t>
      </w:r>
    </w:p>
    <w:p w:rsidR="00AD77BB" w:rsidRDefault="00B45BA0">
      <w:pPr>
        <w:numPr>
          <w:ilvl w:val="0"/>
          <w:numId w:val="195"/>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labor charge for repairs at an automobile service center are based on a standard time specified for each type of repair. The time specified for replacement of universal joint in a drive shaft is one hour. The manager reviews a sample of 30 such repairs. The average of the actual repair times is 0.86 hour with standard deviation 0.32 hour.</w:t>
      </w:r>
    </w:p>
    <w:p w:rsidR="00AD77BB" w:rsidRDefault="00B45BA0">
      <w:pPr>
        <w:numPr>
          <w:ilvl w:val="1"/>
          <w:numId w:val="19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1% level of significance the null hypothesis that the actual mean time for this repair differs from one hour.</w:t>
      </w:r>
    </w:p>
    <w:p w:rsidR="00AD77BB" w:rsidRDefault="00B45BA0">
      <w:pPr>
        <w:numPr>
          <w:ilvl w:val="1"/>
          <w:numId w:val="19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sample mean is less than one hour, suggesting that the mean actual time for this repair is less than one hour. Perform this test, also at the 1% level of significance. (The computation of the test statistic done in part (a) still applies here.)</w:t>
      </w:r>
    </w:p>
    <w:p w:rsidR="00AD77BB" w:rsidRDefault="00B45BA0">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LARGE DATA SET EXERCISES</w:t>
      </w:r>
    </w:p>
    <w:p w:rsidR="00AD77BB" w:rsidRDefault="00B45BA0">
      <w:pPr>
        <w:numPr>
          <w:ilvl w:val="0"/>
          <w:numId w:val="19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Large Data Set 1 records the SAT scores of 1,000 students. Regarding it as a random sample of all high school students, use it to test the hypothesis that the population mean exceeds 1,510, at the 1% level of significance. (The null hypothesis is that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 = 1510.)</w:t>
      </w:r>
    </w:p>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http://www.1.xls</w:t>
      </w:r>
    </w:p>
    <w:p w:rsidR="00AD77BB" w:rsidRDefault="00B45BA0">
      <w:pPr>
        <w:numPr>
          <w:ilvl w:val="0"/>
          <w:numId w:val="19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Large Data Set 1 records the GPAs of 1,000 college students. Regarding it as a random sample of all college students, use it to test the hypothesis that the population mean is less than 2.50, at the 10% level of significance. (The null hypothesis is that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 = 2.50.)</w:t>
      </w:r>
    </w:p>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http://www.1.xls</w:t>
      </w:r>
    </w:p>
    <w:p w:rsidR="00AD77BB" w:rsidRDefault="00B45BA0">
      <w:pPr>
        <w:numPr>
          <w:ilvl w:val="0"/>
          <w:numId w:val="19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Large Data Set 1 lists the SAT scores of 1,000 students.</w:t>
      </w:r>
    </w:p>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http://www.1.xls</w:t>
      </w:r>
    </w:p>
    <w:p w:rsidR="00AD77BB" w:rsidRDefault="00B45BA0">
      <w:pPr>
        <w:numPr>
          <w:ilvl w:val="1"/>
          <w:numId w:val="19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Regard the data as arising from a census of all students at a high school, in which the SAT score of every student was measured. Compute the population mean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w:t>
      </w:r>
    </w:p>
    <w:p w:rsidR="00AD77BB" w:rsidRDefault="00B45BA0">
      <w:pPr>
        <w:numPr>
          <w:ilvl w:val="1"/>
          <w:numId w:val="19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Regard the first 50 students in the data set as a random sample drawn from the population of part (a) and use it to test the hypothesis that the population mean exceeds 1,510, at the 10% level of significance. (The null hypothesis is that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 = 1510.)</w:t>
      </w:r>
    </w:p>
    <w:p w:rsidR="00AD77BB" w:rsidRDefault="00B45BA0">
      <w:pPr>
        <w:numPr>
          <w:ilvl w:val="1"/>
          <w:numId w:val="19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Is your conclusion in part (b) in agreement with the true state of nature (which by part (a) you know), or is your decision in error? If your decision is in error, is it a Type I error or a Type II error?</w:t>
      </w:r>
    </w:p>
    <w:p w:rsidR="00AD77BB" w:rsidRDefault="00B45BA0">
      <w:pPr>
        <w:numPr>
          <w:ilvl w:val="0"/>
          <w:numId w:val="19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Large Data Set 1 lists the GPAs of 1,000 students.</w:t>
      </w:r>
    </w:p>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http://www.1.xls</w:t>
      </w:r>
    </w:p>
    <w:p w:rsidR="00AD77BB" w:rsidRDefault="00B45BA0">
      <w:pPr>
        <w:numPr>
          <w:ilvl w:val="1"/>
          <w:numId w:val="19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Regard the data as arising from a census of all freshman at a small college at the end of their first academic year of college study, in which the GPA of every such person was measured. Compute the population mean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w:t>
      </w:r>
    </w:p>
    <w:p w:rsidR="00AD77BB" w:rsidRDefault="00B45BA0">
      <w:pPr>
        <w:numPr>
          <w:ilvl w:val="1"/>
          <w:numId w:val="19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Regard the first 50 students in the data set as a random sample drawn from the population of part (a) and use it to test the hypothesis that the population mean is less than 2.50, at the 10% level of significance. (The null hypothesis is that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 2.50.)</w:t>
      </w:r>
    </w:p>
    <w:p w:rsidR="00AD77BB" w:rsidRDefault="00B45BA0">
      <w:pPr>
        <w:numPr>
          <w:ilvl w:val="1"/>
          <w:numId w:val="19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Is your conclusion in part (b) in agreement with the true state of nature (which by part (a) you know), or is your decision in error? If your decision is in error, is it a Type I error or a Type II error?</w:t>
      </w:r>
    </w:p>
    <w:p w:rsidR="00AD77BB" w:rsidRDefault="00AD77BB">
      <w:pPr>
        <w:shd w:val="clear" w:color="auto" w:fill="E3EFF7"/>
        <w:spacing w:line="360" w:lineRule="auto"/>
        <w:ind w:left="450"/>
        <w:textAlignment w:val="baseline"/>
        <w:rPr>
          <w:rFonts w:ascii="Calibri" w:eastAsia="Times New Roman" w:hAnsi="Calibri" w:cs="Times New Roman"/>
          <w:color w:val="333333"/>
          <w:sz w:val="20"/>
          <w:szCs w:val="20"/>
        </w:rPr>
      </w:pP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3BAE5E33" wp14:editId="2B6091DC">
            <wp:extent cx="5372100" cy="5638800"/>
            <wp:effectExtent l="0" t="0" r="0" b="0"/>
            <wp:docPr id="268"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372100" cy="563880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32C87BC4" wp14:editId="5040D5AF">
            <wp:extent cx="5667375" cy="3609975"/>
            <wp:effectExtent l="0" t="0" r="9525" b="9525"/>
            <wp:docPr id="269"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667375" cy="3609975"/>
                    </a:xfrm>
                    <a:prstGeom prst="rect">
                      <a:avLst/>
                    </a:prstGeom>
                    <a:noFill/>
                    <a:ln>
                      <a:noFill/>
                    </a:ln>
                  </pic:spPr>
                </pic:pic>
              </a:graphicData>
            </a:graphic>
          </wp:inline>
        </w:drawing>
      </w:r>
    </w:p>
    <w:p w:rsidR="00AD77BB" w:rsidRDefault="00B45B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8.3</w:t>
      </w:r>
      <w:r>
        <w:rPr>
          <w:rStyle w:val="apple-converted-space"/>
          <w:rFonts w:ascii="Calibri" w:hAnsi="Calibri"/>
          <w:color w:val="333333"/>
        </w:rPr>
        <w:t> </w:t>
      </w:r>
      <w:r>
        <w:rPr>
          <w:rFonts w:ascii="Calibri" w:hAnsi="Calibri"/>
          <w:color w:val="333333"/>
        </w:rPr>
        <w:t>The Observed Significance of a Test</w:t>
      </w:r>
    </w:p>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AD77BB" w:rsidRDefault="00B45BA0">
      <w:pPr>
        <w:numPr>
          <w:ilvl w:val="0"/>
          <w:numId w:val="197"/>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To learn what the observed significance of a test is.</w:t>
      </w:r>
    </w:p>
    <w:p w:rsidR="00AD77BB" w:rsidRDefault="00B45BA0">
      <w:pPr>
        <w:numPr>
          <w:ilvl w:val="0"/>
          <w:numId w:val="197"/>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To learn how to compute the observed significance of a test.</w:t>
      </w:r>
    </w:p>
    <w:p w:rsidR="00AD77BB" w:rsidRDefault="00B45BA0">
      <w:pPr>
        <w:numPr>
          <w:ilvl w:val="0"/>
          <w:numId w:val="197"/>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To learn how to apply the</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-value approach to hypothesis testing.</w:t>
      </w:r>
    </w:p>
    <w:p w:rsidR="00AD77BB" w:rsidRDefault="00AD77BB">
      <w:pPr>
        <w:pStyle w:val="Heading2"/>
        <w:shd w:val="clear" w:color="auto" w:fill="FFFFFF"/>
        <w:spacing w:before="0" w:line="439" w:lineRule="atLeast"/>
        <w:textAlignment w:val="baseline"/>
        <w:rPr>
          <w:rFonts w:ascii="Calibri" w:hAnsi="Calibri"/>
          <w:color w:val="333333"/>
          <w:sz w:val="28"/>
          <w:szCs w:val="28"/>
        </w:rPr>
      </w:pPr>
    </w:p>
    <w:p w:rsidR="00AD77BB" w:rsidRDefault="00B45BA0">
      <w:pPr>
        <w:pStyle w:val="Heading2"/>
        <w:shd w:val="clear" w:color="auto" w:fill="FFFFFF"/>
        <w:spacing w:before="0" w:line="439" w:lineRule="atLeast"/>
        <w:textAlignment w:val="baseline"/>
        <w:rPr>
          <w:rFonts w:ascii="Calibri" w:hAnsi="Calibri"/>
          <w:color w:val="333333"/>
          <w:sz w:val="28"/>
          <w:szCs w:val="28"/>
        </w:rPr>
      </w:pPr>
      <w:r>
        <w:rPr>
          <w:rFonts w:ascii="Calibri" w:hAnsi="Calibri"/>
          <w:color w:val="333333"/>
          <w:sz w:val="28"/>
          <w:szCs w:val="28"/>
        </w:rPr>
        <w:t>The Observed Significance</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The conceptual basis of our testing procedure is that we reject</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H</w:t>
      </w:r>
      <w:r>
        <w:rPr>
          <w:rFonts w:ascii="Georgia" w:hAnsi="Georgia"/>
          <w:color w:val="333333"/>
          <w:sz w:val="15"/>
          <w:szCs w:val="15"/>
          <w:vertAlign w:val="subscript"/>
        </w:rPr>
        <w:t>0</w:t>
      </w:r>
      <w:r>
        <w:rPr>
          <w:rStyle w:val="apple-converted-space"/>
          <w:rFonts w:ascii="Georgia" w:hAnsi="Georgia"/>
          <w:color w:val="333333"/>
          <w:sz w:val="20"/>
          <w:szCs w:val="20"/>
        </w:rPr>
        <w:t> </w:t>
      </w:r>
      <w:r>
        <w:rPr>
          <w:rFonts w:ascii="Georgia" w:hAnsi="Georgia"/>
          <w:color w:val="333333"/>
          <w:sz w:val="20"/>
          <w:szCs w:val="20"/>
        </w:rPr>
        <w:t>only if the data that we obtained would constitute a rare event if</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H</w:t>
      </w:r>
      <w:r>
        <w:rPr>
          <w:rFonts w:ascii="Georgia" w:hAnsi="Georgia"/>
          <w:color w:val="333333"/>
          <w:sz w:val="15"/>
          <w:szCs w:val="15"/>
          <w:vertAlign w:val="subscript"/>
        </w:rPr>
        <w:t>0</w:t>
      </w:r>
      <w:r>
        <w:rPr>
          <w:rStyle w:val="apple-converted-space"/>
          <w:rFonts w:ascii="Georgia" w:hAnsi="Georgia"/>
          <w:color w:val="333333"/>
          <w:sz w:val="20"/>
          <w:szCs w:val="20"/>
        </w:rPr>
        <w:t> </w:t>
      </w:r>
      <w:r>
        <w:rPr>
          <w:rFonts w:ascii="Georgia" w:hAnsi="Georgia"/>
          <w:color w:val="333333"/>
          <w:sz w:val="20"/>
          <w:szCs w:val="20"/>
        </w:rPr>
        <w:t>were actually true. The level of significance</w:t>
      </w:r>
      <w:r>
        <w:rPr>
          <w:rStyle w:val="apple-converted-space"/>
          <w:rFonts w:ascii="Georgia" w:hAnsi="Georgia"/>
          <w:color w:val="333333"/>
          <w:sz w:val="20"/>
          <w:szCs w:val="20"/>
        </w:rPr>
        <w:t> </w:t>
      </w:r>
      <w:r>
        <w:rPr>
          <w:rStyle w:val="mi"/>
          <w:rFonts w:ascii="MathJax_Math" w:hAnsi="MathJax_Math"/>
          <w:i/>
          <w:iCs/>
          <w:color w:val="333333"/>
          <w:sz w:val="18"/>
          <w:szCs w:val="18"/>
        </w:rPr>
        <w:t>α</w:t>
      </w:r>
      <w:r>
        <w:rPr>
          <w:rStyle w:val="apple-converted-space"/>
          <w:rFonts w:ascii="Georgia" w:hAnsi="Georgia"/>
          <w:color w:val="333333"/>
          <w:sz w:val="20"/>
          <w:szCs w:val="20"/>
        </w:rPr>
        <w:t> </w:t>
      </w:r>
      <w:r>
        <w:rPr>
          <w:rFonts w:ascii="Georgia" w:hAnsi="Georgia"/>
          <w:color w:val="333333"/>
          <w:sz w:val="20"/>
          <w:szCs w:val="20"/>
        </w:rPr>
        <w:t>specifies what is meant by “rare.” The</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observed significance</w:t>
      </w:r>
      <w:r>
        <w:rPr>
          <w:rStyle w:val="apple-converted-space"/>
          <w:rFonts w:ascii="Georgia" w:hAnsi="Georgia"/>
          <w:color w:val="333333"/>
          <w:sz w:val="20"/>
          <w:szCs w:val="20"/>
        </w:rPr>
        <w:t> </w:t>
      </w:r>
      <w:r>
        <w:rPr>
          <w:rFonts w:ascii="Georgia" w:hAnsi="Georgia"/>
          <w:color w:val="333333"/>
          <w:sz w:val="20"/>
          <w:szCs w:val="20"/>
        </w:rPr>
        <w:t xml:space="preserve">of the test is a measure of how rare the value of the test statistic that we have just observed would be if the null hypothesis were true. That is, the </w:t>
      </w:r>
      <w:r>
        <w:rPr>
          <w:rStyle w:val="Emphasis"/>
          <w:rFonts w:ascii="Georgia" w:eastAsiaTheme="majorEastAsia" w:hAnsi="Georgia"/>
          <w:color w:val="333333"/>
          <w:sz w:val="20"/>
          <w:szCs w:val="20"/>
        </w:rPr>
        <w:t>observed significance</w:t>
      </w:r>
      <w:r>
        <w:rPr>
          <w:rStyle w:val="apple-converted-space"/>
          <w:rFonts w:ascii="Georgia" w:hAnsi="Georgia"/>
          <w:color w:val="333333"/>
          <w:sz w:val="20"/>
          <w:szCs w:val="20"/>
        </w:rPr>
        <w:t> </w:t>
      </w:r>
      <w:r>
        <w:rPr>
          <w:rFonts w:ascii="Georgia" w:hAnsi="Georgia"/>
          <w:color w:val="333333"/>
          <w:sz w:val="20"/>
          <w:szCs w:val="20"/>
        </w:rPr>
        <w:t>of the test just performed is the probability that, if the test were repeated with a new sample, the result of the new test would be at least as contrary to</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H</w:t>
      </w:r>
      <w:r>
        <w:rPr>
          <w:rFonts w:ascii="Georgia" w:hAnsi="Georgia"/>
          <w:color w:val="333333"/>
          <w:sz w:val="15"/>
          <w:szCs w:val="15"/>
          <w:vertAlign w:val="subscript"/>
        </w:rPr>
        <w:t>0</w:t>
      </w:r>
      <w:r>
        <w:rPr>
          <w:rStyle w:val="apple-converted-space"/>
          <w:rFonts w:ascii="Georgia" w:hAnsi="Georgia"/>
          <w:color w:val="333333"/>
          <w:sz w:val="20"/>
          <w:szCs w:val="20"/>
        </w:rPr>
        <w:t> </w:t>
      </w:r>
      <w:r>
        <w:rPr>
          <w:rFonts w:ascii="Georgia" w:hAnsi="Georgia"/>
          <w:color w:val="333333"/>
          <w:sz w:val="20"/>
          <w:szCs w:val="20"/>
        </w:rPr>
        <w:t>and in support of</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H</w:t>
      </w:r>
      <w:r>
        <w:rPr>
          <w:rStyle w:val="Emphasis"/>
          <w:rFonts w:ascii="Georgia" w:eastAsiaTheme="majorEastAsia" w:hAnsi="Georgia"/>
          <w:color w:val="333333"/>
          <w:sz w:val="15"/>
          <w:szCs w:val="15"/>
          <w:vertAlign w:val="subscript"/>
        </w:rPr>
        <w:t>a</w:t>
      </w:r>
      <w:r>
        <w:rPr>
          <w:rStyle w:val="apple-converted-space"/>
          <w:rFonts w:ascii="Georgia" w:hAnsi="Georgia"/>
          <w:color w:val="333333"/>
          <w:sz w:val="20"/>
          <w:szCs w:val="20"/>
        </w:rPr>
        <w:t> </w:t>
      </w:r>
      <w:r>
        <w:rPr>
          <w:rFonts w:ascii="Georgia" w:hAnsi="Georgia"/>
          <w:color w:val="333333"/>
          <w:sz w:val="20"/>
          <w:szCs w:val="20"/>
        </w:rPr>
        <w:t>as what was observed in the original test.</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0"/>
          <w:szCs w:val="20"/>
        </w:rPr>
      </w:pPr>
    </w:p>
    <w:p w:rsidR="00AD77BB" w:rsidRDefault="00B45BA0">
      <w:pPr>
        <w:pStyle w:val="Heading3"/>
        <w:shd w:val="clear" w:color="auto" w:fill="F4F4F4"/>
        <w:spacing w:before="0" w:beforeAutospacing="0" w:after="0" w:afterAutospacing="0" w:line="360" w:lineRule="auto"/>
        <w:textAlignment w:val="baseline"/>
        <w:rPr>
          <w:rFonts w:ascii="Calibri" w:hAnsi="Calibri"/>
          <w:color w:val="333333"/>
          <w:sz w:val="30"/>
          <w:szCs w:val="30"/>
        </w:rPr>
      </w:pPr>
      <w:r>
        <w:rPr>
          <w:rFonts w:ascii="Calibri" w:hAnsi="Calibri"/>
          <w:color w:val="333333"/>
          <w:sz w:val="30"/>
          <w:szCs w:val="30"/>
        </w:rPr>
        <w:t>Definition</w:t>
      </w: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eastAsiaTheme="majorEastAsia" w:hAnsi="Georgia"/>
          <w:color w:val="333333"/>
          <w:sz w:val="20"/>
          <w:szCs w:val="20"/>
        </w:rPr>
        <w:t>The</w:t>
      </w:r>
      <w:r>
        <w:rPr>
          <w:rStyle w:val="apple-converted-space"/>
          <w:rFonts w:ascii="Georgia" w:hAnsi="Georgia"/>
          <w:color w:val="333333"/>
          <w:sz w:val="20"/>
          <w:szCs w:val="20"/>
        </w:rPr>
        <w:t> </w:t>
      </w:r>
      <w:r>
        <w:rPr>
          <w:rStyle w:val="marginterm"/>
          <w:rFonts w:ascii="Georgia" w:hAnsi="Georgia"/>
          <w:b/>
          <w:color w:val="333333"/>
          <w:sz w:val="20"/>
          <w:szCs w:val="20"/>
        </w:rPr>
        <w:t xml:space="preserve">observed significance or p-value </w:t>
      </w:r>
      <w:r>
        <w:rPr>
          <w:rStyle w:val="Emphasis"/>
          <w:rFonts w:ascii="Georgia" w:eastAsiaTheme="majorEastAsia" w:hAnsi="Georgia"/>
          <w:color w:val="333333"/>
          <w:sz w:val="20"/>
          <w:szCs w:val="20"/>
        </w:rPr>
        <w:t>of a specific test of hypotheses is the probability, on the supposition that</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H</w:t>
      </w:r>
      <w:r>
        <w:rPr>
          <w:rFonts w:ascii="Georgia" w:hAnsi="Georgia"/>
          <w:color w:val="333333"/>
          <w:sz w:val="15"/>
          <w:szCs w:val="15"/>
          <w:vertAlign w:val="subscript"/>
        </w:rPr>
        <w:t>0</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is true, of obtaining a result at least as contrary to</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H</w:t>
      </w:r>
      <w:r>
        <w:rPr>
          <w:rFonts w:ascii="Georgia" w:hAnsi="Georgia"/>
          <w:color w:val="333333"/>
          <w:sz w:val="15"/>
          <w:szCs w:val="15"/>
          <w:vertAlign w:val="subscript"/>
        </w:rPr>
        <w:t>0</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and in favor of</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H</w:t>
      </w:r>
      <w:r>
        <w:rPr>
          <w:rStyle w:val="Emphasis"/>
          <w:rFonts w:ascii="Georgia" w:eastAsiaTheme="majorEastAsia" w:hAnsi="Georgia"/>
          <w:color w:val="333333"/>
          <w:sz w:val="15"/>
          <w:szCs w:val="15"/>
          <w:vertAlign w:val="subscript"/>
        </w:rPr>
        <w:t>a</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as the result actually observed in the sample data.</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0"/>
          <w:szCs w:val="20"/>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Think back to</w:t>
      </w:r>
      <w:r>
        <w:rPr>
          <w:rStyle w:val="apple-converted-space"/>
          <w:rFonts w:ascii="Georgia" w:hAnsi="Georgia"/>
          <w:color w:val="333333"/>
          <w:sz w:val="20"/>
          <w:szCs w:val="20"/>
        </w:rPr>
        <w:t> </w:t>
      </w:r>
      <w:r>
        <w:rPr>
          <w:rFonts w:ascii="Georgia" w:hAnsi="Georgia"/>
          <w:color w:val="2689C6"/>
          <w:sz w:val="20"/>
          <w:szCs w:val="20"/>
        </w:rPr>
        <w:t>Note 8.27 "Example 4"</w:t>
      </w:r>
      <w:r>
        <w:rPr>
          <w:rStyle w:val="apple-converted-space"/>
          <w:rFonts w:ascii="Georgia" w:hAnsi="Georgia"/>
          <w:color w:val="333333"/>
          <w:sz w:val="20"/>
          <w:szCs w:val="20"/>
        </w:rPr>
        <w:t> </w:t>
      </w:r>
      <w:r>
        <w:rPr>
          <w:rFonts w:ascii="Georgia" w:hAnsi="Georgia"/>
          <w:color w:val="333333"/>
          <w:sz w:val="20"/>
          <w:szCs w:val="20"/>
        </w:rPr>
        <w:t>in</w:t>
      </w:r>
      <w:r>
        <w:rPr>
          <w:rStyle w:val="apple-converted-space"/>
          <w:rFonts w:ascii="Georgia" w:hAnsi="Georgia"/>
          <w:color w:val="333333"/>
          <w:sz w:val="20"/>
          <w:szCs w:val="20"/>
        </w:rPr>
        <w:t> </w:t>
      </w:r>
      <w:r>
        <w:rPr>
          <w:rFonts w:ascii="Georgia" w:hAnsi="Georgia"/>
          <w:color w:val="2689C6"/>
          <w:sz w:val="20"/>
          <w:szCs w:val="20"/>
        </w:rPr>
        <w:t>Section 8.2 "Large Sample Tests for a Population Mean"</w:t>
      </w:r>
      <w:r>
        <w:rPr>
          <w:rStyle w:val="apple-converted-space"/>
          <w:rFonts w:ascii="Georgia" w:hAnsi="Georgia"/>
          <w:color w:val="333333"/>
          <w:sz w:val="20"/>
          <w:szCs w:val="20"/>
        </w:rPr>
        <w:t> </w:t>
      </w:r>
      <w:r>
        <w:rPr>
          <w:rFonts w:ascii="Georgia" w:hAnsi="Georgia"/>
          <w:color w:val="333333"/>
          <w:sz w:val="20"/>
          <w:szCs w:val="20"/>
        </w:rPr>
        <w:t>concerning the effectiveness of a new pain reliever. This was a left-tailed test in which the value of the test statistic was −1.886. To be as contrary to</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H</w:t>
      </w:r>
      <w:r>
        <w:rPr>
          <w:rFonts w:ascii="Georgia" w:hAnsi="Georgia"/>
          <w:color w:val="333333"/>
          <w:sz w:val="15"/>
          <w:szCs w:val="15"/>
          <w:vertAlign w:val="subscript"/>
        </w:rPr>
        <w:t>0</w:t>
      </w:r>
      <w:r>
        <w:rPr>
          <w:rStyle w:val="apple-converted-space"/>
          <w:rFonts w:ascii="Georgia" w:hAnsi="Georgia"/>
          <w:color w:val="333333"/>
          <w:sz w:val="20"/>
          <w:szCs w:val="20"/>
        </w:rPr>
        <w:t> </w:t>
      </w:r>
      <w:r>
        <w:rPr>
          <w:rFonts w:ascii="Georgia" w:hAnsi="Georgia"/>
          <w:color w:val="333333"/>
          <w:sz w:val="20"/>
          <w:szCs w:val="20"/>
        </w:rPr>
        <w:t>and in support of</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H</w:t>
      </w:r>
      <w:r>
        <w:rPr>
          <w:rStyle w:val="Emphasis"/>
          <w:rFonts w:ascii="Georgia" w:eastAsiaTheme="majorEastAsia" w:hAnsi="Georgia"/>
          <w:color w:val="333333"/>
          <w:sz w:val="15"/>
          <w:szCs w:val="15"/>
          <w:vertAlign w:val="subscript"/>
        </w:rPr>
        <w:t>a</w:t>
      </w:r>
      <w:r>
        <w:rPr>
          <w:rStyle w:val="apple-converted-space"/>
          <w:rFonts w:ascii="Georgia" w:hAnsi="Georgia"/>
          <w:color w:val="333333"/>
          <w:sz w:val="20"/>
          <w:szCs w:val="20"/>
        </w:rPr>
        <w:t> </w:t>
      </w:r>
      <w:r>
        <w:rPr>
          <w:rFonts w:ascii="Georgia" w:hAnsi="Georgia"/>
          <w:color w:val="333333"/>
          <w:sz w:val="20"/>
          <w:szCs w:val="20"/>
        </w:rPr>
        <w:t>as the result</w:t>
      </w:r>
      <w:r>
        <w:rPr>
          <w:rStyle w:val="apple-converted-space"/>
          <w:rFonts w:ascii="Georgia" w:hAnsi="Georgia"/>
          <w:color w:val="333333"/>
          <w:sz w:val="20"/>
          <w:szCs w:val="20"/>
        </w:rPr>
        <w:t> </w:t>
      </w:r>
      <w:r>
        <w:rPr>
          <w:rStyle w:val="mi"/>
          <w:rFonts w:ascii="MathJax_Math" w:hAnsi="MathJax_Math"/>
          <w:b/>
          <w:i/>
          <w:iCs/>
          <w:color w:val="333333"/>
          <w:sz w:val="18"/>
          <w:szCs w:val="18"/>
        </w:rPr>
        <w:t>Z</w:t>
      </w:r>
      <w:r>
        <w:rPr>
          <w:rStyle w:val="mo"/>
          <w:rFonts w:ascii="MathJax_Main" w:hAnsi="MathJax_Main"/>
          <w:b/>
          <w:color w:val="333333"/>
          <w:sz w:val="18"/>
          <w:szCs w:val="18"/>
        </w:rPr>
        <w:t>=</w:t>
      </w:r>
      <w:r>
        <w:rPr>
          <w:rStyle w:val="mtext"/>
          <w:rFonts w:ascii="MathJax_Main" w:hAnsi="MathJax_Main"/>
          <w:b/>
          <w:color w:val="333333"/>
          <w:sz w:val="18"/>
          <w:szCs w:val="18"/>
        </w:rPr>
        <w:t>−</w:t>
      </w:r>
      <w:r>
        <w:rPr>
          <w:rStyle w:val="mn"/>
          <w:rFonts w:ascii="MathJax_Main" w:hAnsi="MathJax_Main"/>
          <w:b/>
          <w:color w:val="333333"/>
          <w:sz w:val="18"/>
          <w:szCs w:val="18"/>
        </w:rPr>
        <w:t>1.886</w:t>
      </w:r>
      <w:r>
        <w:rPr>
          <w:rStyle w:val="apple-converted-space"/>
          <w:rFonts w:ascii="Georgia" w:hAnsi="Georgia"/>
          <w:color w:val="333333"/>
          <w:sz w:val="20"/>
          <w:szCs w:val="20"/>
        </w:rPr>
        <w:t> </w:t>
      </w:r>
      <w:r>
        <w:rPr>
          <w:rFonts w:ascii="Georgia" w:hAnsi="Georgia"/>
          <w:color w:val="333333"/>
          <w:sz w:val="20"/>
          <w:szCs w:val="20"/>
        </w:rPr>
        <w:t>actually observed means to obtain a value of the test statistic in the interval</w:t>
      </w:r>
      <w:r>
        <w:rPr>
          <w:rStyle w:val="apple-converted-space"/>
          <w:rFonts w:ascii="Georgia" w:hAnsi="Georgia"/>
          <w:color w:val="333333"/>
          <w:sz w:val="20"/>
          <w:szCs w:val="20"/>
        </w:rPr>
        <w:t> </w:t>
      </w:r>
      <w:r>
        <w:rPr>
          <w:rStyle w:val="mo"/>
          <w:rFonts w:ascii="MathJax_Main" w:hAnsi="MathJax_Main"/>
          <w:b/>
          <w:color w:val="333333"/>
          <w:sz w:val="18"/>
          <w:szCs w:val="18"/>
        </w:rPr>
        <w:t>(</w:t>
      </w:r>
      <w:r>
        <w:rPr>
          <w:rStyle w:val="mtext"/>
          <w:rFonts w:ascii="MathJax_Main" w:hAnsi="MathJax_Main"/>
          <w:b/>
          <w:color w:val="333333"/>
          <w:sz w:val="18"/>
          <w:szCs w:val="18"/>
        </w:rPr>
        <w:t>−</w:t>
      </w:r>
      <w:r>
        <w:rPr>
          <w:rStyle w:val="mi"/>
          <w:rFonts w:ascii="MathJax_Main" w:hAnsi="MathJax_Main"/>
          <w:b/>
          <w:color w:val="333333"/>
          <w:sz w:val="18"/>
          <w:szCs w:val="18"/>
        </w:rPr>
        <w:t>∞</w:t>
      </w:r>
      <w:r>
        <w:rPr>
          <w:rStyle w:val="mo"/>
          <w:rFonts w:ascii="MathJax_Main" w:hAnsi="MathJax_Main"/>
          <w:b/>
          <w:color w:val="333333"/>
          <w:sz w:val="18"/>
          <w:szCs w:val="18"/>
        </w:rPr>
        <w:t>,</w:t>
      </w:r>
      <w:r>
        <w:rPr>
          <w:rStyle w:val="mtext"/>
          <w:rFonts w:ascii="MathJax_Main" w:hAnsi="MathJax_Main"/>
          <w:b/>
          <w:color w:val="333333"/>
          <w:sz w:val="18"/>
          <w:szCs w:val="18"/>
        </w:rPr>
        <w:t>−</w:t>
      </w:r>
      <w:r>
        <w:rPr>
          <w:rStyle w:val="mn"/>
          <w:rFonts w:ascii="MathJax_Main" w:hAnsi="MathJax_Main"/>
          <w:b/>
          <w:color w:val="333333"/>
          <w:sz w:val="18"/>
          <w:szCs w:val="18"/>
        </w:rPr>
        <w:t>1.886</w:t>
      </w:r>
      <w:r>
        <w:rPr>
          <w:rStyle w:val="mo"/>
          <w:rFonts w:ascii="MathJax_Main" w:hAnsi="MathJax_Main"/>
          <w:b/>
          <w:color w:val="333333"/>
          <w:sz w:val="18"/>
          <w:szCs w:val="18"/>
        </w:rPr>
        <w:t>].</w:t>
      </w:r>
      <w:r>
        <w:rPr>
          <w:rStyle w:val="apple-converted-space"/>
          <w:rFonts w:ascii="Georgia" w:hAnsi="Georgia"/>
          <w:color w:val="333333"/>
          <w:sz w:val="20"/>
          <w:szCs w:val="20"/>
        </w:rPr>
        <w:t> </w:t>
      </w:r>
      <w:r>
        <w:rPr>
          <w:rFonts w:ascii="Georgia" w:hAnsi="Georgia"/>
          <w:color w:val="333333"/>
          <w:sz w:val="20"/>
          <w:szCs w:val="20"/>
        </w:rPr>
        <w:t>Rounding −1.886 to −1.89, we can read directly from</w:t>
      </w:r>
      <w:r>
        <w:rPr>
          <w:rStyle w:val="apple-converted-space"/>
          <w:rFonts w:ascii="Georgia" w:hAnsi="Georgia"/>
          <w:color w:val="333333"/>
          <w:sz w:val="20"/>
          <w:szCs w:val="20"/>
        </w:rPr>
        <w:t> </w:t>
      </w:r>
      <w:r>
        <w:rPr>
          <w:rFonts w:ascii="Georgia" w:hAnsi="Georgia"/>
          <w:color w:val="2689C6"/>
          <w:sz w:val="20"/>
          <w:szCs w:val="20"/>
        </w:rPr>
        <w:t>Figure 12.2 "Cumulative Normal Probability"</w:t>
      </w:r>
      <w:r>
        <w:rPr>
          <w:rStyle w:val="apple-converted-space"/>
          <w:rFonts w:ascii="Georgia" w:hAnsi="Georgia"/>
          <w:color w:val="333333"/>
          <w:sz w:val="20"/>
          <w:szCs w:val="20"/>
        </w:rPr>
        <w:t> </w:t>
      </w:r>
      <w:r>
        <w:rPr>
          <w:rFonts w:ascii="Georgia" w:hAnsi="Georgia"/>
          <w:color w:val="333333"/>
          <w:sz w:val="20"/>
          <w:szCs w:val="20"/>
        </w:rPr>
        <w:t>that</w:t>
      </w:r>
      <w:r>
        <w:rPr>
          <w:rStyle w:val="apple-converted-space"/>
          <w:rFonts w:ascii="Georgia" w:hAnsi="Georgia"/>
          <w:b/>
          <w:color w:val="333333"/>
          <w:sz w:val="20"/>
          <w:szCs w:val="20"/>
        </w:rPr>
        <w:t> </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i"/>
          <w:rFonts w:ascii="MathJax_Math" w:hAnsi="MathJax_Math"/>
          <w:b/>
          <w:i/>
          <w:iCs/>
          <w:color w:val="333333"/>
          <w:sz w:val="18"/>
          <w:szCs w:val="18"/>
        </w:rPr>
        <w:t>Z</w:t>
      </w:r>
      <w:r>
        <w:rPr>
          <w:rStyle w:val="mo"/>
          <w:rFonts w:ascii="MathJax_Main" w:hAnsi="MathJax_Main"/>
          <w:b/>
          <w:color w:val="333333"/>
          <w:sz w:val="18"/>
          <w:szCs w:val="18"/>
        </w:rPr>
        <w:t>≤</w:t>
      </w:r>
      <w:r>
        <w:rPr>
          <w:rStyle w:val="mtext"/>
          <w:rFonts w:ascii="MathJax_Main" w:hAnsi="MathJax_Main"/>
          <w:b/>
          <w:color w:val="333333"/>
          <w:sz w:val="18"/>
          <w:szCs w:val="18"/>
        </w:rPr>
        <w:t>−</w:t>
      </w:r>
      <w:r>
        <w:rPr>
          <w:rStyle w:val="mn"/>
          <w:rFonts w:ascii="MathJax_Main" w:hAnsi="MathJax_Main"/>
          <w:b/>
          <w:color w:val="333333"/>
          <w:sz w:val="18"/>
          <w:szCs w:val="18"/>
        </w:rPr>
        <w:t>1.89</w:t>
      </w:r>
      <w:r>
        <w:rPr>
          <w:rStyle w:val="mo"/>
          <w:rFonts w:ascii="MathJax_Main" w:hAnsi="MathJax_Main"/>
          <w:b/>
          <w:color w:val="333333"/>
          <w:sz w:val="18"/>
          <w:szCs w:val="18"/>
        </w:rPr>
        <w:t>)=</w:t>
      </w:r>
      <w:r>
        <w:rPr>
          <w:rStyle w:val="mn"/>
          <w:rFonts w:ascii="MathJax_Main" w:hAnsi="MathJax_Main"/>
          <w:b/>
          <w:color w:val="333333"/>
          <w:sz w:val="18"/>
          <w:szCs w:val="18"/>
        </w:rPr>
        <w:t>0.0294</w:t>
      </w:r>
      <w:r>
        <w:rPr>
          <w:rStyle w:val="mo"/>
          <w:rFonts w:ascii="MathJax_Main" w:hAnsi="MathJax_Main"/>
          <w:b/>
          <w:color w:val="333333"/>
          <w:sz w:val="18"/>
          <w:szCs w:val="18"/>
        </w:rPr>
        <w:t>.</w:t>
      </w:r>
      <w:r>
        <w:rPr>
          <w:rStyle w:val="apple-converted-space"/>
          <w:rFonts w:ascii="Georgia" w:hAnsi="Georgia"/>
          <w:color w:val="333333"/>
          <w:sz w:val="20"/>
          <w:szCs w:val="20"/>
        </w:rPr>
        <w:t> </w:t>
      </w:r>
      <w:r>
        <w:rPr>
          <w:rFonts w:ascii="Georgia" w:hAnsi="Georgia"/>
          <w:color w:val="333333"/>
          <w:sz w:val="20"/>
          <w:szCs w:val="20"/>
        </w:rPr>
        <w:t>Thus the</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p</w:t>
      </w:r>
      <w:r>
        <w:rPr>
          <w:rFonts w:ascii="Georgia" w:hAnsi="Georgia"/>
          <w:color w:val="333333"/>
          <w:sz w:val="20"/>
          <w:szCs w:val="20"/>
        </w:rPr>
        <w:t>-value or observed significance of the test in</w:t>
      </w:r>
      <w:r>
        <w:rPr>
          <w:rStyle w:val="apple-converted-space"/>
          <w:rFonts w:ascii="Georgia" w:hAnsi="Georgia"/>
          <w:color w:val="333333"/>
          <w:sz w:val="20"/>
          <w:szCs w:val="20"/>
        </w:rPr>
        <w:t> </w:t>
      </w:r>
      <w:r>
        <w:rPr>
          <w:rFonts w:ascii="Georgia" w:hAnsi="Georgia"/>
          <w:color w:val="2689C6"/>
          <w:sz w:val="20"/>
          <w:szCs w:val="20"/>
        </w:rPr>
        <w:t>Note 8.27 "Example 4"</w:t>
      </w:r>
      <w:r>
        <w:rPr>
          <w:rStyle w:val="apple-converted-space"/>
          <w:rFonts w:ascii="Georgia" w:hAnsi="Georgia"/>
          <w:color w:val="333333"/>
          <w:sz w:val="20"/>
          <w:szCs w:val="20"/>
        </w:rPr>
        <w:t> </w:t>
      </w:r>
      <w:r>
        <w:rPr>
          <w:rFonts w:ascii="Georgia" w:hAnsi="Georgia"/>
          <w:color w:val="333333"/>
          <w:sz w:val="20"/>
          <w:szCs w:val="20"/>
        </w:rPr>
        <w:t>is 0.0294 or about 3%. Under repeated sampling from this population, if</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H</w:t>
      </w:r>
      <w:r>
        <w:rPr>
          <w:rFonts w:ascii="Georgia" w:hAnsi="Georgia"/>
          <w:color w:val="333333"/>
          <w:sz w:val="15"/>
          <w:szCs w:val="15"/>
          <w:vertAlign w:val="subscript"/>
        </w:rPr>
        <w:t>0</w:t>
      </w:r>
      <w:r>
        <w:rPr>
          <w:rStyle w:val="apple-converted-space"/>
          <w:rFonts w:ascii="Georgia" w:hAnsi="Georgia"/>
          <w:color w:val="333333"/>
          <w:sz w:val="20"/>
          <w:szCs w:val="20"/>
        </w:rPr>
        <w:t> </w:t>
      </w:r>
      <w:r>
        <w:rPr>
          <w:rFonts w:ascii="Georgia" w:hAnsi="Georgia"/>
          <w:color w:val="333333"/>
          <w:sz w:val="20"/>
          <w:szCs w:val="20"/>
        </w:rPr>
        <w:t>were true then only about 3% of all samples of size 50 would give a result as contrary to</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H</w:t>
      </w:r>
      <w:r>
        <w:rPr>
          <w:rFonts w:ascii="Georgia" w:hAnsi="Georgia"/>
          <w:color w:val="333333"/>
          <w:sz w:val="15"/>
          <w:szCs w:val="15"/>
          <w:vertAlign w:val="subscript"/>
        </w:rPr>
        <w:t>0</w:t>
      </w:r>
      <w:r>
        <w:rPr>
          <w:rStyle w:val="apple-converted-space"/>
          <w:rFonts w:ascii="Georgia" w:hAnsi="Georgia"/>
          <w:color w:val="333333"/>
          <w:sz w:val="20"/>
          <w:szCs w:val="20"/>
        </w:rPr>
        <w:t> </w:t>
      </w:r>
      <w:r>
        <w:rPr>
          <w:rFonts w:ascii="Georgia" w:hAnsi="Georgia"/>
          <w:color w:val="333333"/>
          <w:sz w:val="20"/>
          <w:szCs w:val="20"/>
        </w:rPr>
        <w:t>and in favor of</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H</w:t>
      </w:r>
      <w:r>
        <w:rPr>
          <w:rStyle w:val="Emphasis"/>
          <w:rFonts w:ascii="Georgia" w:eastAsiaTheme="majorEastAsia" w:hAnsi="Georgia"/>
          <w:color w:val="333333"/>
          <w:sz w:val="15"/>
          <w:szCs w:val="15"/>
          <w:vertAlign w:val="subscript"/>
        </w:rPr>
        <w:t>a</w:t>
      </w:r>
      <w:r>
        <w:rPr>
          <w:rStyle w:val="apple-converted-space"/>
          <w:rFonts w:ascii="Georgia" w:hAnsi="Georgia"/>
          <w:color w:val="333333"/>
          <w:sz w:val="20"/>
          <w:szCs w:val="20"/>
        </w:rPr>
        <w:t> </w:t>
      </w:r>
      <w:r>
        <w:rPr>
          <w:rFonts w:ascii="Georgia" w:hAnsi="Georgia"/>
          <w:color w:val="333333"/>
          <w:sz w:val="20"/>
          <w:szCs w:val="20"/>
        </w:rPr>
        <w:t>as the sample we observed. Note that the probability 0.0294 is the area of the left tail cut off by the test statistic in this left-tailed test.</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0"/>
          <w:szCs w:val="20"/>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Analogous reasoning applies to a right-tailed or a two-tailed test, except that in the case of a two-tailed test being as far from 0 as the observed value of the test statistic but on the opposite side of 0 is just as contrary to</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H</w:t>
      </w:r>
      <w:r>
        <w:rPr>
          <w:rFonts w:ascii="Georgia" w:hAnsi="Georgia"/>
          <w:color w:val="333333"/>
          <w:sz w:val="15"/>
          <w:szCs w:val="15"/>
          <w:vertAlign w:val="subscript"/>
        </w:rPr>
        <w:t>0</w:t>
      </w:r>
      <w:r>
        <w:rPr>
          <w:rStyle w:val="apple-converted-space"/>
          <w:rFonts w:ascii="Georgia" w:hAnsi="Georgia"/>
          <w:color w:val="333333"/>
          <w:sz w:val="20"/>
          <w:szCs w:val="20"/>
        </w:rPr>
        <w:t> </w:t>
      </w:r>
      <w:r>
        <w:rPr>
          <w:rFonts w:ascii="Georgia" w:hAnsi="Georgia"/>
          <w:color w:val="333333"/>
          <w:sz w:val="20"/>
          <w:szCs w:val="20"/>
        </w:rPr>
        <w:t>as being the same distance away and on the same side of 0, hence the corresponding tail area is doubled.</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0"/>
          <w:szCs w:val="20"/>
        </w:rPr>
      </w:pPr>
    </w:p>
    <w:p w:rsidR="00AD77BB" w:rsidRDefault="00B45BA0">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Computational Definition of the Observed Significance of a Test of Hypotheses</w:t>
      </w:r>
    </w:p>
    <w:p w:rsidR="00AD77BB" w:rsidRDefault="00B45BA0">
      <w:pPr>
        <w:shd w:val="clear" w:color="auto" w:fill="F4F4F4"/>
        <w:spacing w:line="360" w:lineRule="auto"/>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w:t>
      </w:r>
      <w:r>
        <w:rPr>
          <w:rFonts w:ascii="Georgia" w:eastAsia="Times New Roman" w:hAnsi="Georgia" w:cs="Times New Roman"/>
          <w:b/>
          <w:bCs/>
          <w:color w:val="333333"/>
          <w:sz w:val="20"/>
          <w:szCs w:val="20"/>
        </w:rPr>
        <w:t>observed significance</w:t>
      </w:r>
      <w:r>
        <w:rPr>
          <w:rFonts w:ascii="Georgia" w:eastAsia="Times New Roman" w:hAnsi="Georgia" w:cs="Times New Roman"/>
          <w:color w:val="333333"/>
          <w:sz w:val="20"/>
          <w:szCs w:val="20"/>
        </w:rPr>
        <w:t> of a test of hypotheses is the area of the tail of the distribution cut off by the test statistic (times two in the case of a two-tailed test).</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EXAMPLE 6</w:t>
      </w:r>
    </w:p>
    <w:p w:rsidR="00AD77BB" w:rsidRDefault="00B45BA0">
      <w:pPr>
        <w:shd w:val="clear" w:color="auto" w:fill="E3EFF7"/>
        <w:spacing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observed significance of the test performed in </w:t>
      </w:r>
      <w:r>
        <w:rPr>
          <w:rFonts w:ascii="Calibri" w:eastAsia="Times New Roman" w:hAnsi="Calibri" w:cs="Times New Roman"/>
          <w:color w:val="2689C6"/>
          <w:sz w:val="20"/>
          <w:szCs w:val="20"/>
        </w:rPr>
        <w:t>Note 8.28 "Example 5"</w:t>
      </w:r>
      <w:r>
        <w:rPr>
          <w:rFonts w:ascii="Calibri" w:eastAsia="Times New Roman" w:hAnsi="Calibri" w:cs="Times New Roman"/>
          <w:color w:val="333333"/>
          <w:sz w:val="20"/>
          <w:szCs w:val="20"/>
        </w:rPr>
        <w:t>in </w:t>
      </w:r>
      <w:r>
        <w:rPr>
          <w:rFonts w:ascii="Calibri" w:eastAsia="Times New Roman" w:hAnsi="Calibri" w:cs="Times New Roman"/>
          <w:color w:val="2689C6"/>
          <w:sz w:val="20"/>
          <w:szCs w:val="20"/>
        </w:rPr>
        <w:t>Section 8.2 "Large Sample Tests for a Population Mean"</w:t>
      </w:r>
      <w:r>
        <w:rPr>
          <w:rFonts w:ascii="Calibri" w:eastAsia="Times New Roman" w:hAnsi="Calibri" w:cs="Times New Roman"/>
          <w:color w:val="333333"/>
          <w:sz w:val="20"/>
          <w:szCs w:val="20"/>
        </w:rPr>
        <w:t>.</w:t>
      </w:r>
    </w:p>
    <w:p w:rsidR="00AD77BB" w:rsidRDefault="00B45BA0">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Solution:</w:t>
      </w:r>
    </w:p>
    <w:p w:rsidR="00AD77BB" w:rsidRDefault="00AD77BB">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p>
    <w:p w:rsidR="00AD77BB" w:rsidRDefault="00B45BA0">
      <w:pPr>
        <w:shd w:val="clear" w:color="auto" w:fill="E3EFF7"/>
        <w:spacing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value of the test statistic was </w:t>
      </w:r>
      <w:r>
        <w:rPr>
          <w:rFonts w:ascii="Calibri" w:eastAsia="Times New Roman" w:hAnsi="Calibri" w:cs="Times New Roman"/>
          <w:i/>
          <w:iCs/>
          <w:color w:val="333333"/>
          <w:sz w:val="20"/>
          <w:szCs w:val="20"/>
        </w:rPr>
        <w:t>z</w:t>
      </w:r>
      <w:r>
        <w:rPr>
          <w:rFonts w:ascii="Calibri" w:eastAsia="Times New Roman" w:hAnsi="Calibri" w:cs="Times New Roman"/>
          <w:color w:val="333333"/>
          <w:sz w:val="20"/>
          <w:szCs w:val="20"/>
        </w:rPr>
        <w:t> = 2.490, which by </w:t>
      </w:r>
      <w:r>
        <w:rPr>
          <w:rFonts w:ascii="Calibri" w:eastAsia="Times New Roman" w:hAnsi="Calibri" w:cs="Times New Roman"/>
          <w:color w:val="2689C6"/>
          <w:sz w:val="20"/>
          <w:szCs w:val="20"/>
        </w:rPr>
        <w:t>Figure 12.2 "Cumulative Normal Probability"</w:t>
      </w:r>
      <w:r>
        <w:rPr>
          <w:rFonts w:ascii="Calibri" w:eastAsia="Times New Roman" w:hAnsi="Calibri" w:cs="Times New Roman"/>
          <w:color w:val="333333"/>
          <w:sz w:val="20"/>
          <w:szCs w:val="20"/>
        </w:rPr>
        <w:t> cuts off a tail of area 0.0064, as shown in </w:t>
      </w:r>
      <w:r>
        <w:rPr>
          <w:rFonts w:ascii="Calibri" w:eastAsia="Times New Roman" w:hAnsi="Calibri" w:cs="Times New Roman"/>
          <w:color w:val="2689C6"/>
          <w:sz w:val="20"/>
          <w:szCs w:val="20"/>
        </w:rPr>
        <w:t>Figure 8.7 "Area of the Tail for "</w:t>
      </w:r>
      <w:r>
        <w:rPr>
          <w:rFonts w:ascii="Calibri" w:eastAsia="Times New Roman" w:hAnsi="Calibri" w:cs="Times New Roman"/>
          <w:color w:val="333333"/>
          <w:sz w:val="20"/>
          <w:szCs w:val="20"/>
        </w:rPr>
        <w:t>. Since the test was two-tailed, the observed significance is </w:t>
      </w:r>
      <w:r>
        <w:rPr>
          <w:rFonts w:ascii="MathJax_Main" w:eastAsia="Times New Roman" w:hAnsi="MathJax_Main" w:cs="Times New Roman"/>
          <w:b/>
          <w:color w:val="333333"/>
          <w:sz w:val="15"/>
          <w:szCs w:val="15"/>
        </w:rPr>
        <w:t>2×0.0064=0.0128.</w:t>
      </w:r>
    </w:p>
    <w:p w:rsidR="00AD77BB" w:rsidRDefault="00AD77BB">
      <w:pPr>
        <w:pStyle w:val="Title8"/>
        <w:shd w:val="clear" w:color="auto" w:fill="E3EFF7"/>
        <w:spacing w:before="0" w:beforeAutospacing="0" w:after="0" w:afterAutospacing="0" w:line="439" w:lineRule="atLeast"/>
        <w:ind w:left="300" w:right="375"/>
        <w:textAlignment w:val="baseline"/>
        <w:rPr>
          <w:rStyle w:val="title-prefix"/>
          <w:i/>
          <w:iCs/>
          <w:color w:val="000000"/>
          <w:sz w:val="18"/>
          <w:szCs w:val="18"/>
        </w:rPr>
      </w:pPr>
    </w:p>
    <w:p w:rsidR="00AD77BB" w:rsidRDefault="00AD77BB">
      <w:pPr>
        <w:pStyle w:val="Title8"/>
        <w:shd w:val="clear" w:color="auto" w:fill="E3EFF7"/>
        <w:spacing w:before="0" w:beforeAutospacing="0" w:after="0" w:afterAutospacing="0" w:line="439" w:lineRule="atLeast"/>
        <w:ind w:left="300" w:right="375"/>
        <w:textAlignment w:val="baseline"/>
        <w:rPr>
          <w:rStyle w:val="title-prefix"/>
          <w:rFonts w:ascii="Calibri" w:hAnsi="Calibri"/>
          <w:i/>
          <w:iCs/>
          <w:color w:val="000000"/>
          <w:sz w:val="18"/>
          <w:szCs w:val="18"/>
        </w:rPr>
      </w:pPr>
    </w:p>
    <w:p w:rsidR="00AD77BB" w:rsidRDefault="00AD77BB">
      <w:pPr>
        <w:pStyle w:val="Title8"/>
        <w:shd w:val="clear" w:color="auto" w:fill="E3EFF7"/>
        <w:spacing w:before="0" w:beforeAutospacing="0" w:after="0" w:afterAutospacing="0" w:line="439" w:lineRule="atLeast"/>
        <w:ind w:left="300" w:right="375"/>
        <w:textAlignment w:val="baseline"/>
        <w:rPr>
          <w:rStyle w:val="title-prefix"/>
          <w:rFonts w:ascii="Calibri" w:hAnsi="Calibri"/>
          <w:i/>
          <w:iCs/>
          <w:color w:val="000000"/>
          <w:sz w:val="18"/>
          <w:szCs w:val="18"/>
        </w:rPr>
      </w:pPr>
    </w:p>
    <w:p w:rsidR="00AD77BB" w:rsidRDefault="00AD77BB">
      <w:pPr>
        <w:pStyle w:val="Title8"/>
        <w:shd w:val="clear" w:color="auto" w:fill="E3EFF7"/>
        <w:spacing w:before="0" w:beforeAutospacing="0" w:after="0" w:afterAutospacing="0" w:line="439" w:lineRule="atLeast"/>
        <w:ind w:left="300" w:right="375"/>
        <w:textAlignment w:val="baseline"/>
        <w:rPr>
          <w:rStyle w:val="title-prefix"/>
          <w:rFonts w:ascii="Calibri" w:hAnsi="Calibri"/>
          <w:i/>
          <w:iCs/>
          <w:color w:val="000000"/>
          <w:sz w:val="18"/>
          <w:szCs w:val="18"/>
        </w:rPr>
      </w:pPr>
    </w:p>
    <w:p w:rsidR="00AD77BB" w:rsidRDefault="00B45BA0">
      <w:pPr>
        <w:pStyle w:val="Title8"/>
        <w:shd w:val="clear" w:color="auto" w:fill="E3EFF7"/>
        <w:spacing w:before="0" w:beforeAutospacing="0" w:after="0" w:afterAutospacing="0" w:line="439" w:lineRule="atLeast"/>
        <w:ind w:left="300" w:right="375"/>
        <w:textAlignment w:val="baseline"/>
        <w:rPr>
          <w:color w:val="BB9966"/>
          <w:sz w:val="19"/>
          <w:szCs w:val="19"/>
        </w:rPr>
      </w:pPr>
      <w:r>
        <w:rPr>
          <w:rStyle w:val="title-prefix"/>
          <w:rFonts w:ascii="Calibri" w:hAnsi="Calibri"/>
          <w:i/>
          <w:iCs/>
          <w:color w:val="000000"/>
          <w:sz w:val="18"/>
          <w:szCs w:val="18"/>
        </w:rPr>
        <w:lastRenderedPageBreak/>
        <w:t>Figure 8.7</w:t>
      </w:r>
      <w:r>
        <w:rPr>
          <w:rFonts w:ascii="Calibri" w:hAnsi="Calibri"/>
          <w:i/>
          <w:iCs/>
          <w:color w:val="BB9966"/>
          <w:sz w:val="19"/>
          <w:szCs w:val="19"/>
        </w:rPr>
        <w:t>Area of the Tail for</w:t>
      </w:r>
      <w:r>
        <w:rPr>
          <w:rFonts w:ascii="Calibri" w:hAnsi="Calibri"/>
          <w:i/>
          <w:iCs/>
          <w:color w:val="2689C6"/>
          <w:sz w:val="19"/>
          <w:szCs w:val="19"/>
        </w:rPr>
        <w:t>Note 8.34 "Example 6"</w:t>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hAnsi="Calibri"/>
          <w:noProof/>
          <w:color w:val="2689C6"/>
          <w:sz w:val="23"/>
          <w:szCs w:val="23"/>
          <w:shd w:val="clear" w:color="auto" w:fill="E3EFF7"/>
        </w:rPr>
        <w:drawing>
          <wp:inline distT="0" distB="0" distL="0" distR="0" wp14:anchorId="62527F5A" wp14:editId="11EC854D">
            <wp:extent cx="4476750" cy="2828925"/>
            <wp:effectExtent l="0" t="0" r="0" b="9525"/>
            <wp:docPr id="270" name="Picture 285" descr="http://images.flatworldknowledge.com/shafer/shafer-fig08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images.flatworldknowledge.com/shafer/shafer-fig08_007.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476750" cy="2828925"/>
                    </a:xfrm>
                    <a:prstGeom prst="rect">
                      <a:avLst/>
                    </a:prstGeom>
                    <a:noFill/>
                    <a:ln>
                      <a:noFill/>
                    </a:ln>
                  </pic:spPr>
                </pic:pic>
              </a:graphicData>
            </a:graphic>
          </wp:inline>
        </w:drawing>
      </w:r>
    </w:p>
    <w:p w:rsidR="00AD77BB" w:rsidRDefault="00B45BA0">
      <w:pPr>
        <w:pStyle w:val="Heading2"/>
        <w:shd w:val="clear" w:color="auto" w:fill="FFFFFF"/>
        <w:spacing w:before="0" w:line="439" w:lineRule="atLeast"/>
        <w:textAlignment w:val="baseline"/>
        <w:rPr>
          <w:rFonts w:ascii="Calibri" w:hAnsi="Calibri"/>
          <w:color w:val="333333"/>
          <w:sz w:val="29"/>
          <w:szCs w:val="29"/>
        </w:rPr>
      </w:pPr>
      <w:r>
        <w:rPr>
          <w:rFonts w:ascii="Calibri" w:hAnsi="Calibri"/>
          <w:color w:val="333333"/>
          <w:sz w:val="29"/>
          <w:szCs w:val="29"/>
        </w:rPr>
        <w:t>The</w:t>
      </w:r>
      <w:r>
        <w:rPr>
          <w:rStyle w:val="apple-converted-space"/>
          <w:rFonts w:ascii="Calibri" w:hAnsi="Calibri"/>
          <w:color w:val="333333"/>
          <w:sz w:val="29"/>
          <w:szCs w:val="29"/>
        </w:rPr>
        <w:t> </w:t>
      </w:r>
      <w:r>
        <w:rPr>
          <w:rStyle w:val="Emphasis"/>
          <w:rFonts w:ascii="Calibri" w:hAnsi="Calibri"/>
          <w:color w:val="333333"/>
          <w:sz w:val="27"/>
          <w:szCs w:val="27"/>
        </w:rPr>
        <w:t>p</w:t>
      </w:r>
      <w:r>
        <w:rPr>
          <w:rFonts w:ascii="Calibri" w:hAnsi="Calibri"/>
          <w:color w:val="333333"/>
          <w:sz w:val="29"/>
          <w:szCs w:val="29"/>
        </w:rPr>
        <w:t>-value Approach to Hypothesis Testing</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w:t>
      </w:r>
      <w:r>
        <w:rPr>
          <w:rStyle w:val="apple-converted-space"/>
          <w:rFonts w:ascii="Georgia" w:hAnsi="Georgia"/>
          <w:color w:val="333333"/>
          <w:sz w:val="21"/>
          <w:szCs w:val="21"/>
        </w:rPr>
        <w:t> </w:t>
      </w:r>
      <w:r>
        <w:rPr>
          <w:rFonts w:ascii="Georgia" w:eastAsiaTheme="majorEastAsia" w:hAnsi="Georgia"/>
          <w:color w:val="2689C6"/>
          <w:sz w:val="21"/>
          <w:szCs w:val="21"/>
        </w:rPr>
        <w:t>Note 8.27 "Example 4"</w:t>
      </w:r>
      <w:r>
        <w:rPr>
          <w:rStyle w:val="apple-converted-space"/>
          <w:rFonts w:ascii="Georgia" w:hAnsi="Georgia"/>
          <w:color w:val="333333"/>
          <w:sz w:val="21"/>
          <w:szCs w:val="21"/>
        </w:rPr>
        <w:t> </w:t>
      </w:r>
      <w:r>
        <w:rPr>
          <w:rFonts w:ascii="Georgia" w:hAnsi="Georgia"/>
          <w:color w:val="333333"/>
          <w:sz w:val="21"/>
          <w:szCs w:val="21"/>
        </w:rPr>
        <w:t>in</w:t>
      </w:r>
      <w:r>
        <w:rPr>
          <w:rStyle w:val="apple-converted-space"/>
          <w:rFonts w:ascii="Georgia" w:hAnsi="Georgia"/>
          <w:color w:val="333333"/>
          <w:sz w:val="21"/>
          <w:szCs w:val="21"/>
        </w:rPr>
        <w:t> </w:t>
      </w:r>
      <w:r>
        <w:rPr>
          <w:rFonts w:ascii="Georgia" w:eastAsiaTheme="majorEastAsia" w:hAnsi="Georgia"/>
          <w:color w:val="2689C6"/>
          <w:sz w:val="21"/>
          <w:szCs w:val="21"/>
        </w:rPr>
        <w:t>Section 8.2 "Large Sample Tests for a Population Mean"</w:t>
      </w:r>
      <w:r>
        <w:rPr>
          <w:rStyle w:val="apple-converted-space"/>
          <w:rFonts w:ascii="Georgia" w:hAnsi="Georgia"/>
          <w:color w:val="333333"/>
          <w:sz w:val="21"/>
          <w:szCs w:val="21"/>
        </w:rPr>
        <w:t> </w:t>
      </w:r>
      <w:r>
        <w:rPr>
          <w:rFonts w:ascii="Georgia" w:hAnsi="Georgia"/>
          <w:color w:val="333333"/>
          <w:sz w:val="21"/>
          <w:szCs w:val="21"/>
        </w:rPr>
        <w:t>the test was performed at the 5% level of significance: the definition of “rare” event was probability</w:t>
      </w:r>
      <w:r>
        <w:rPr>
          <w:rStyle w:val="apple-converted-space"/>
          <w:rFonts w:ascii="Georgia" w:hAnsi="Georgia"/>
          <w:color w:val="333333"/>
          <w:sz w:val="21"/>
          <w:szCs w:val="21"/>
        </w:rPr>
        <w:t> </w:t>
      </w:r>
      <w:r>
        <w:rPr>
          <w:rStyle w:val="mi"/>
          <w:rFonts w:ascii="MathJax_Math" w:hAnsi="MathJax_Math"/>
          <w:i/>
          <w:iCs/>
          <w:color w:val="333333"/>
          <w:sz w:val="18"/>
          <w:szCs w:val="18"/>
        </w:rPr>
        <w:t>α</w:t>
      </w:r>
      <w:r>
        <w:rPr>
          <w:rStyle w:val="mo"/>
          <w:rFonts w:ascii="MathJax_Main" w:hAnsi="MathJax_Main"/>
          <w:color w:val="333333"/>
          <w:sz w:val="18"/>
          <w:szCs w:val="18"/>
        </w:rPr>
        <w:t>=</w:t>
      </w:r>
      <w:r>
        <w:rPr>
          <w:rStyle w:val="mn"/>
          <w:rFonts w:ascii="MathJax_Main" w:hAnsi="MathJax_Main"/>
          <w:color w:val="333333"/>
          <w:sz w:val="18"/>
          <w:szCs w:val="18"/>
        </w:rPr>
        <w:t>0.05</w:t>
      </w:r>
      <w:r>
        <w:rPr>
          <w:rStyle w:val="apple-converted-space"/>
          <w:rFonts w:ascii="Georgia" w:hAnsi="Georgia"/>
          <w:color w:val="333333"/>
          <w:sz w:val="21"/>
          <w:szCs w:val="21"/>
        </w:rPr>
        <w:t> </w:t>
      </w:r>
      <w:r>
        <w:rPr>
          <w:rFonts w:ascii="Georgia" w:hAnsi="Georgia"/>
          <w:color w:val="333333"/>
          <w:sz w:val="21"/>
          <w:szCs w:val="21"/>
        </w:rPr>
        <w:t>or less. We saw above that the observed significance of the test was</w:t>
      </w:r>
      <w:r>
        <w:rPr>
          <w:rStyle w:val="apple-converted-space"/>
          <w:rFonts w:ascii="Georgia" w:hAnsi="Georgia"/>
          <w:color w:val="333333"/>
          <w:sz w:val="21"/>
          <w:szCs w:val="21"/>
        </w:rPr>
        <w:t> </w:t>
      </w:r>
      <w:r>
        <w:rPr>
          <w:rStyle w:val="Emphasis"/>
          <w:rFonts w:ascii="Georgia" w:hAnsi="Georgia"/>
          <w:color w:val="333333"/>
          <w:sz w:val="20"/>
          <w:szCs w:val="20"/>
        </w:rPr>
        <w:t>p</w:t>
      </w:r>
      <w:r>
        <w:rPr>
          <w:rStyle w:val="apple-converted-space"/>
          <w:rFonts w:ascii="Georgia" w:hAnsi="Georgia"/>
          <w:color w:val="333333"/>
          <w:sz w:val="21"/>
          <w:szCs w:val="21"/>
        </w:rPr>
        <w:t> </w:t>
      </w:r>
      <w:r>
        <w:rPr>
          <w:rFonts w:ascii="Georgia" w:hAnsi="Georgia"/>
          <w:color w:val="333333"/>
          <w:sz w:val="21"/>
          <w:szCs w:val="21"/>
        </w:rPr>
        <w:t>= 0.0294 or about 3%. Since</w:t>
      </w:r>
      <w:r>
        <w:rPr>
          <w:rStyle w:val="apple-converted-space"/>
          <w:rFonts w:ascii="Georgia" w:hAnsi="Georgia"/>
          <w:color w:val="333333"/>
          <w:sz w:val="21"/>
          <w:szCs w:val="21"/>
        </w:rPr>
        <w:t> </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n"/>
          <w:rFonts w:ascii="MathJax_Main" w:hAnsi="MathJax_Main"/>
          <w:b/>
          <w:color w:val="333333"/>
          <w:sz w:val="18"/>
          <w:szCs w:val="18"/>
        </w:rPr>
        <w:t>0.0294</w:t>
      </w:r>
      <w:r>
        <w:rPr>
          <w:rStyle w:val="mo"/>
          <w:rFonts w:ascii="MathJax_Main" w:hAnsi="MathJax_Main"/>
          <w:b/>
          <w:color w:val="333333"/>
          <w:sz w:val="18"/>
          <w:szCs w:val="18"/>
        </w:rPr>
        <w:t>&lt;</w:t>
      </w:r>
      <w:r>
        <w:rPr>
          <w:rStyle w:val="mn"/>
          <w:rFonts w:ascii="MathJax_Main" w:hAnsi="MathJax_Main"/>
          <w:b/>
          <w:color w:val="333333"/>
          <w:sz w:val="18"/>
          <w:szCs w:val="18"/>
        </w:rPr>
        <w:t>0.05</w:t>
      </w:r>
      <w:r>
        <w:rPr>
          <w:rStyle w:val="mo"/>
          <w:rFonts w:ascii="MathJax_Main" w:hAnsi="MathJax_Main"/>
          <w:color w:val="333333"/>
          <w:sz w:val="18"/>
          <w:szCs w:val="18"/>
        </w:rPr>
        <w:t>=</w:t>
      </w:r>
      <w:r>
        <w:rPr>
          <w:rStyle w:val="mi"/>
          <w:rFonts w:ascii="MathJax_Math" w:hAnsi="MathJax_Math"/>
          <w:i/>
          <w:iCs/>
          <w:color w:val="333333"/>
          <w:sz w:val="18"/>
          <w:szCs w:val="18"/>
        </w:rPr>
        <w:t>α</w:t>
      </w:r>
      <w:r>
        <w:rPr>
          <w:rStyle w:val="apple-converted-space"/>
          <w:rFonts w:ascii="Georgia" w:hAnsi="Georgia"/>
          <w:color w:val="333333"/>
          <w:sz w:val="21"/>
          <w:szCs w:val="21"/>
        </w:rPr>
        <w:t> </w:t>
      </w:r>
      <w:r>
        <w:rPr>
          <w:rFonts w:ascii="Georgia" w:hAnsi="Georgia"/>
          <w:color w:val="333333"/>
          <w:sz w:val="21"/>
          <w:szCs w:val="21"/>
        </w:rPr>
        <w:t>(or 3% is less than 5%), the decision turned out to be to reject: what was observed was sufficiently unlikely to qualify as an event so rare as to be regarded as (practically) incompatible with</w:t>
      </w:r>
      <w:r>
        <w:rPr>
          <w:rStyle w:val="apple-converted-space"/>
          <w:rFonts w:ascii="Georgia" w:hAnsi="Georgia"/>
          <w:color w:val="333333"/>
          <w:sz w:val="21"/>
          <w:szCs w:val="21"/>
        </w:rPr>
        <w:t> </w:t>
      </w:r>
      <w:r>
        <w:rPr>
          <w:rStyle w:val="Emphasis"/>
          <w:rFonts w:ascii="Georgia" w:hAnsi="Georgia"/>
          <w:color w:val="333333"/>
          <w:sz w:val="20"/>
          <w:szCs w:val="20"/>
        </w:rPr>
        <w:t>H</w:t>
      </w:r>
      <w:r>
        <w:rPr>
          <w:rFonts w:ascii="Georgia" w:hAnsi="Georgia"/>
          <w:color w:val="333333"/>
          <w:sz w:val="15"/>
          <w:szCs w:val="15"/>
          <w:vertAlign w:val="subscript"/>
        </w:rPr>
        <w:t>0</w:t>
      </w:r>
      <w:r>
        <w:rPr>
          <w:rFonts w:ascii="Georgia" w:hAnsi="Georgia"/>
          <w:color w:val="333333"/>
          <w:sz w:val="21"/>
          <w:szCs w:val="21"/>
        </w:rPr>
        <w:t>.</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w:t>
      </w:r>
      <w:r>
        <w:rPr>
          <w:rStyle w:val="apple-converted-space"/>
          <w:rFonts w:ascii="Georgia" w:hAnsi="Georgia"/>
          <w:color w:val="333333"/>
          <w:sz w:val="21"/>
          <w:szCs w:val="21"/>
        </w:rPr>
        <w:t> </w:t>
      </w:r>
      <w:r>
        <w:rPr>
          <w:rFonts w:ascii="Georgia" w:eastAsiaTheme="majorEastAsia" w:hAnsi="Georgia"/>
          <w:color w:val="2689C6"/>
          <w:sz w:val="21"/>
          <w:szCs w:val="21"/>
        </w:rPr>
        <w:t>Note 8.28 "Example 5"</w:t>
      </w:r>
      <w:r>
        <w:rPr>
          <w:rStyle w:val="apple-converted-space"/>
          <w:rFonts w:ascii="Georgia" w:hAnsi="Georgia"/>
          <w:color w:val="333333"/>
          <w:sz w:val="21"/>
          <w:szCs w:val="21"/>
        </w:rPr>
        <w:t> </w:t>
      </w:r>
      <w:r>
        <w:rPr>
          <w:rFonts w:ascii="Georgia" w:hAnsi="Georgia"/>
          <w:color w:val="333333"/>
          <w:sz w:val="21"/>
          <w:szCs w:val="21"/>
        </w:rPr>
        <w:t>in</w:t>
      </w:r>
      <w:r>
        <w:rPr>
          <w:rStyle w:val="apple-converted-space"/>
          <w:rFonts w:ascii="Georgia" w:hAnsi="Georgia"/>
          <w:color w:val="333333"/>
          <w:sz w:val="21"/>
          <w:szCs w:val="21"/>
        </w:rPr>
        <w:t> </w:t>
      </w:r>
      <w:r>
        <w:rPr>
          <w:rFonts w:ascii="Georgia" w:eastAsiaTheme="majorEastAsia" w:hAnsi="Georgia"/>
          <w:color w:val="2689C6"/>
          <w:sz w:val="21"/>
          <w:szCs w:val="21"/>
        </w:rPr>
        <w:t>Section 8.2 "Large Sample Tests for a Population Mean"</w:t>
      </w:r>
      <w:r>
        <w:rPr>
          <w:rStyle w:val="apple-converted-space"/>
          <w:rFonts w:ascii="Georgia" w:hAnsi="Georgia"/>
          <w:color w:val="333333"/>
          <w:sz w:val="21"/>
          <w:szCs w:val="21"/>
        </w:rPr>
        <w:t> </w:t>
      </w:r>
      <w:r>
        <w:rPr>
          <w:rFonts w:ascii="Georgia" w:hAnsi="Georgia"/>
          <w:color w:val="333333"/>
          <w:sz w:val="21"/>
          <w:szCs w:val="21"/>
        </w:rPr>
        <w:t>the test was performed at the 1% level of significance: the definition of “rare” event was probability</w:t>
      </w:r>
      <w:r>
        <w:rPr>
          <w:rStyle w:val="apple-converted-space"/>
          <w:rFonts w:ascii="Georgia" w:hAnsi="Georgia"/>
          <w:color w:val="333333"/>
          <w:sz w:val="21"/>
          <w:szCs w:val="21"/>
        </w:rPr>
        <w:t> </w:t>
      </w:r>
      <w:r>
        <w:rPr>
          <w:rStyle w:val="mi"/>
          <w:rFonts w:ascii="MathJax_Math" w:hAnsi="MathJax_Math"/>
          <w:i/>
          <w:iCs/>
          <w:color w:val="333333"/>
          <w:sz w:val="18"/>
          <w:szCs w:val="18"/>
        </w:rPr>
        <w:t>α</w:t>
      </w:r>
      <w:r>
        <w:rPr>
          <w:rStyle w:val="mo"/>
          <w:rFonts w:ascii="MathJax_Main" w:hAnsi="MathJax_Main"/>
          <w:color w:val="333333"/>
          <w:sz w:val="18"/>
          <w:szCs w:val="18"/>
        </w:rPr>
        <w:t>=</w:t>
      </w:r>
      <w:r>
        <w:rPr>
          <w:rStyle w:val="mn"/>
          <w:rFonts w:ascii="MathJax_Main" w:hAnsi="MathJax_Main"/>
          <w:color w:val="333333"/>
          <w:sz w:val="18"/>
          <w:szCs w:val="18"/>
        </w:rPr>
        <w:t>0.01</w:t>
      </w:r>
      <w:r>
        <w:rPr>
          <w:rStyle w:val="apple-converted-space"/>
          <w:rFonts w:ascii="Georgia" w:hAnsi="Georgia"/>
          <w:color w:val="333333"/>
          <w:sz w:val="21"/>
          <w:szCs w:val="21"/>
        </w:rPr>
        <w:t> </w:t>
      </w:r>
      <w:r>
        <w:rPr>
          <w:rFonts w:ascii="Georgia" w:hAnsi="Georgia"/>
          <w:color w:val="333333"/>
          <w:sz w:val="21"/>
          <w:szCs w:val="21"/>
        </w:rPr>
        <w:t>or less. The observed significance of the test was computed in</w:t>
      </w:r>
      <w:r>
        <w:rPr>
          <w:rStyle w:val="apple-converted-space"/>
          <w:rFonts w:ascii="Georgia" w:hAnsi="Georgia"/>
          <w:color w:val="333333"/>
          <w:sz w:val="21"/>
          <w:szCs w:val="21"/>
        </w:rPr>
        <w:t> </w:t>
      </w:r>
      <w:r>
        <w:rPr>
          <w:rFonts w:ascii="Georgia" w:eastAsiaTheme="majorEastAsia" w:hAnsi="Georgia"/>
          <w:color w:val="2689C6"/>
          <w:sz w:val="21"/>
          <w:szCs w:val="21"/>
        </w:rPr>
        <w:t>Note 8.34 "Example 6"</w:t>
      </w:r>
      <w:r>
        <w:rPr>
          <w:rStyle w:val="apple-converted-space"/>
          <w:rFonts w:ascii="Georgia" w:hAnsi="Georgia"/>
          <w:color w:val="333333"/>
          <w:sz w:val="21"/>
          <w:szCs w:val="21"/>
        </w:rPr>
        <w:t> </w:t>
      </w:r>
      <w:r>
        <w:rPr>
          <w:rFonts w:ascii="Georgia" w:hAnsi="Georgia"/>
          <w:color w:val="333333"/>
          <w:sz w:val="21"/>
          <w:szCs w:val="21"/>
        </w:rPr>
        <w:t>as</w:t>
      </w:r>
      <w:r>
        <w:rPr>
          <w:rStyle w:val="apple-converted-space"/>
          <w:rFonts w:ascii="Georgia" w:hAnsi="Georgia"/>
          <w:color w:val="333333"/>
          <w:sz w:val="21"/>
          <w:szCs w:val="21"/>
        </w:rPr>
        <w:t> </w:t>
      </w:r>
      <w:r>
        <w:rPr>
          <w:rStyle w:val="Emphasis"/>
          <w:rFonts w:ascii="Georgia" w:hAnsi="Georgia"/>
          <w:color w:val="333333"/>
          <w:sz w:val="20"/>
          <w:szCs w:val="20"/>
        </w:rPr>
        <w:t>p</w:t>
      </w:r>
      <w:r>
        <w:rPr>
          <w:rStyle w:val="apple-converted-space"/>
          <w:rFonts w:ascii="Georgia" w:hAnsi="Georgia"/>
          <w:color w:val="333333"/>
          <w:sz w:val="21"/>
          <w:szCs w:val="21"/>
        </w:rPr>
        <w:t> </w:t>
      </w:r>
      <w:r>
        <w:rPr>
          <w:rFonts w:ascii="Georgia" w:hAnsi="Georgia"/>
          <w:color w:val="333333"/>
          <w:sz w:val="21"/>
          <w:szCs w:val="21"/>
        </w:rPr>
        <w:t>= 0.0128 or about 1.3%. Since</w:t>
      </w:r>
      <w:r>
        <w:rPr>
          <w:rStyle w:val="apple-converted-space"/>
          <w:rFonts w:ascii="Georgia" w:hAnsi="Georgia"/>
          <w:color w:val="333333"/>
          <w:sz w:val="21"/>
          <w:szCs w:val="21"/>
        </w:rPr>
        <w:t> </w:t>
      </w:r>
      <w:r>
        <w:rPr>
          <w:rStyle w:val="mi"/>
          <w:rFonts w:ascii="MathJax_Math" w:hAnsi="MathJax_Math"/>
          <w:b/>
          <w:i/>
          <w:iCs/>
          <w:color w:val="333333"/>
          <w:sz w:val="18"/>
          <w:szCs w:val="18"/>
        </w:rPr>
        <w:t>p</w:t>
      </w:r>
      <w:r>
        <w:rPr>
          <w:rStyle w:val="mo"/>
          <w:rFonts w:ascii="MathJax_Main" w:hAnsi="MathJax_Main"/>
          <w:b/>
          <w:color w:val="333333"/>
          <w:sz w:val="18"/>
          <w:szCs w:val="18"/>
        </w:rPr>
        <w:t>=</w:t>
      </w:r>
      <w:r>
        <w:rPr>
          <w:rStyle w:val="mn"/>
          <w:rFonts w:ascii="MathJax_Main" w:hAnsi="MathJax_Main"/>
          <w:b/>
          <w:color w:val="333333"/>
          <w:sz w:val="18"/>
          <w:szCs w:val="18"/>
        </w:rPr>
        <w:t>0.0128</w:t>
      </w:r>
      <w:r>
        <w:rPr>
          <w:rStyle w:val="mo"/>
          <w:rFonts w:ascii="MathJax_Main" w:hAnsi="MathJax_Main"/>
          <w:b/>
          <w:color w:val="333333"/>
          <w:sz w:val="18"/>
          <w:szCs w:val="18"/>
        </w:rPr>
        <w:t>&gt;</w:t>
      </w:r>
      <w:r>
        <w:rPr>
          <w:rStyle w:val="mn"/>
          <w:rFonts w:ascii="MathJax_Main" w:hAnsi="MathJax_Main"/>
          <w:b/>
          <w:color w:val="333333"/>
          <w:sz w:val="18"/>
          <w:szCs w:val="18"/>
        </w:rPr>
        <w:t>0.01</w:t>
      </w:r>
      <w:r>
        <w:rPr>
          <w:rStyle w:val="mo"/>
          <w:rFonts w:ascii="MathJax_Main" w:hAnsi="MathJax_Main"/>
          <w:color w:val="333333"/>
          <w:sz w:val="18"/>
          <w:szCs w:val="18"/>
        </w:rPr>
        <w:t>=</w:t>
      </w:r>
      <w:r>
        <w:rPr>
          <w:rStyle w:val="mi"/>
          <w:rFonts w:ascii="MathJax_Math" w:hAnsi="MathJax_Math"/>
          <w:i/>
          <w:iCs/>
          <w:color w:val="333333"/>
          <w:sz w:val="18"/>
          <w:szCs w:val="18"/>
        </w:rPr>
        <w:t>α</w:t>
      </w:r>
      <w:r>
        <w:rPr>
          <w:rStyle w:val="apple-converted-space"/>
          <w:rFonts w:ascii="Georgia" w:hAnsi="Georgia"/>
          <w:color w:val="333333"/>
          <w:sz w:val="21"/>
          <w:szCs w:val="21"/>
        </w:rPr>
        <w:t> </w:t>
      </w:r>
      <w:r>
        <w:rPr>
          <w:rFonts w:ascii="Georgia" w:hAnsi="Georgia"/>
          <w:color w:val="333333"/>
          <w:sz w:val="21"/>
          <w:szCs w:val="21"/>
        </w:rPr>
        <w:t>(or 1.3% is greater than 1%), the decision turned out to be not to reject. The event observed was unlikely, but not sufficiently unlikely to lead to rejection of the null hypothesis.</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reasoning just presented is the basis for a slightly different but equivalent formulation of the hypothesis testing process. The first three steps are the same as before, but instead of using</w:t>
      </w:r>
      <w:r>
        <w:rPr>
          <w:rStyle w:val="apple-converted-space"/>
          <w:rFonts w:ascii="Georgia" w:hAnsi="Georgia"/>
          <w:color w:val="333333"/>
          <w:sz w:val="21"/>
          <w:szCs w:val="21"/>
        </w:rPr>
        <w:t> </w:t>
      </w:r>
      <w:r>
        <w:rPr>
          <w:rStyle w:val="mi"/>
          <w:rFonts w:ascii="MathJax_Math" w:hAnsi="MathJax_Math"/>
          <w:i/>
          <w:iCs/>
          <w:color w:val="333333"/>
          <w:sz w:val="18"/>
          <w:szCs w:val="18"/>
        </w:rPr>
        <w:t>α</w:t>
      </w:r>
      <w:r>
        <w:rPr>
          <w:rStyle w:val="apple-converted-space"/>
          <w:rFonts w:ascii="Georgia" w:hAnsi="Georgia"/>
          <w:color w:val="333333"/>
          <w:sz w:val="21"/>
          <w:szCs w:val="21"/>
        </w:rPr>
        <w:t> </w:t>
      </w:r>
      <w:r>
        <w:rPr>
          <w:rFonts w:ascii="Georgia" w:hAnsi="Georgia"/>
          <w:color w:val="333333"/>
          <w:sz w:val="21"/>
          <w:szCs w:val="21"/>
        </w:rPr>
        <w:t>to compute critical values and construct a rejection region, one computes the</w:t>
      </w:r>
      <w:r>
        <w:rPr>
          <w:rStyle w:val="apple-converted-space"/>
          <w:rFonts w:ascii="Georgia" w:hAnsi="Georgia"/>
          <w:color w:val="333333"/>
          <w:sz w:val="21"/>
          <w:szCs w:val="21"/>
        </w:rPr>
        <w:t> </w:t>
      </w:r>
      <w:r>
        <w:rPr>
          <w:rStyle w:val="Emphasis"/>
          <w:rFonts w:ascii="Georgia" w:hAnsi="Georgia"/>
          <w:color w:val="333333"/>
          <w:sz w:val="20"/>
          <w:szCs w:val="20"/>
        </w:rPr>
        <w:t>p</w:t>
      </w:r>
      <w:r>
        <w:rPr>
          <w:rFonts w:ascii="Georgia" w:hAnsi="Georgia"/>
          <w:color w:val="333333"/>
          <w:sz w:val="21"/>
          <w:szCs w:val="21"/>
        </w:rPr>
        <w:t>-value</w:t>
      </w:r>
      <w:r>
        <w:rPr>
          <w:rStyle w:val="apple-converted-space"/>
          <w:rFonts w:ascii="Georgia" w:hAnsi="Georgia"/>
          <w:color w:val="333333"/>
          <w:sz w:val="21"/>
          <w:szCs w:val="21"/>
        </w:rPr>
        <w:t> </w:t>
      </w:r>
      <w:r>
        <w:rPr>
          <w:rStyle w:val="Emphasis"/>
          <w:rFonts w:ascii="Georgia" w:hAnsi="Georgia"/>
          <w:color w:val="333333"/>
          <w:sz w:val="20"/>
          <w:szCs w:val="20"/>
        </w:rPr>
        <w:t>p</w:t>
      </w:r>
      <w:r>
        <w:rPr>
          <w:rStyle w:val="apple-converted-space"/>
          <w:rFonts w:ascii="Georgia" w:hAnsi="Georgia"/>
          <w:color w:val="333333"/>
          <w:sz w:val="21"/>
          <w:szCs w:val="21"/>
        </w:rPr>
        <w:t> </w:t>
      </w:r>
      <w:r>
        <w:rPr>
          <w:rFonts w:ascii="Georgia" w:hAnsi="Georgia"/>
          <w:color w:val="333333"/>
          <w:sz w:val="21"/>
          <w:szCs w:val="21"/>
        </w:rPr>
        <w:t>of the test and compares it to</w:t>
      </w:r>
      <w:r>
        <w:rPr>
          <w:rStyle w:val="apple-converted-space"/>
          <w:rFonts w:ascii="Georgia" w:hAnsi="Georgia"/>
          <w:color w:val="333333"/>
          <w:sz w:val="21"/>
          <w:szCs w:val="21"/>
        </w:rPr>
        <w:t> </w:t>
      </w:r>
      <w:r>
        <w:rPr>
          <w:rStyle w:val="mi"/>
          <w:rFonts w:ascii="MathJax_Math" w:hAnsi="MathJax_Math"/>
          <w:i/>
          <w:iCs/>
          <w:color w:val="333333"/>
          <w:sz w:val="18"/>
          <w:szCs w:val="18"/>
        </w:rPr>
        <w:t>α</w:t>
      </w:r>
      <w:r>
        <w:rPr>
          <w:rFonts w:ascii="Georgia" w:hAnsi="Georgia"/>
          <w:color w:val="333333"/>
          <w:sz w:val="21"/>
          <w:szCs w:val="21"/>
        </w:rPr>
        <w:t>, rejecting</w:t>
      </w:r>
      <w:r>
        <w:rPr>
          <w:rStyle w:val="apple-converted-space"/>
          <w:rFonts w:ascii="Georgia" w:hAnsi="Georgia"/>
          <w:color w:val="333333"/>
          <w:sz w:val="21"/>
          <w:szCs w:val="21"/>
        </w:rPr>
        <w:t> </w:t>
      </w:r>
      <w:r>
        <w:rPr>
          <w:rStyle w:val="Emphasis"/>
          <w:rFonts w:ascii="Georgia" w:hAnsi="Georgia"/>
          <w:color w:val="333333"/>
          <w:sz w:val="20"/>
          <w:szCs w:val="20"/>
        </w:rPr>
        <w:t>H</w:t>
      </w:r>
      <w:r>
        <w:rPr>
          <w:rFonts w:ascii="Georgia" w:hAnsi="Georgia"/>
          <w:color w:val="333333"/>
          <w:sz w:val="15"/>
          <w:szCs w:val="15"/>
          <w:vertAlign w:val="subscript"/>
        </w:rPr>
        <w:t>0</w:t>
      </w:r>
      <w:r>
        <w:rPr>
          <w:rStyle w:val="apple-converted-space"/>
          <w:rFonts w:ascii="Georgia" w:hAnsi="Georgia"/>
          <w:color w:val="333333"/>
          <w:sz w:val="21"/>
          <w:szCs w:val="21"/>
        </w:rPr>
        <w:t> </w:t>
      </w:r>
      <w:r>
        <w:rPr>
          <w:rFonts w:ascii="Georgia" w:hAnsi="Georgia"/>
          <w:color w:val="333333"/>
          <w:sz w:val="21"/>
          <w:szCs w:val="21"/>
        </w:rPr>
        <w:t>if</w:t>
      </w:r>
      <w:r>
        <w:rPr>
          <w:rStyle w:val="apple-converted-space"/>
          <w:rFonts w:ascii="Georgia" w:hAnsi="Georgia"/>
          <w:color w:val="333333"/>
          <w:sz w:val="21"/>
          <w:szCs w:val="21"/>
        </w:rPr>
        <w:t> </w:t>
      </w:r>
      <w:r>
        <w:rPr>
          <w:rStyle w:val="mi"/>
          <w:rFonts w:ascii="MathJax_Math" w:hAnsi="MathJax_Math"/>
          <w:i/>
          <w:iCs/>
          <w:color w:val="333333"/>
          <w:sz w:val="18"/>
          <w:szCs w:val="18"/>
        </w:rPr>
        <w:t>p</w:t>
      </w:r>
      <w:r>
        <w:rPr>
          <w:rStyle w:val="mo"/>
          <w:rFonts w:ascii="MathJax_Main" w:hAnsi="MathJax_Main"/>
          <w:color w:val="333333"/>
          <w:sz w:val="18"/>
          <w:szCs w:val="18"/>
        </w:rPr>
        <w:t>≤</w:t>
      </w:r>
      <w:r>
        <w:rPr>
          <w:rStyle w:val="mi"/>
          <w:rFonts w:ascii="MathJax_Math" w:hAnsi="MathJax_Math"/>
          <w:i/>
          <w:iCs/>
          <w:color w:val="333333"/>
          <w:sz w:val="18"/>
          <w:szCs w:val="18"/>
        </w:rPr>
        <w:t>α</w:t>
      </w:r>
      <w:r>
        <w:rPr>
          <w:rStyle w:val="apple-converted-space"/>
          <w:rFonts w:ascii="Georgia" w:hAnsi="Georgia"/>
          <w:color w:val="333333"/>
          <w:sz w:val="21"/>
          <w:szCs w:val="21"/>
        </w:rPr>
        <w:t> </w:t>
      </w:r>
      <w:r>
        <w:rPr>
          <w:rFonts w:ascii="Georgia" w:hAnsi="Georgia"/>
          <w:color w:val="333333"/>
          <w:sz w:val="21"/>
          <w:szCs w:val="21"/>
        </w:rPr>
        <w:t>and not rejecting if</w:t>
      </w:r>
      <w:r>
        <w:rPr>
          <w:rStyle w:val="apple-converted-space"/>
          <w:rFonts w:ascii="Georgia" w:hAnsi="Georgia"/>
          <w:color w:val="333333"/>
          <w:sz w:val="21"/>
          <w:szCs w:val="21"/>
        </w:rPr>
        <w:t> </w:t>
      </w:r>
      <w:r>
        <w:rPr>
          <w:rStyle w:val="mi"/>
          <w:rFonts w:ascii="MathJax_Math" w:hAnsi="MathJax_Math"/>
          <w:b/>
          <w:i/>
          <w:iCs/>
          <w:color w:val="333333"/>
          <w:sz w:val="18"/>
          <w:szCs w:val="18"/>
        </w:rPr>
        <w:t>p</w:t>
      </w:r>
      <w:r>
        <w:rPr>
          <w:rStyle w:val="mo"/>
          <w:rFonts w:ascii="MathJax_Main" w:hAnsi="MathJax_Main"/>
          <w:b/>
          <w:color w:val="333333"/>
          <w:sz w:val="18"/>
          <w:szCs w:val="18"/>
        </w:rPr>
        <w:t>&gt;</w:t>
      </w:r>
      <w:r>
        <w:rPr>
          <w:rStyle w:val="mi"/>
          <w:rFonts w:ascii="MathJax_Math" w:hAnsi="MathJax_Math"/>
          <w:b/>
          <w:i/>
          <w:iCs/>
          <w:color w:val="333333"/>
          <w:sz w:val="18"/>
          <w:szCs w:val="18"/>
        </w:rPr>
        <w:t>α</w:t>
      </w:r>
      <w:r>
        <w:rPr>
          <w:rStyle w:val="mo"/>
          <w:rFonts w:ascii="MathJax_Main" w:hAnsi="MathJax_Main"/>
          <w:b/>
          <w:color w:val="333333"/>
          <w:sz w:val="18"/>
          <w:szCs w:val="18"/>
        </w:rPr>
        <w:t>.</w:t>
      </w:r>
    </w:p>
    <w:p w:rsidR="00AD77BB" w:rsidRDefault="00AD77BB">
      <w:pPr>
        <w:spacing w:after="0" w:line="264" w:lineRule="atLeast"/>
        <w:textAlignment w:val="baseline"/>
        <w:outlineLvl w:val="2"/>
        <w:rPr>
          <w:rFonts w:ascii="Calibri" w:eastAsia="Times New Roman" w:hAnsi="Calibri" w:cs="Times New Roman"/>
          <w:b/>
          <w:bCs/>
          <w:color w:val="333333"/>
          <w:sz w:val="31"/>
          <w:szCs w:val="31"/>
        </w:rPr>
      </w:pPr>
    </w:p>
    <w:p w:rsidR="00AD77BB" w:rsidRDefault="00AD77BB">
      <w:pPr>
        <w:spacing w:after="0" w:line="264" w:lineRule="atLeast"/>
        <w:textAlignment w:val="baseline"/>
        <w:outlineLvl w:val="2"/>
        <w:rPr>
          <w:rFonts w:ascii="Calibri" w:eastAsia="Times New Roman" w:hAnsi="Calibri" w:cs="Times New Roman"/>
          <w:b/>
          <w:bCs/>
          <w:color w:val="333333"/>
          <w:sz w:val="31"/>
          <w:szCs w:val="31"/>
        </w:rPr>
      </w:pPr>
    </w:p>
    <w:p w:rsidR="00AD77BB" w:rsidRDefault="00B45BA0">
      <w:pPr>
        <w:shd w:val="clear" w:color="auto" w:fill="DAEEF3" w:themeFill="accent5" w:themeFillTint="33"/>
        <w:spacing w:after="0" w:line="264" w:lineRule="atLeast"/>
        <w:textAlignment w:val="baseline"/>
        <w:outlineLvl w:val="2"/>
        <w:rPr>
          <w:rFonts w:ascii="Calibri" w:eastAsia="Times New Roman" w:hAnsi="Calibri" w:cs="Times New Roman"/>
          <w:b/>
          <w:bCs/>
          <w:color w:val="333333"/>
          <w:sz w:val="31"/>
          <w:szCs w:val="31"/>
        </w:rPr>
      </w:pPr>
      <w:r>
        <w:rPr>
          <w:rFonts w:ascii="Calibri" w:eastAsia="Times New Roman" w:hAnsi="Calibri" w:cs="Times New Roman"/>
          <w:b/>
          <w:bCs/>
          <w:color w:val="333333"/>
          <w:sz w:val="31"/>
          <w:szCs w:val="31"/>
        </w:rPr>
        <w:lastRenderedPageBreak/>
        <w:t>Systematic Hypothesis Testing Procedure: </w:t>
      </w:r>
      <w:r>
        <w:rPr>
          <w:rFonts w:ascii="Calibri" w:eastAsia="Times New Roman" w:hAnsi="Calibri" w:cs="Times New Roman"/>
          <w:b/>
          <w:bCs/>
          <w:i/>
          <w:iCs/>
          <w:color w:val="333333"/>
          <w:sz w:val="30"/>
          <w:szCs w:val="30"/>
        </w:rPr>
        <w:t>p</w:t>
      </w:r>
      <w:r>
        <w:rPr>
          <w:rFonts w:ascii="Calibri" w:eastAsia="Times New Roman" w:hAnsi="Calibri" w:cs="Times New Roman"/>
          <w:b/>
          <w:bCs/>
          <w:color w:val="333333"/>
          <w:sz w:val="31"/>
          <w:szCs w:val="31"/>
        </w:rPr>
        <w:t>-Value Approach</w:t>
      </w:r>
    </w:p>
    <w:p w:rsidR="00AD77BB" w:rsidRDefault="00B45BA0">
      <w:pPr>
        <w:numPr>
          <w:ilvl w:val="0"/>
          <w:numId w:val="198"/>
        </w:numPr>
        <w:shd w:val="clear" w:color="auto" w:fill="DAEEF3" w:themeFill="accent5" w:themeFillTint="33"/>
        <w:spacing w:after="0"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Identify the null and alternative hypotheses.</w:t>
      </w:r>
    </w:p>
    <w:p w:rsidR="00AD77BB" w:rsidRDefault="00B45BA0">
      <w:pPr>
        <w:numPr>
          <w:ilvl w:val="0"/>
          <w:numId w:val="198"/>
        </w:numPr>
        <w:shd w:val="clear" w:color="auto" w:fill="DAEEF3" w:themeFill="accent5" w:themeFillTint="33"/>
        <w:spacing w:after="0"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Identify the relevant test statistic and its distribution.</w:t>
      </w:r>
    </w:p>
    <w:p w:rsidR="00AD77BB" w:rsidRDefault="00B45BA0">
      <w:pPr>
        <w:numPr>
          <w:ilvl w:val="0"/>
          <w:numId w:val="198"/>
        </w:numPr>
        <w:shd w:val="clear" w:color="auto" w:fill="DAEEF3" w:themeFill="accent5" w:themeFillTint="33"/>
        <w:spacing w:after="0"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Compute from the data the value of the test statistic.</w:t>
      </w:r>
    </w:p>
    <w:p w:rsidR="00AD77BB" w:rsidRDefault="00B45BA0">
      <w:pPr>
        <w:numPr>
          <w:ilvl w:val="0"/>
          <w:numId w:val="198"/>
        </w:numPr>
        <w:shd w:val="clear" w:color="auto" w:fill="DAEEF3" w:themeFill="accent5" w:themeFillTint="33"/>
        <w:spacing w:after="0"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Compute the </w:t>
      </w:r>
      <w:r>
        <w:rPr>
          <w:rFonts w:ascii="Georgia" w:eastAsia="Times New Roman" w:hAnsi="Georgia" w:cs="Times New Roman"/>
          <w:i/>
          <w:iCs/>
          <w:color w:val="333333"/>
          <w:sz w:val="20"/>
          <w:szCs w:val="20"/>
        </w:rPr>
        <w:t>p</w:t>
      </w:r>
      <w:r>
        <w:rPr>
          <w:rFonts w:ascii="Georgia" w:eastAsia="Times New Roman" w:hAnsi="Georgia" w:cs="Times New Roman"/>
          <w:color w:val="333333"/>
          <w:sz w:val="20"/>
          <w:szCs w:val="20"/>
        </w:rPr>
        <w:t>-value of the test.</w:t>
      </w:r>
    </w:p>
    <w:p w:rsidR="00AD77BB" w:rsidRDefault="00B45BA0">
      <w:pPr>
        <w:numPr>
          <w:ilvl w:val="0"/>
          <w:numId w:val="198"/>
        </w:numPr>
        <w:shd w:val="clear" w:color="auto" w:fill="DAEEF3" w:themeFill="accent5" w:themeFillTint="33"/>
        <w:spacing w:after="0" w:line="360" w:lineRule="auto"/>
        <w:ind w:left="360"/>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Compare the value computed in Step 4 to significance level </w:t>
      </w:r>
      <w:r>
        <w:rPr>
          <w:rFonts w:ascii="MathJax_Math" w:eastAsia="Times New Roman" w:hAnsi="MathJax_Math" w:cs="Times New Roman"/>
          <w:i/>
          <w:iCs/>
          <w:color w:val="333333"/>
          <w:sz w:val="18"/>
          <w:szCs w:val="18"/>
        </w:rPr>
        <w:t>α</w:t>
      </w:r>
      <w:r>
        <w:rPr>
          <w:rFonts w:ascii="Georgia" w:eastAsia="Times New Roman" w:hAnsi="Georgia" w:cs="Times New Roman"/>
          <w:color w:val="333333"/>
          <w:sz w:val="20"/>
          <w:szCs w:val="20"/>
        </w:rPr>
        <w:t> and make a decision: reject </w:t>
      </w:r>
      <w:r>
        <w:rPr>
          <w:rFonts w:ascii="Georgia" w:eastAsia="Times New Roman" w:hAnsi="Georgia" w:cs="Times New Roman"/>
          <w:i/>
          <w:iCs/>
          <w:color w:val="333333"/>
          <w:sz w:val="20"/>
          <w:szCs w:val="20"/>
        </w:rPr>
        <w:t>H</w:t>
      </w:r>
      <w:r>
        <w:rPr>
          <w:rFonts w:ascii="Georgia" w:eastAsia="Times New Roman" w:hAnsi="Georgia" w:cs="Times New Roman"/>
          <w:color w:val="333333"/>
          <w:sz w:val="15"/>
          <w:szCs w:val="15"/>
          <w:vertAlign w:val="subscript"/>
        </w:rPr>
        <w:t>0</w:t>
      </w:r>
      <w:r>
        <w:rPr>
          <w:rFonts w:ascii="Georgia" w:eastAsia="Times New Roman" w:hAnsi="Georgia" w:cs="Times New Roman"/>
          <w:color w:val="333333"/>
          <w:sz w:val="20"/>
          <w:szCs w:val="20"/>
        </w:rPr>
        <w:t> if </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α</w:t>
      </w:r>
      <w:r>
        <w:rPr>
          <w:rFonts w:ascii="Georgia" w:eastAsia="Times New Roman" w:hAnsi="Georgia" w:cs="Times New Roman"/>
          <w:color w:val="333333"/>
          <w:sz w:val="20"/>
          <w:szCs w:val="20"/>
        </w:rPr>
        <w:t> and do not reject </w:t>
      </w:r>
      <w:r>
        <w:rPr>
          <w:rFonts w:ascii="Georgia" w:eastAsia="Times New Roman" w:hAnsi="Georgia" w:cs="Times New Roman"/>
          <w:i/>
          <w:iCs/>
          <w:color w:val="333333"/>
          <w:sz w:val="20"/>
          <w:szCs w:val="20"/>
        </w:rPr>
        <w:t>H</w:t>
      </w:r>
      <w:r>
        <w:rPr>
          <w:rFonts w:ascii="Georgia" w:eastAsia="Times New Roman" w:hAnsi="Georgia" w:cs="Times New Roman"/>
          <w:color w:val="333333"/>
          <w:sz w:val="15"/>
          <w:szCs w:val="15"/>
          <w:vertAlign w:val="subscript"/>
        </w:rPr>
        <w:t>0</w:t>
      </w:r>
      <w:r>
        <w:rPr>
          <w:rFonts w:ascii="Georgia" w:eastAsia="Times New Roman" w:hAnsi="Georgia" w:cs="Times New Roman"/>
          <w:color w:val="333333"/>
          <w:sz w:val="20"/>
          <w:szCs w:val="20"/>
        </w:rPr>
        <w:t> if </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&gt;</w:t>
      </w:r>
      <w:r>
        <w:rPr>
          <w:rFonts w:ascii="MathJax_Math" w:eastAsia="Times New Roman" w:hAnsi="MathJax_Math" w:cs="Times New Roman"/>
          <w:b/>
          <w:i/>
          <w:iCs/>
          <w:color w:val="333333"/>
          <w:sz w:val="18"/>
          <w:szCs w:val="18"/>
        </w:rPr>
        <w:t>α</w:t>
      </w:r>
      <w:r>
        <w:rPr>
          <w:rFonts w:ascii="MathJax_Main" w:eastAsia="Times New Roman" w:hAnsi="MathJax_Main" w:cs="Times New Roman"/>
          <w:b/>
          <w:color w:val="333333"/>
          <w:sz w:val="18"/>
          <w:szCs w:val="18"/>
        </w:rPr>
        <w:t>.</w:t>
      </w:r>
      <w:r>
        <w:rPr>
          <w:rFonts w:ascii="Georgia" w:eastAsia="Times New Roman" w:hAnsi="Georgia" w:cs="Times New Roman"/>
          <w:b/>
          <w:color w:val="333333"/>
          <w:sz w:val="20"/>
          <w:szCs w:val="20"/>
        </w:rPr>
        <w:t> </w:t>
      </w:r>
      <w:r>
        <w:rPr>
          <w:rFonts w:ascii="Georgia" w:eastAsia="Times New Roman" w:hAnsi="Georgia" w:cs="Times New Roman"/>
          <w:color w:val="333333"/>
          <w:sz w:val="20"/>
          <w:szCs w:val="20"/>
        </w:rPr>
        <w:t>Formulate the decision in the context of the problem, if applicable.</w:t>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39C29A23" wp14:editId="79A00F45">
            <wp:extent cx="5210175" cy="6210300"/>
            <wp:effectExtent l="0" t="0" r="9525" b="0"/>
            <wp:docPr id="271"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210175" cy="621030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0C76D31D" wp14:editId="458DBB8D">
            <wp:extent cx="5362575" cy="6105525"/>
            <wp:effectExtent l="0" t="0" r="9525" b="9525"/>
            <wp:docPr id="272"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362575" cy="6105525"/>
                    </a:xfrm>
                    <a:prstGeom prst="rect">
                      <a:avLst/>
                    </a:prstGeom>
                    <a:noFill/>
                    <a:ln>
                      <a:noFill/>
                    </a:ln>
                  </pic:spPr>
                </pic:pic>
              </a:graphicData>
            </a:graphic>
          </wp:inline>
        </w:drawing>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EXAMPLE 8</w:t>
      </w:r>
    </w:p>
    <w:p w:rsidR="00AD77BB" w:rsidRDefault="00B45BA0">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Mr. Prospero has been teaching Algebra II from a particular textbook at Remote Isle High School for many years. Over the years students in his Algebra II classes have consistently scored an average of 67 on the end of course exam (EOC). This year Mr. Prospero used a new textbook in the hope that the average score on the EOC test would be higher. The average EOC test score of the 64 students who took Algebra II from Mr. Prospero this year had mean 69.4 and sample standard deviation 6.1. Determine whether these data provide sufficient evidence, at the 1% level of significance, to conclude that the average EOC test score is higher with the new textbook.</w:t>
      </w:r>
    </w:p>
    <w:p w:rsidR="00AD77BB" w:rsidRDefault="00B45BA0">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lastRenderedPageBreak/>
        <w:t>Solution:</w:t>
      </w:r>
    </w:p>
    <w:p w:rsidR="00AD77BB" w:rsidRDefault="00AD77BB">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p>
    <w:p w:rsidR="00AD77BB" w:rsidRDefault="00B45BA0">
      <w:pPr>
        <w:numPr>
          <w:ilvl w:val="0"/>
          <w:numId w:val="199"/>
        </w:num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Step 1. Let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 be the true average score on the EOC exam of all Mr. Prospero’s students who take the Algebra II course with the new textbook. The natural statement that would be assumed true unless there were strong evidence to the contrary is that the new book is about the same as the old one. The alternative, which it takes evidence to establish, is that the new book is better, which corresponds to a higher value of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 Thus the relevant test is</w:t>
      </w:r>
    </w:p>
    <w:p w:rsidR="00AD77BB" w:rsidRDefault="00AD77BB">
      <w:p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p>
    <w:p w:rsidR="00AD77BB" w:rsidRDefault="00B45BA0">
      <w:pPr>
        <w:shd w:val="clear" w:color="auto" w:fill="DAEEF3" w:themeFill="accent5" w:themeFillTint="33"/>
        <w:spacing w:line="360" w:lineRule="auto"/>
        <w:ind w:left="300" w:right="375"/>
        <w:jc w:val="center"/>
        <w:textAlignment w:val="baseline"/>
        <w:rPr>
          <w:rFonts w:ascii="MathJax_Main" w:eastAsia="Times New Roman" w:hAnsi="MathJax_Main" w:cs="Times New Roman"/>
          <w:color w:val="333333"/>
          <w:sz w:val="15"/>
          <w:szCs w:val="15"/>
        </w:rPr>
      </w:pP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 </w:t>
      </w:r>
      <w:r>
        <w:rPr>
          <w:rFonts w:ascii="MathJax_Main" w:eastAsia="Times New Roman" w:hAnsi="MathJax_Main" w:cs="Times New Roman"/>
          <w:color w:val="333333"/>
          <w:sz w:val="15"/>
          <w:szCs w:val="15"/>
        </w:rPr>
        <w:t>= 67</w:t>
      </w:r>
    </w:p>
    <w:p w:rsidR="00AD77BB" w:rsidRDefault="00B45BA0">
      <w:pPr>
        <w:shd w:val="clear" w:color="auto" w:fill="DAEEF3" w:themeFill="accent5" w:themeFillTint="33"/>
        <w:spacing w:line="360" w:lineRule="auto"/>
        <w:ind w:left="300" w:right="375"/>
        <w:jc w:val="center"/>
        <w:textAlignment w:val="baseline"/>
        <w:rPr>
          <w:rFonts w:ascii="Calibri" w:eastAsia="Times New Roman" w:hAnsi="Calibri" w:cs="Times New Roman"/>
          <w:color w:val="333333"/>
          <w:sz w:val="20"/>
          <w:szCs w:val="20"/>
        </w:rPr>
      </w:pPr>
      <w:r>
        <w:rPr>
          <w:rFonts w:ascii="MathJax_Main" w:eastAsia="Times New Roman" w:hAnsi="MathJax_Main" w:cs="Times New Roman"/>
          <w:color w:val="333333"/>
          <w:sz w:val="15"/>
          <w:szCs w:val="15"/>
        </w:rPr>
        <w:t>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 xml:space="preserve"> &gt;67 </w:t>
      </w:r>
      <w:r>
        <w:rPr>
          <w:rFonts w:ascii="MathJax_Main" w:eastAsia="Times New Roman" w:hAnsi="MathJax_Main" w:cs="Times New Roman"/>
          <w:i/>
          <w:iCs/>
          <w:color w:val="333333"/>
          <w:sz w:val="15"/>
          <w:szCs w:val="15"/>
        </w:rPr>
        <w:t>@</w:t>
      </w:r>
      <w:r>
        <w:rPr>
          <w:rFonts w:ascii="MathJax_Main" w:eastAsia="Times New Roman" w:hAnsi="MathJax_Main" w:cs="Times New Roman"/>
          <w:color w:val="333333"/>
          <w:sz w:val="15"/>
          <w:szCs w:val="15"/>
        </w:rPr>
        <w:t>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=0.01</w:t>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6960FD04" wp14:editId="48D778C4">
            <wp:extent cx="4705350" cy="5400675"/>
            <wp:effectExtent l="0" t="0" r="0" b="9525"/>
            <wp:docPr id="273"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705350" cy="5400675"/>
                    </a:xfrm>
                    <a:prstGeom prst="rect">
                      <a:avLst/>
                    </a:prstGeom>
                    <a:noFill/>
                    <a:ln>
                      <a:noFill/>
                    </a:ln>
                  </pic:spPr>
                </pic:pic>
              </a:graphicData>
            </a:graphic>
          </wp:inline>
        </w:drawing>
      </w:r>
    </w:p>
    <w:p w:rsidR="00AD77BB" w:rsidRDefault="00B45BA0">
      <w:pPr>
        <w:pStyle w:val="Title8"/>
        <w:shd w:val="clear" w:color="auto" w:fill="E3EFF7"/>
        <w:spacing w:before="0" w:beforeAutospacing="0" w:after="0" w:afterAutospacing="0" w:line="439" w:lineRule="atLeast"/>
        <w:ind w:left="300" w:right="375"/>
        <w:textAlignment w:val="baseline"/>
        <w:rPr>
          <w:rFonts w:ascii="Calibri" w:hAnsi="Calibri"/>
          <w:i/>
          <w:iCs/>
          <w:color w:val="BB9966"/>
          <w:sz w:val="19"/>
          <w:szCs w:val="19"/>
        </w:rPr>
      </w:pPr>
      <w:r>
        <w:rPr>
          <w:rStyle w:val="title-prefix"/>
          <w:rFonts w:ascii="Calibri" w:hAnsi="Calibri"/>
          <w:i/>
          <w:iCs/>
          <w:color w:val="000000"/>
          <w:sz w:val="18"/>
          <w:szCs w:val="18"/>
        </w:rPr>
        <w:lastRenderedPageBreak/>
        <w:t>Figure 8.9</w:t>
      </w:r>
      <w:r>
        <w:rPr>
          <w:rFonts w:ascii="Calibri" w:hAnsi="Calibri"/>
          <w:i/>
          <w:iCs/>
          <w:color w:val="BB9966"/>
          <w:sz w:val="19"/>
          <w:szCs w:val="19"/>
        </w:rPr>
        <w:t>Test Statistic for</w:t>
      </w:r>
      <w:r>
        <w:rPr>
          <w:rFonts w:ascii="Calibri" w:hAnsi="Calibri"/>
          <w:i/>
          <w:iCs/>
          <w:color w:val="2689C6"/>
          <w:sz w:val="19"/>
          <w:szCs w:val="19"/>
        </w:rPr>
        <w:t>Note 8.37 "Example 8"</w:t>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hAnsi="Calibri"/>
          <w:noProof/>
          <w:color w:val="2689C6"/>
          <w:sz w:val="23"/>
          <w:szCs w:val="23"/>
          <w:shd w:val="clear" w:color="auto" w:fill="E3EFF7"/>
        </w:rPr>
        <w:drawing>
          <wp:inline distT="0" distB="0" distL="0" distR="0" wp14:anchorId="0D40C9C7" wp14:editId="09899137">
            <wp:extent cx="4381500" cy="2762250"/>
            <wp:effectExtent l="0" t="0" r="0" b="0"/>
            <wp:docPr id="274" name="Picture 289" descr="http://images.flatworldknowledge.com/shafer/shafer-fig08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images.flatworldknowledge.com/shafer/shafer-fig08_009.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381500" cy="276225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7D94AE1D" wp14:editId="4BE88525">
            <wp:extent cx="4533900" cy="5048250"/>
            <wp:effectExtent l="0" t="0" r="0" b="0"/>
            <wp:docPr id="275"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533900" cy="504825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3248CAF6" wp14:editId="2D9F1623">
            <wp:extent cx="5200650" cy="3933825"/>
            <wp:effectExtent l="0" t="0" r="0" b="9525"/>
            <wp:docPr id="276"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200650" cy="3933825"/>
                    </a:xfrm>
                    <a:prstGeom prst="rect">
                      <a:avLst/>
                    </a:prstGeom>
                    <a:noFill/>
                    <a:ln>
                      <a:noFill/>
                    </a:ln>
                  </pic:spPr>
                </pic:pic>
              </a:graphicData>
            </a:graphic>
          </wp:inline>
        </w:drawing>
      </w:r>
    </w:p>
    <w:p w:rsidR="00AD77BB" w:rsidRDefault="00B45BA0">
      <w:pPr>
        <w:pStyle w:val="Title8"/>
        <w:shd w:val="clear" w:color="auto" w:fill="E3EFF7"/>
        <w:spacing w:before="0" w:beforeAutospacing="0" w:after="0" w:afterAutospacing="0" w:line="439" w:lineRule="atLeast"/>
        <w:ind w:left="300" w:right="375"/>
        <w:textAlignment w:val="baseline"/>
        <w:rPr>
          <w:rFonts w:ascii="Calibri" w:hAnsi="Calibri"/>
          <w:i/>
          <w:iCs/>
          <w:color w:val="BB9966"/>
          <w:sz w:val="19"/>
          <w:szCs w:val="19"/>
        </w:rPr>
      </w:pPr>
      <w:r>
        <w:rPr>
          <w:rStyle w:val="title-prefix"/>
          <w:rFonts w:ascii="Calibri" w:hAnsi="Calibri"/>
          <w:i/>
          <w:iCs/>
          <w:color w:val="000000"/>
          <w:sz w:val="18"/>
          <w:szCs w:val="18"/>
        </w:rPr>
        <w:t>Figure 8.10</w:t>
      </w:r>
      <w:r>
        <w:rPr>
          <w:rFonts w:ascii="Calibri" w:hAnsi="Calibri"/>
          <w:i/>
          <w:iCs/>
          <w:color w:val="BB9966"/>
          <w:sz w:val="19"/>
          <w:szCs w:val="19"/>
        </w:rPr>
        <w:t>Test Statistic for</w:t>
      </w:r>
      <w:r>
        <w:rPr>
          <w:rFonts w:ascii="Calibri" w:hAnsi="Calibri"/>
          <w:i/>
          <w:iCs/>
          <w:color w:val="2689C6"/>
          <w:sz w:val="19"/>
          <w:szCs w:val="19"/>
        </w:rPr>
        <w:t>Note 8.38 "Example 9"</w:t>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hAnsi="Calibri"/>
          <w:noProof/>
          <w:color w:val="2689C6"/>
          <w:sz w:val="23"/>
          <w:szCs w:val="23"/>
          <w:shd w:val="clear" w:color="auto" w:fill="E3EFF7"/>
        </w:rPr>
        <w:drawing>
          <wp:inline distT="0" distB="0" distL="0" distR="0" wp14:anchorId="4B20FD3A" wp14:editId="4B9F82F8">
            <wp:extent cx="3438525" cy="2171700"/>
            <wp:effectExtent l="0" t="0" r="9525" b="0"/>
            <wp:docPr id="277" name="Picture 292" descr="http://images.flatworldknowledge.com/shafer/shafer-fig08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images.flatworldknowledge.com/shafer/shafer-fig08_010.jp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3438525" cy="2171700"/>
                    </a:xfrm>
                    <a:prstGeom prst="rect">
                      <a:avLst/>
                    </a:prstGeom>
                    <a:noFill/>
                    <a:ln>
                      <a:noFill/>
                    </a:ln>
                  </pic:spPr>
                </pic:pic>
              </a:graphicData>
            </a:graphic>
          </wp:inline>
        </w:drawing>
      </w: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KEY TAKEAWAYS</w:t>
      </w:r>
    </w:p>
    <w:p w:rsidR="00AD77BB" w:rsidRDefault="00B45BA0">
      <w:pPr>
        <w:numPr>
          <w:ilvl w:val="0"/>
          <w:numId w:val="200"/>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observed significance or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of a test is a measure of how inconsistent the sample result is with </w:t>
      </w:r>
      <w:r>
        <w:rPr>
          <w:rFonts w:ascii="Calibri" w:eastAsia="Times New Roman" w:hAnsi="Calibri" w:cs="Times New Roman"/>
          <w:i/>
          <w:iCs/>
          <w:color w:val="333333"/>
          <w:sz w:val="20"/>
          <w:szCs w:val="20"/>
        </w:rPr>
        <w:t>H</w:t>
      </w:r>
      <w:r>
        <w:rPr>
          <w:rFonts w:ascii="Calibri" w:eastAsia="Times New Roman" w:hAnsi="Calibri" w:cs="Times New Roman"/>
          <w:color w:val="333333"/>
          <w:sz w:val="15"/>
          <w:szCs w:val="15"/>
          <w:vertAlign w:val="subscript"/>
        </w:rPr>
        <w:t>0</w:t>
      </w:r>
      <w:r>
        <w:rPr>
          <w:rFonts w:ascii="Calibri" w:eastAsia="Times New Roman" w:hAnsi="Calibri" w:cs="Times New Roman"/>
          <w:color w:val="333333"/>
          <w:sz w:val="20"/>
          <w:szCs w:val="20"/>
        </w:rPr>
        <w:t> and in favor of </w:t>
      </w:r>
      <w:r>
        <w:rPr>
          <w:rFonts w:ascii="Calibri" w:eastAsia="Times New Roman" w:hAnsi="Calibri" w:cs="Times New Roman"/>
          <w:i/>
          <w:iCs/>
          <w:color w:val="333333"/>
          <w:sz w:val="20"/>
          <w:szCs w:val="20"/>
        </w:rPr>
        <w:t>H</w:t>
      </w:r>
      <w:r>
        <w:rPr>
          <w:rFonts w:ascii="Calibri" w:eastAsia="Times New Roman" w:hAnsi="Calibri" w:cs="Times New Roman"/>
          <w:i/>
          <w:iCs/>
          <w:color w:val="333333"/>
          <w:sz w:val="15"/>
          <w:szCs w:val="15"/>
          <w:vertAlign w:val="subscript"/>
        </w:rPr>
        <w:t>a</w:t>
      </w:r>
      <w:r>
        <w:rPr>
          <w:rFonts w:ascii="Calibri" w:eastAsia="Times New Roman" w:hAnsi="Calibri" w:cs="Times New Roman"/>
          <w:color w:val="333333"/>
          <w:sz w:val="20"/>
          <w:szCs w:val="20"/>
        </w:rPr>
        <w:t>.</w:t>
      </w:r>
    </w:p>
    <w:p w:rsidR="00AD77BB" w:rsidRDefault="00B45BA0">
      <w:pPr>
        <w:numPr>
          <w:ilvl w:val="0"/>
          <w:numId w:val="200"/>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approach to hypothesis testing means that one merely compares the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to </w:t>
      </w:r>
      <w:r>
        <w:rPr>
          <w:rFonts w:ascii="MathJax_Math" w:eastAsia="Times New Roman" w:hAnsi="MathJax_Math" w:cs="Times New Roman"/>
          <w:i/>
          <w:iCs/>
          <w:color w:val="333333"/>
          <w:sz w:val="15"/>
          <w:szCs w:val="15"/>
        </w:rPr>
        <w:t>α</w:t>
      </w:r>
      <w:r>
        <w:rPr>
          <w:rFonts w:ascii="Calibri" w:eastAsia="Times New Roman" w:hAnsi="Calibri" w:cs="Times New Roman"/>
          <w:color w:val="333333"/>
          <w:sz w:val="20"/>
          <w:szCs w:val="20"/>
        </w:rPr>
        <w:t> instead of constructing a rejection region.</w:t>
      </w:r>
    </w:p>
    <w:p w:rsidR="00AD77BB" w:rsidRDefault="00B45BA0">
      <w:pPr>
        <w:numPr>
          <w:ilvl w:val="0"/>
          <w:numId w:val="200"/>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There is a systematic five-step procedure for the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approach to hypothesis testing.</w:t>
      </w: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41704952" wp14:editId="0BB9B7D8">
            <wp:extent cx="5248275" cy="6419850"/>
            <wp:effectExtent l="0" t="0" r="9525" b="0"/>
            <wp:docPr id="278"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248275" cy="641985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6ECE7FE8" wp14:editId="030DC818">
            <wp:extent cx="5410200" cy="6353175"/>
            <wp:effectExtent l="0" t="0" r="0" b="9525"/>
            <wp:docPr id="279"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410200" cy="6353175"/>
                    </a:xfrm>
                    <a:prstGeom prst="rect">
                      <a:avLst/>
                    </a:prstGeom>
                    <a:noFill/>
                    <a:ln>
                      <a:noFill/>
                    </a:ln>
                  </pic:spPr>
                </pic:pic>
              </a:graphicData>
            </a:graphic>
          </wp:inline>
        </w:drawing>
      </w:r>
    </w:p>
    <w:p w:rsidR="00AD77BB" w:rsidRDefault="00B45BA0">
      <w:pPr>
        <w:numPr>
          <w:ilvl w:val="1"/>
          <w:numId w:val="20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Perform the relevant test of hypotheses at the 20% level of significance using the critical value approach.</w:t>
      </w:r>
    </w:p>
    <w:p w:rsidR="00AD77BB" w:rsidRDefault="00B45BA0">
      <w:pPr>
        <w:pStyle w:val="ListParagraph"/>
        <w:numPr>
          <w:ilvl w:val="1"/>
          <w:numId w:val="20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Compute the observed significance of the test.</w:t>
      </w:r>
    </w:p>
    <w:p w:rsidR="00AD77BB" w:rsidRDefault="00B45BA0">
      <w:pPr>
        <w:numPr>
          <w:ilvl w:val="1"/>
          <w:numId w:val="20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Perform the test at the 20% level of significance using the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approach. You need not repeat the first three steps, already done in part (a).</w:t>
      </w:r>
    </w:p>
    <w:p w:rsidR="00AD77BB" w:rsidRDefault="00B45BA0">
      <w:pPr>
        <w:numPr>
          <w:ilvl w:val="0"/>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The mean score on a 25-point placement exam in mathematics used for the past two years at a large state university is 14.3. The placement coordinator wishes to test whether the mean score on a revised version of </w:t>
      </w:r>
      <w:r>
        <w:rPr>
          <w:rFonts w:ascii="Calibri" w:eastAsia="Times New Roman" w:hAnsi="Calibri" w:cs="Times New Roman"/>
          <w:color w:val="333333"/>
          <w:sz w:val="20"/>
          <w:szCs w:val="20"/>
        </w:rPr>
        <w:lastRenderedPageBreak/>
        <w:t>the exam differs from 14.3. She gives the revised exam to 30 entering freshmen early in the summer; the mean score is 14.6 with standard deviation 2.4.</w:t>
      </w:r>
    </w:p>
    <w:p w:rsidR="00AD77BB" w:rsidRDefault="00B45BA0">
      <w:pPr>
        <w:pStyle w:val="ListParagraph"/>
        <w:numPr>
          <w:ilvl w:val="1"/>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Perform the test at the 10% level of significance using the critical value approach.</w:t>
      </w:r>
    </w:p>
    <w:p w:rsidR="00AD77BB" w:rsidRDefault="00B45BA0">
      <w:pPr>
        <w:numPr>
          <w:ilvl w:val="1"/>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observed significance of the test.</w:t>
      </w:r>
    </w:p>
    <w:p w:rsidR="00AD77BB" w:rsidRDefault="00B45BA0">
      <w:pPr>
        <w:pStyle w:val="ListParagraph"/>
        <w:numPr>
          <w:ilvl w:val="1"/>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Perform the test at the 10% level of significance using the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approach. You need not repeat the first three steps, already done in part (a).</w:t>
      </w:r>
    </w:p>
    <w:p w:rsidR="00AD77BB" w:rsidRDefault="00B45BA0">
      <w:pPr>
        <w:numPr>
          <w:ilvl w:val="0"/>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mean increase in word family vocabulary among students in a one-year foreign language course is 576 word families. In order to estimate the effect of a new type of class scheduling, an instructor monitors the progress of 60 students; the sample mean increase in word family vocabulary of these students is 542 word families with sample standard deviation 18 word families.</w:t>
      </w:r>
    </w:p>
    <w:p w:rsidR="00AD77BB" w:rsidRDefault="00B45BA0">
      <w:pPr>
        <w:numPr>
          <w:ilvl w:val="1"/>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5% level of significance whether the mean increase with the new class scheduling is different from 576 word families, using the critical value approach.</w:t>
      </w:r>
    </w:p>
    <w:p w:rsidR="00AD77BB" w:rsidRDefault="00B45BA0">
      <w:pPr>
        <w:numPr>
          <w:ilvl w:val="1"/>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observed significance of the test.</w:t>
      </w:r>
    </w:p>
    <w:p w:rsidR="00AD77BB" w:rsidRDefault="00B45BA0">
      <w:pPr>
        <w:numPr>
          <w:ilvl w:val="1"/>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Perform the test at the 5% level of significance using the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approach. You need not repeat the first three steps, already done in part (a).</w:t>
      </w:r>
    </w:p>
    <w:p w:rsidR="00AD77BB" w:rsidRDefault="00B45BA0">
      <w:pPr>
        <w:numPr>
          <w:ilvl w:val="0"/>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mean yield for hard red winter wheat in a certain state is 44.8 bu/acre. In a pilot program a modified growing scheme was introduced on 35 independent plots. The result was a sample mean yield of 45.4 bu/acre with sample standard deviation 1.6 bu/acre, an apparent increase in yield.</w:t>
      </w:r>
    </w:p>
    <w:p w:rsidR="00AD77BB" w:rsidRDefault="00B45BA0">
      <w:pPr>
        <w:numPr>
          <w:ilvl w:val="1"/>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5% level of significance whether the mean yield under the new scheme is greater than 44.8 bu/acre, using the critical value approach.</w:t>
      </w:r>
    </w:p>
    <w:p w:rsidR="00AD77BB" w:rsidRDefault="00B45BA0">
      <w:pPr>
        <w:numPr>
          <w:ilvl w:val="1"/>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observed significance of the test.</w:t>
      </w:r>
    </w:p>
    <w:p w:rsidR="00AD77BB" w:rsidRDefault="00B45BA0">
      <w:pPr>
        <w:numPr>
          <w:ilvl w:val="1"/>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Perform the test at the 5% level of significance using the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approach. You need not repeat the first three steps, already done in part (a).</w:t>
      </w:r>
    </w:p>
    <w:p w:rsidR="00AD77BB" w:rsidRDefault="00B45BA0">
      <w:pPr>
        <w:numPr>
          <w:ilvl w:val="0"/>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average amount of time that visitors spent looking at a retail company’s old home page on the world wide web was 23.6 seconds. The company commissions a new home page. On its first day in place the mean time spent at the new page by 7,628 visitors was 23.5 seconds with standard deviation 5.1 seconds.</w:t>
      </w:r>
    </w:p>
    <w:p w:rsidR="00AD77BB" w:rsidRDefault="00B45BA0">
      <w:pPr>
        <w:pStyle w:val="ListParagraph"/>
        <w:numPr>
          <w:ilvl w:val="1"/>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Test at the 5% level of significance whether the mean visit time for the new page is less than the former mean of 23.6 seconds, using the critical value approach.</w:t>
      </w:r>
    </w:p>
    <w:p w:rsidR="00AD77BB" w:rsidRDefault="00B45BA0">
      <w:pPr>
        <w:numPr>
          <w:ilvl w:val="1"/>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observed significance of the test.</w:t>
      </w:r>
    </w:p>
    <w:p w:rsidR="00AD77BB" w:rsidRDefault="00B45BA0">
      <w:pPr>
        <w:numPr>
          <w:ilvl w:val="1"/>
          <w:numId w:val="20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Perform the test at the 5% level of significance using the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approach. You need not repeat the first three steps, already done in part (a).</w:t>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42C1E7E8" wp14:editId="23EA890D">
            <wp:extent cx="5438775" cy="6286500"/>
            <wp:effectExtent l="0" t="0" r="9525" b="0"/>
            <wp:docPr id="280"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438775" cy="6286500"/>
                    </a:xfrm>
                    <a:prstGeom prst="rect">
                      <a:avLst/>
                    </a:prstGeom>
                    <a:noFill/>
                    <a:ln>
                      <a:noFill/>
                    </a:ln>
                  </pic:spPr>
                </pic:pic>
              </a:graphicData>
            </a:graphic>
          </wp:inline>
        </w:drawing>
      </w: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B45B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8.4</w:t>
      </w:r>
      <w:r>
        <w:rPr>
          <w:rStyle w:val="apple-converted-space"/>
          <w:rFonts w:ascii="Calibri" w:hAnsi="Calibri"/>
          <w:color w:val="333333"/>
        </w:rPr>
        <w:t> </w:t>
      </w:r>
      <w:r>
        <w:rPr>
          <w:rFonts w:ascii="Calibri" w:hAnsi="Calibri"/>
          <w:color w:val="333333"/>
        </w:rPr>
        <w:t>Small Sample Tests for a Population Mean</w:t>
      </w:r>
    </w:p>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AD77BB" w:rsidRDefault="00B45BA0">
      <w:pPr>
        <w:numPr>
          <w:ilvl w:val="0"/>
          <w:numId w:val="20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To learn how to apply the five-step test procedure for test of hypotheses concerning a population mean when the sample size is small.</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 the previous section hypotheses testing for population means was described in the case of large samples. The statistical validity of the tests was insured by the Central Limit Theorem, with essentially no assumptions on the distribution of the population. When sample sizes are small, as is often the case in practice, the Central Limit Theorem does not apply. One must then impose stricter assumptions on the population to give statistical validity to the test procedure. One common assumption is that the population from which the sample is taken has a normal probability distribution to begin with. Under such circumstances, if the population standard deviation is known, then the test statistic</w:t>
      </w:r>
      <w:r>
        <w:rPr>
          <w:rStyle w:val="apple-converted-space"/>
          <w:rFonts w:ascii="Georgia" w:hAnsi="Georgia"/>
          <w:color w:val="333333"/>
          <w:sz w:val="21"/>
          <w:szCs w:val="21"/>
        </w:rPr>
        <w:t> </w:t>
      </w:r>
      <w:r>
        <w:rPr>
          <w:rStyle w:val="mo"/>
          <w:rFonts w:ascii="MathJax_Size1" w:hAnsi="MathJax_Size1"/>
          <w:b/>
          <w:color w:val="333333"/>
          <w:sz w:val="18"/>
          <w:szCs w:val="18"/>
        </w:rPr>
        <w:t>(</w:t>
      </w:r>
      <w:r>
        <w:rPr>
          <w:rStyle w:val="mi"/>
          <w:rFonts w:ascii="MathJax_Math" w:hAnsi="MathJax_Math"/>
          <w:b/>
          <w:i/>
          <w:iCs/>
          <w:color w:val="333333"/>
          <w:sz w:val="18"/>
          <w:szCs w:val="18"/>
        </w:rPr>
        <w:t>x</w:t>
      </w:r>
      <w:r>
        <w:rPr>
          <w:rStyle w:val="mo"/>
          <w:rFonts w:ascii="MathJax_Main" w:hAnsi="MathJax_Main"/>
          <w:b/>
          <w:color w:val="333333"/>
          <w:sz w:val="18"/>
          <w:szCs w:val="18"/>
        </w:rPr>
        <w:t>−−</w:t>
      </w:r>
      <w:r>
        <w:rPr>
          <w:rStyle w:val="mi"/>
          <w:rFonts w:ascii="MathJax_Math" w:hAnsi="MathJax_Math"/>
          <w:b/>
          <w:i/>
          <w:iCs/>
          <w:color w:val="333333"/>
          <w:sz w:val="18"/>
          <w:szCs w:val="18"/>
        </w:rPr>
        <w:t>μ</w:t>
      </w:r>
      <w:r>
        <w:rPr>
          <w:rStyle w:val="mn"/>
          <w:rFonts w:ascii="MathJax_Main" w:hAnsi="MathJax_Main"/>
          <w:b/>
          <w:color w:val="333333"/>
          <w:sz w:val="14"/>
          <w:szCs w:val="14"/>
        </w:rPr>
        <w:t>0</w:t>
      </w:r>
      <w:r>
        <w:rPr>
          <w:rStyle w:val="mo"/>
          <w:rFonts w:ascii="MathJax_Size1" w:hAnsi="MathJax_Size1"/>
          <w:b/>
          <w:color w:val="333333"/>
          <w:sz w:val="18"/>
          <w:szCs w:val="18"/>
        </w:rPr>
        <w:t>)/(</w:t>
      </w:r>
      <w:r>
        <w:rPr>
          <w:rStyle w:val="mi"/>
          <w:rFonts w:ascii="MathJax_Math" w:hAnsi="MathJax_Math"/>
          <w:b/>
          <w:i/>
          <w:iCs/>
          <w:color w:val="333333"/>
          <w:sz w:val="18"/>
          <w:szCs w:val="18"/>
        </w:rPr>
        <w:t>σ</w:t>
      </w:r>
      <w:r>
        <w:rPr>
          <w:rStyle w:val="mo"/>
          <w:rFonts w:ascii="MathJax_Size1" w:hAnsi="MathJax_Size1"/>
          <w:b/>
          <w:color w:val="333333"/>
          <w:sz w:val="18"/>
          <w:szCs w:val="18"/>
        </w:rPr>
        <w:t>/</w:t>
      </w:r>
      <w:r>
        <w:rPr>
          <w:rStyle w:val="msqrt"/>
          <w:rFonts w:ascii="MathJax_Main" w:hAnsi="MathJax_Main"/>
          <w:b/>
          <w:color w:val="333333"/>
          <w:sz w:val="18"/>
          <w:szCs w:val="18"/>
        </w:rPr>
        <w:t>√</w:t>
      </w:r>
      <w:r>
        <w:rPr>
          <w:rStyle w:val="mi"/>
          <w:rFonts w:ascii="MathJax_Math" w:hAnsi="MathJax_Math"/>
          <w:b/>
          <w:i/>
          <w:iCs/>
          <w:color w:val="333333"/>
          <w:sz w:val="18"/>
          <w:szCs w:val="18"/>
        </w:rPr>
        <w:t>n</w:t>
      </w:r>
      <w:r>
        <w:rPr>
          <w:rStyle w:val="mo"/>
          <w:rFonts w:ascii="MathJax_Size1" w:hAnsi="MathJax_Size1"/>
          <w:b/>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still has the standard normal distribution, as in the previous two sections. If</w:t>
      </w:r>
      <w:r>
        <w:rPr>
          <w:rStyle w:val="apple-converted-space"/>
          <w:rFonts w:ascii="Georgia" w:hAnsi="Georgia"/>
          <w:color w:val="333333"/>
          <w:sz w:val="21"/>
          <w:szCs w:val="21"/>
        </w:rPr>
        <w:t> </w:t>
      </w:r>
      <w:r>
        <w:rPr>
          <w:rStyle w:val="Emphasis"/>
          <w:rFonts w:ascii="Georgia" w:hAnsi="Georgia"/>
          <w:color w:val="333333"/>
          <w:sz w:val="20"/>
          <w:szCs w:val="20"/>
        </w:rPr>
        <w:t>σ</w:t>
      </w:r>
      <w:r>
        <w:rPr>
          <w:rStyle w:val="apple-converted-space"/>
          <w:rFonts w:ascii="Georgia" w:hAnsi="Georgia"/>
          <w:color w:val="333333"/>
          <w:sz w:val="21"/>
          <w:szCs w:val="21"/>
        </w:rPr>
        <w:t> </w:t>
      </w:r>
      <w:r>
        <w:rPr>
          <w:rFonts w:ascii="Georgia" w:hAnsi="Georgia"/>
          <w:color w:val="333333"/>
          <w:sz w:val="21"/>
          <w:szCs w:val="21"/>
        </w:rPr>
        <w:t>is unknown and is approximated by the sample standard deviation</w:t>
      </w:r>
      <w:r>
        <w:rPr>
          <w:rStyle w:val="apple-converted-space"/>
          <w:rFonts w:ascii="Georgia" w:hAnsi="Georgia"/>
          <w:color w:val="333333"/>
          <w:sz w:val="21"/>
          <w:szCs w:val="21"/>
        </w:rPr>
        <w:t> </w:t>
      </w:r>
      <w:r>
        <w:rPr>
          <w:rStyle w:val="Emphasis"/>
          <w:rFonts w:ascii="Georgia" w:hAnsi="Georgia"/>
          <w:color w:val="333333"/>
          <w:sz w:val="20"/>
          <w:szCs w:val="20"/>
        </w:rPr>
        <w:t>s</w:t>
      </w:r>
      <w:r>
        <w:rPr>
          <w:rFonts w:ascii="Georgia" w:hAnsi="Georgia"/>
          <w:color w:val="333333"/>
          <w:sz w:val="21"/>
          <w:szCs w:val="21"/>
        </w:rPr>
        <w:t>, then the resulting test statistic</w:t>
      </w:r>
      <w:r>
        <w:rPr>
          <w:rStyle w:val="apple-converted-space"/>
          <w:rFonts w:ascii="Georgia" w:hAnsi="Georgia"/>
          <w:color w:val="333333"/>
          <w:sz w:val="21"/>
          <w:szCs w:val="21"/>
        </w:rPr>
        <w:t> </w:t>
      </w:r>
      <w:r>
        <w:rPr>
          <w:rStyle w:val="mo"/>
          <w:rFonts w:ascii="MathJax_Size1" w:hAnsi="MathJax_Size1"/>
          <w:b/>
          <w:color w:val="333333"/>
          <w:sz w:val="18"/>
          <w:szCs w:val="18"/>
        </w:rPr>
        <w:t>(</w:t>
      </w:r>
      <w:r>
        <w:rPr>
          <w:rStyle w:val="mi"/>
          <w:rFonts w:ascii="MathJax_Math" w:hAnsi="MathJax_Math"/>
          <w:b/>
          <w:i/>
          <w:iCs/>
          <w:color w:val="333333"/>
          <w:sz w:val="18"/>
          <w:szCs w:val="18"/>
        </w:rPr>
        <w:t>x</w:t>
      </w:r>
      <w:r>
        <w:rPr>
          <w:rStyle w:val="mo"/>
          <w:rFonts w:ascii="MathJax_Main" w:hAnsi="MathJax_Main"/>
          <w:b/>
          <w:color w:val="333333"/>
          <w:sz w:val="18"/>
          <w:szCs w:val="18"/>
        </w:rPr>
        <w:t>−−</w:t>
      </w:r>
      <w:r>
        <w:rPr>
          <w:rStyle w:val="mi"/>
          <w:rFonts w:ascii="MathJax_Math" w:hAnsi="MathJax_Math"/>
          <w:b/>
          <w:i/>
          <w:iCs/>
          <w:color w:val="333333"/>
          <w:sz w:val="18"/>
          <w:szCs w:val="18"/>
        </w:rPr>
        <w:t>μ</w:t>
      </w:r>
      <w:r>
        <w:rPr>
          <w:rStyle w:val="mn"/>
          <w:rFonts w:ascii="MathJax_Main" w:hAnsi="MathJax_Main"/>
          <w:b/>
          <w:color w:val="333333"/>
          <w:sz w:val="14"/>
          <w:szCs w:val="14"/>
        </w:rPr>
        <w:t>0</w:t>
      </w:r>
      <w:r>
        <w:rPr>
          <w:rStyle w:val="mo"/>
          <w:rFonts w:ascii="MathJax_Size1" w:hAnsi="MathJax_Size1"/>
          <w:b/>
          <w:color w:val="333333"/>
          <w:sz w:val="18"/>
          <w:szCs w:val="18"/>
        </w:rPr>
        <w:t>)/(</w:t>
      </w:r>
      <w:r>
        <w:rPr>
          <w:rStyle w:val="mi"/>
          <w:rFonts w:ascii="MathJax_Math" w:hAnsi="MathJax_Math"/>
          <w:b/>
          <w:i/>
          <w:iCs/>
          <w:color w:val="333333"/>
          <w:sz w:val="18"/>
          <w:szCs w:val="18"/>
        </w:rPr>
        <w:t>s</w:t>
      </w:r>
      <w:r>
        <w:rPr>
          <w:rStyle w:val="mo"/>
          <w:rFonts w:ascii="MathJax_Size1" w:hAnsi="MathJax_Size1"/>
          <w:b/>
          <w:color w:val="333333"/>
          <w:sz w:val="18"/>
          <w:szCs w:val="18"/>
        </w:rPr>
        <w:t>/</w:t>
      </w:r>
      <w:r>
        <w:rPr>
          <w:rStyle w:val="msqrt"/>
          <w:rFonts w:ascii="MathJax_Main" w:hAnsi="MathJax_Main"/>
          <w:b/>
          <w:color w:val="333333"/>
          <w:sz w:val="18"/>
          <w:szCs w:val="18"/>
        </w:rPr>
        <w:t>√</w:t>
      </w:r>
      <w:r>
        <w:rPr>
          <w:rStyle w:val="mi"/>
          <w:rFonts w:ascii="MathJax_Math" w:hAnsi="MathJax_Math"/>
          <w:b/>
          <w:i/>
          <w:iCs/>
          <w:color w:val="333333"/>
          <w:sz w:val="18"/>
          <w:szCs w:val="18"/>
        </w:rPr>
        <w:t>n</w:t>
      </w:r>
      <w:r>
        <w:rPr>
          <w:rStyle w:val="mo"/>
          <w:rFonts w:ascii="MathJax_Size1" w:hAnsi="MathJax_Size1"/>
          <w:b/>
          <w:color w:val="333333"/>
          <w:sz w:val="18"/>
          <w:szCs w:val="18"/>
        </w:rPr>
        <w:t>)</w:t>
      </w:r>
      <w:r>
        <w:rPr>
          <w:rStyle w:val="apple-converted-space"/>
          <w:rFonts w:ascii="Georgia" w:hAnsi="Georgia"/>
          <w:b/>
          <w:color w:val="333333"/>
          <w:sz w:val="21"/>
          <w:szCs w:val="21"/>
        </w:rPr>
        <w:t> </w:t>
      </w:r>
      <w:r>
        <w:rPr>
          <w:rFonts w:ascii="Georgia" w:hAnsi="Georgia"/>
          <w:color w:val="333333"/>
          <w:sz w:val="21"/>
          <w:szCs w:val="21"/>
        </w:rPr>
        <w:t>follows Student’s</w:t>
      </w:r>
      <w:r>
        <w:rPr>
          <w:rStyle w:val="apple-converted-space"/>
          <w:rFonts w:ascii="Georgia" w:hAnsi="Georgia"/>
          <w:color w:val="333333"/>
          <w:sz w:val="21"/>
          <w:szCs w:val="21"/>
        </w:rPr>
        <w:t> </w:t>
      </w:r>
      <w:r>
        <w:rPr>
          <w:rStyle w:val="Emphasis"/>
          <w:rFonts w:ascii="Georgia" w:hAnsi="Georgia"/>
          <w:color w:val="333333"/>
          <w:sz w:val="20"/>
          <w:szCs w:val="20"/>
        </w:rPr>
        <w:t>t</w:t>
      </w:r>
      <w:r>
        <w:rPr>
          <w:rFonts w:ascii="Georgia" w:hAnsi="Georgia"/>
          <w:color w:val="333333"/>
          <w:sz w:val="21"/>
          <w:szCs w:val="21"/>
        </w:rPr>
        <w:t>-distribution with</w:t>
      </w:r>
      <w:r>
        <w:rPr>
          <w:rStyle w:val="apple-converted-space"/>
          <w:rFonts w:ascii="Georgia" w:hAnsi="Georgia"/>
          <w:color w:val="333333"/>
          <w:sz w:val="21"/>
          <w:szCs w:val="21"/>
        </w:rPr>
        <w:t> </w:t>
      </w:r>
      <w:r>
        <w:rPr>
          <w:rStyle w:val="mi"/>
          <w:rFonts w:ascii="MathJax_Math" w:hAnsi="MathJax_Math"/>
          <w:i/>
          <w:iCs/>
          <w:color w:val="333333"/>
          <w:sz w:val="18"/>
          <w:szCs w:val="18"/>
        </w:rPr>
        <w:t>n</w:t>
      </w:r>
      <w:r>
        <w:rPr>
          <w:rStyle w:val="mtext"/>
          <w:rFonts w:ascii="MathJax_Main" w:hAnsi="MathJax_Main"/>
          <w:color w:val="333333"/>
          <w:sz w:val="18"/>
          <w:szCs w:val="18"/>
        </w:rPr>
        <w:t>−</w:t>
      </w:r>
      <w:r>
        <w:rPr>
          <w:rStyle w:val="mn"/>
          <w:rFonts w:ascii="MathJax_Main" w:hAnsi="MathJax_Main"/>
          <w:color w:val="333333"/>
          <w:sz w:val="18"/>
          <w:szCs w:val="18"/>
        </w:rPr>
        <w:t>1</w:t>
      </w:r>
      <w:r>
        <w:rPr>
          <w:rStyle w:val="apple-converted-space"/>
          <w:rFonts w:ascii="Georgia" w:hAnsi="Georgia"/>
          <w:color w:val="333333"/>
          <w:sz w:val="21"/>
          <w:szCs w:val="21"/>
        </w:rPr>
        <w:t> </w:t>
      </w:r>
      <w:r>
        <w:rPr>
          <w:rFonts w:ascii="Georgia" w:hAnsi="Georgia"/>
          <w:color w:val="333333"/>
          <w:sz w:val="21"/>
          <w:szCs w:val="21"/>
        </w:rPr>
        <w:t>degrees of freedom.</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noProof/>
          <w:color w:val="333333"/>
          <w:sz w:val="21"/>
          <w:szCs w:val="21"/>
        </w:rPr>
        <w:drawing>
          <wp:inline distT="0" distB="0" distL="0" distR="0" wp14:anchorId="77987310" wp14:editId="2E83279F">
            <wp:extent cx="4562475" cy="4419600"/>
            <wp:effectExtent l="0" t="0" r="9525" b="0"/>
            <wp:docPr id="281"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562475" cy="4419600"/>
                    </a:xfrm>
                    <a:prstGeom prst="rect">
                      <a:avLst/>
                    </a:prstGeom>
                    <a:noFill/>
                    <a:ln>
                      <a:noFill/>
                    </a:ln>
                  </pic:spPr>
                </pic:pic>
              </a:graphicData>
            </a:graphic>
          </wp:inline>
        </w:drawing>
      </w: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lastRenderedPageBreak/>
        <w:t>Figure 8.11</w:t>
      </w:r>
      <w:r>
        <w:rPr>
          <w:rFonts w:ascii="Georgia" w:eastAsia="Times New Roman" w:hAnsi="Georgia" w:cs="Times New Roman"/>
          <w:i/>
          <w:iCs/>
          <w:color w:val="BB9966"/>
          <w:sz w:val="19"/>
          <w:szCs w:val="19"/>
        </w:rPr>
        <w:t> Distribution of the Standardized Test Statistic and the Rejection Region</w:t>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noProof/>
          <w:color w:val="2689C6"/>
          <w:sz w:val="26"/>
          <w:szCs w:val="26"/>
          <w:shd w:val="clear" w:color="auto" w:fill="FFFFFF"/>
        </w:rPr>
        <w:drawing>
          <wp:inline distT="0" distB="0" distL="0" distR="0" wp14:anchorId="7893CD82" wp14:editId="593FF0C2">
            <wp:extent cx="5343525" cy="3267075"/>
            <wp:effectExtent l="0" t="0" r="9525" b="9525"/>
            <wp:docPr id="282" name="Picture 297" descr="http://images.flatworldknowledge.com/shafer/shafer-fig08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images.flatworldknowledge.com/shafer/shafer-fig08_011.jp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343525" cy="3267075"/>
                    </a:xfrm>
                    <a:prstGeom prst="rect">
                      <a:avLst/>
                    </a:prstGeom>
                    <a:noFill/>
                    <a:ln>
                      <a:noFill/>
                    </a:ln>
                  </pic:spPr>
                </pic:pic>
              </a:graphicData>
            </a:graphic>
          </wp:inline>
        </w:drawing>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w:t>
      </w:r>
      <w:r>
        <w:rPr>
          <w:rStyle w:val="apple-converted-space"/>
          <w:rFonts w:ascii="Georgia" w:hAnsi="Georgia"/>
          <w:color w:val="333333"/>
          <w:sz w:val="21"/>
          <w:szCs w:val="21"/>
        </w:rPr>
        <w:t> </w:t>
      </w:r>
      <w:r>
        <w:rPr>
          <w:rStyle w:val="Emphasis"/>
          <w:rFonts w:ascii="Georgia" w:hAnsi="Georgia"/>
          <w:color w:val="333333"/>
          <w:sz w:val="20"/>
          <w:szCs w:val="20"/>
        </w:rPr>
        <w:t>p</w:t>
      </w:r>
      <w:r>
        <w:rPr>
          <w:rFonts w:ascii="Georgia" w:hAnsi="Georgia"/>
          <w:color w:val="333333"/>
          <w:sz w:val="21"/>
          <w:szCs w:val="21"/>
        </w:rPr>
        <w:t>-value of a test of hypotheses for which the test statistic has Student’s</w:t>
      </w:r>
      <w:r>
        <w:rPr>
          <w:rStyle w:val="apple-converted-space"/>
          <w:rFonts w:ascii="Georgia" w:hAnsi="Georgia"/>
          <w:color w:val="333333"/>
          <w:sz w:val="21"/>
          <w:szCs w:val="21"/>
        </w:rPr>
        <w:t> </w:t>
      </w:r>
      <w:r>
        <w:rPr>
          <w:rStyle w:val="Emphasis"/>
          <w:rFonts w:ascii="Georgia" w:hAnsi="Georgia"/>
          <w:color w:val="333333"/>
          <w:sz w:val="20"/>
          <w:szCs w:val="20"/>
        </w:rPr>
        <w:t>t</w:t>
      </w:r>
      <w:r>
        <w:rPr>
          <w:rFonts w:ascii="Georgia" w:hAnsi="Georgia"/>
          <w:color w:val="333333"/>
          <w:sz w:val="21"/>
          <w:szCs w:val="21"/>
        </w:rPr>
        <w:t>-distribution can be computed using statistical software, but it is impractical to do so using tables, since that would require 30 tables analogous to</w:t>
      </w:r>
      <w:r>
        <w:rPr>
          <w:rStyle w:val="apple-converted-space"/>
          <w:rFonts w:ascii="Georgia" w:hAnsi="Georgia"/>
          <w:color w:val="333333"/>
          <w:sz w:val="21"/>
          <w:szCs w:val="21"/>
        </w:rPr>
        <w:t> </w:t>
      </w:r>
      <w:r>
        <w:rPr>
          <w:rFonts w:ascii="Georgia" w:hAnsi="Georgia"/>
          <w:color w:val="2689C6"/>
          <w:sz w:val="21"/>
          <w:szCs w:val="21"/>
        </w:rPr>
        <w:t>Figure 12.2 "Cumulative Normal Probability"</w:t>
      </w:r>
      <w:r>
        <w:rPr>
          <w:rFonts w:ascii="Georgia" w:hAnsi="Georgia"/>
          <w:color w:val="333333"/>
          <w:sz w:val="21"/>
          <w:szCs w:val="21"/>
        </w:rPr>
        <w:t>, one for each degree of freedom from 1 to 30.</w:t>
      </w:r>
      <w:r>
        <w:rPr>
          <w:rFonts w:ascii="Georgia" w:hAnsi="Georgia"/>
          <w:color w:val="2689C6"/>
          <w:sz w:val="21"/>
          <w:szCs w:val="21"/>
        </w:rPr>
        <w:t>Figure 12.3 "Critical Values of "</w:t>
      </w:r>
      <w:r>
        <w:rPr>
          <w:rStyle w:val="apple-converted-space"/>
          <w:rFonts w:ascii="Georgia" w:hAnsi="Georgia"/>
          <w:color w:val="333333"/>
          <w:sz w:val="21"/>
          <w:szCs w:val="21"/>
        </w:rPr>
        <w:t> </w:t>
      </w:r>
      <w:r>
        <w:rPr>
          <w:rFonts w:ascii="Georgia" w:hAnsi="Georgia"/>
          <w:color w:val="333333"/>
          <w:sz w:val="21"/>
          <w:szCs w:val="21"/>
        </w:rPr>
        <w:t>can be used to approximate the</w:t>
      </w:r>
      <w:r>
        <w:rPr>
          <w:rStyle w:val="apple-converted-space"/>
          <w:rFonts w:ascii="Georgia" w:hAnsi="Georgia"/>
          <w:color w:val="333333"/>
          <w:sz w:val="21"/>
          <w:szCs w:val="21"/>
        </w:rPr>
        <w:t> </w:t>
      </w:r>
      <w:r>
        <w:rPr>
          <w:rStyle w:val="Emphasis"/>
          <w:rFonts w:ascii="Georgia" w:hAnsi="Georgia"/>
          <w:color w:val="333333"/>
          <w:sz w:val="20"/>
          <w:szCs w:val="20"/>
        </w:rPr>
        <w:t>p</w:t>
      </w:r>
      <w:r>
        <w:rPr>
          <w:rFonts w:ascii="Georgia" w:hAnsi="Georgia"/>
          <w:color w:val="333333"/>
          <w:sz w:val="21"/>
          <w:szCs w:val="21"/>
        </w:rPr>
        <w:t>-value of such a test, and this is typically adequate for making a decision using the</w:t>
      </w:r>
      <w:r>
        <w:rPr>
          <w:rStyle w:val="apple-converted-space"/>
          <w:rFonts w:ascii="Georgia" w:hAnsi="Georgia"/>
          <w:color w:val="333333"/>
          <w:sz w:val="21"/>
          <w:szCs w:val="21"/>
        </w:rPr>
        <w:t> </w:t>
      </w:r>
      <w:r>
        <w:rPr>
          <w:rStyle w:val="Emphasis"/>
          <w:rFonts w:ascii="Georgia" w:hAnsi="Georgia"/>
          <w:color w:val="333333"/>
          <w:sz w:val="20"/>
          <w:szCs w:val="20"/>
        </w:rPr>
        <w:t>p</w:t>
      </w:r>
      <w:r>
        <w:rPr>
          <w:rFonts w:ascii="Georgia" w:hAnsi="Georgia"/>
          <w:color w:val="333333"/>
          <w:sz w:val="21"/>
          <w:szCs w:val="21"/>
        </w:rPr>
        <w:t>-value approach to hypothesis testing, although not always. For this reason the tests in the two examples in this section will be made following the critical value approach to hypothesis testing summarized at the end of</w:t>
      </w:r>
      <w:r>
        <w:rPr>
          <w:rStyle w:val="apple-converted-space"/>
          <w:rFonts w:ascii="Georgia" w:hAnsi="Georgia"/>
          <w:color w:val="333333"/>
          <w:sz w:val="21"/>
          <w:szCs w:val="21"/>
        </w:rPr>
        <w:t> </w:t>
      </w:r>
      <w:r>
        <w:rPr>
          <w:rFonts w:ascii="Georgia" w:hAnsi="Georgia"/>
          <w:color w:val="2689C6"/>
          <w:sz w:val="21"/>
          <w:szCs w:val="21"/>
        </w:rPr>
        <w:t>Section 8.1 "The Elements of Hypothesis Testing"</w:t>
      </w:r>
      <w:r>
        <w:rPr>
          <w:rFonts w:ascii="Georgia" w:hAnsi="Georgia"/>
          <w:color w:val="333333"/>
          <w:sz w:val="21"/>
          <w:szCs w:val="21"/>
        </w:rPr>
        <w:t>, but after each one we will show how the</w:t>
      </w:r>
      <w:r>
        <w:rPr>
          <w:rStyle w:val="apple-converted-space"/>
          <w:rFonts w:ascii="Georgia" w:hAnsi="Georgia"/>
          <w:color w:val="333333"/>
          <w:sz w:val="21"/>
          <w:szCs w:val="21"/>
        </w:rPr>
        <w:t> </w:t>
      </w:r>
      <w:r>
        <w:rPr>
          <w:rStyle w:val="Emphasis"/>
          <w:rFonts w:ascii="Georgia" w:hAnsi="Georgia"/>
          <w:color w:val="333333"/>
          <w:sz w:val="20"/>
          <w:szCs w:val="20"/>
        </w:rPr>
        <w:t>p</w:t>
      </w:r>
      <w:r>
        <w:rPr>
          <w:rFonts w:ascii="Georgia" w:hAnsi="Georgia"/>
          <w:color w:val="333333"/>
          <w:sz w:val="21"/>
          <w:szCs w:val="21"/>
        </w:rPr>
        <w:t>-value approach could have been used.</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Heading3"/>
        <w:shd w:val="clear" w:color="auto" w:fill="08629A"/>
        <w:spacing w:before="0" w:beforeAutospacing="0" w:after="150" w:afterAutospacing="0" w:line="360" w:lineRule="auto"/>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10</w:t>
      </w:r>
    </w:p>
    <w:p w:rsidR="00AD77BB" w:rsidRDefault="00B45BA0">
      <w:pPr>
        <w:pStyle w:val="para"/>
        <w:shd w:val="clear" w:color="auto" w:fill="E3EFF7"/>
        <w:spacing w:before="15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The price of a popular tennis racket at a national chain store is $179. Portia bought five of the same racket at an online auction site for the following prices:</w:t>
      </w:r>
    </w:p>
    <w:p w:rsidR="00AD77BB" w:rsidRDefault="00B45BA0">
      <w:pPr>
        <w:shd w:val="clear" w:color="auto" w:fill="E3EFF7"/>
        <w:spacing w:line="360" w:lineRule="auto"/>
        <w:jc w:val="center"/>
        <w:textAlignment w:val="baseline"/>
        <w:rPr>
          <w:rFonts w:ascii="Calibri" w:hAnsi="Calibri"/>
          <w:color w:val="555555"/>
          <w:sz w:val="23"/>
          <w:szCs w:val="23"/>
        </w:rPr>
      </w:pPr>
      <w:r>
        <w:rPr>
          <w:rStyle w:val="mn"/>
          <w:rFonts w:ascii="MathJax_Main" w:hAnsi="MathJax_Main"/>
          <w:color w:val="555555"/>
          <w:sz w:val="18"/>
          <w:szCs w:val="18"/>
        </w:rPr>
        <w:t>155 179 175 175 161</w:t>
      </w:r>
    </w:p>
    <w:p w:rsidR="00AD77BB" w:rsidRDefault="00B45BA0">
      <w:pPr>
        <w:pStyle w:val="para"/>
        <w:shd w:val="clear" w:color="auto" w:fill="E3EFF7"/>
        <w:spacing w:before="15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Assuming that the auction prices of rackets are normally distributed, determine whether there is sufficient evidence in the sample, at the 5% level of significance, to conclude that the average price of the racket is less than $179 if purchased at an online auction.</w:t>
      </w:r>
    </w:p>
    <w:p w:rsidR="00AD77BB" w:rsidRDefault="00B45BA0">
      <w:pPr>
        <w:pStyle w:val="simpara"/>
        <w:shd w:val="clear" w:color="auto" w:fill="E3EFF7"/>
        <w:spacing w:before="15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lastRenderedPageBreak/>
        <w:t>Solution:</w:t>
      </w:r>
    </w:p>
    <w:p w:rsidR="00AD77BB" w:rsidRDefault="00AD77BB">
      <w:pPr>
        <w:pStyle w:val="simpara"/>
        <w:shd w:val="clear" w:color="auto" w:fill="E3EFF7"/>
        <w:spacing w:before="150" w:beforeAutospacing="0" w:after="0" w:afterAutospacing="0" w:line="360" w:lineRule="auto"/>
        <w:ind w:left="300" w:right="375"/>
        <w:textAlignment w:val="baseline"/>
        <w:rPr>
          <w:rFonts w:ascii="Calibri" w:hAnsi="Calibri"/>
          <w:color w:val="333333"/>
          <w:sz w:val="20"/>
          <w:szCs w:val="20"/>
        </w:rPr>
      </w:pPr>
    </w:p>
    <w:p w:rsidR="00AD77BB" w:rsidRDefault="00B45BA0">
      <w:pPr>
        <w:pStyle w:val="para"/>
        <w:numPr>
          <w:ilvl w:val="0"/>
          <w:numId w:val="204"/>
        </w:numPr>
        <w:shd w:val="clear" w:color="auto" w:fill="E3EFF7"/>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Step 1. The assertion for which evidence must be provided is that the average online price</w:t>
      </w:r>
      <w:r>
        <w:rPr>
          <w:rStyle w:val="apple-converted-space"/>
          <w:rFonts w:ascii="Calibri" w:hAnsi="Calibri"/>
          <w:color w:val="333333"/>
          <w:sz w:val="20"/>
          <w:szCs w:val="20"/>
        </w:rPr>
        <w:t> </w:t>
      </w:r>
      <w:r>
        <w:rPr>
          <w:rStyle w:val="Emphasis"/>
          <w:rFonts w:ascii="Calibri" w:hAnsi="Calibri"/>
          <w:color w:val="333333"/>
          <w:sz w:val="20"/>
          <w:szCs w:val="20"/>
        </w:rPr>
        <w:t>μ</w:t>
      </w:r>
      <w:r>
        <w:rPr>
          <w:rStyle w:val="apple-converted-space"/>
          <w:rFonts w:ascii="Calibri" w:hAnsi="Calibri"/>
          <w:color w:val="333333"/>
          <w:sz w:val="20"/>
          <w:szCs w:val="20"/>
        </w:rPr>
        <w:t> </w:t>
      </w:r>
      <w:r>
        <w:rPr>
          <w:rFonts w:ascii="Calibri" w:hAnsi="Calibri"/>
          <w:color w:val="333333"/>
          <w:sz w:val="20"/>
          <w:szCs w:val="20"/>
        </w:rPr>
        <w:t>is less than the average price in retail stores, so the hypothesis test is</w:t>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050417F9" wp14:editId="0918689A">
            <wp:extent cx="5095875" cy="5905500"/>
            <wp:effectExtent l="0" t="0" r="9525" b="0"/>
            <wp:docPr id="283"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095875" cy="5905500"/>
                    </a:xfrm>
                    <a:prstGeom prst="rect">
                      <a:avLst/>
                    </a:prstGeom>
                    <a:noFill/>
                    <a:ln>
                      <a:noFill/>
                    </a:ln>
                  </pic:spPr>
                </pic:pic>
              </a:graphicData>
            </a:graphic>
          </wp:inline>
        </w:drawing>
      </w:r>
    </w:p>
    <w:p w:rsidR="00AD77BB" w:rsidRDefault="00B45BA0">
      <w:pPr>
        <w:shd w:val="clear" w:color="auto" w:fill="DAEEF3" w:themeFill="accent5" w:themeFillTint="33"/>
        <w:spacing w:after="0" w:line="360" w:lineRule="auto"/>
        <w:ind w:left="300" w:right="375"/>
        <w:textAlignment w:val="baseline"/>
        <w:rPr>
          <w:rFonts w:ascii="Calibri" w:hAnsi="Calibri"/>
          <w:color w:val="333333"/>
          <w:sz w:val="20"/>
          <w:szCs w:val="20"/>
        </w:rPr>
      </w:pPr>
      <w:r>
        <w:rPr>
          <w:rStyle w:val="mo"/>
          <w:rFonts w:ascii="MathJax_Main" w:hAnsi="MathJax_Main"/>
          <w:color w:val="333333"/>
          <w:sz w:val="15"/>
          <w:szCs w:val="15"/>
        </w:rPr>
        <w:t>(</w:t>
      </w:r>
      <w:r>
        <w:rPr>
          <w:rStyle w:val="mtext"/>
          <w:rFonts w:ascii="MathJax_Main" w:hAnsi="MathJax_Main"/>
          <w:color w:val="333333"/>
          <w:sz w:val="15"/>
          <w:szCs w:val="15"/>
        </w:rPr>
        <w:t>−</w:t>
      </w:r>
      <w:r>
        <w:rPr>
          <w:rStyle w:val="mi"/>
          <w:rFonts w:ascii="MathJax_Main" w:hAnsi="MathJax_Main"/>
          <w:color w:val="333333"/>
          <w:sz w:val="15"/>
          <w:szCs w:val="15"/>
        </w:rPr>
        <w:t>∞</w:t>
      </w:r>
      <w:r>
        <w:rPr>
          <w:rStyle w:val="mo"/>
          <w:rFonts w:ascii="MathJax_Main" w:hAnsi="MathJax_Main"/>
          <w:color w:val="333333"/>
          <w:sz w:val="15"/>
          <w:szCs w:val="15"/>
        </w:rPr>
        <w:t>,</w:t>
      </w:r>
      <w:r>
        <w:rPr>
          <w:rStyle w:val="mtext"/>
          <w:rFonts w:ascii="MathJax_Main" w:hAnsi="MathJax_Main"/>
          <w:color w:val="333333"/>
          <w:sz w:val="15"/>
          <w:szCs w:val="15"/>
        </w:rPr>
        <w:t>−</w:t>
      </w:r>
      <w:r>
        <w:rPr>
          <w:rStyle w:val="mn"/>
          <w:rFonts w:ascii="MathJax_Main" w:hAnsi="MathJax_Main"/>
          <w:color w:val="333333"/>
          <w:sz w:val="15"/>
          <w:szCs w:val="15"/>
        </w:rPr>
        <w:t>2.132</w:t>
      </w:r>
      <w:r>
        <w:rPr>
          <w:rStyle w:val="mo"/>
          <w:rFonts w:ascii="MathJax_Main" w:hAnsi="MathJax_Main"/>
          <w:color w:val="333333"/>
          <w:sz w:val="15"/>
          <w:szCs w:val="15"/>
        </w:rPr>
        <w:t>].</w:t>
      </w:r>
    </w:p>
    <w:p w:rsidR="00AD77BB" w:rsidRDefault="00B45BA0">
      <w:pPr>
        <w:pStyle w:val="para"/>
        <w:numPr>
          <w:ilvl w:val="0"/>
          <w:numId w:val="205"/>
        </w:numPr>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Step 5. As shown in</w:t>
      </w:r>
      <w:r>
        <w:rPr>
          <w:rStyle w:val="apple-converted-space"/>
          <w:rFonts w:ascii="Calibri" w:hAnsi="Calibri"/>
          <w:color w:val="333333"/>
          <w:sz w:val="20"/>
          <w:szCs w:val="20"/>
        </w:rPr>
        <w:t> </w:t>
      </w:r>
      <w:r>
        <w:rPr>
          <w:rFonts w:ascii="Calibri" w:hAnsi="Calibri"/>
          <w:color w:val="2689C6"/>
          <w:sz w:val="20"/>
          <w:szCs w:val="20"/>
        </w:rPr>
        <w:t>Figure 8.12 "Rejection Region and Test Statistic for "</w:t>
      </w:r>
      <w:r>
        <w:rPr>
          <w:rStyle w:val="apple-converted-space"/>
          <w:rFonts w:ascii="Calibri" w:hAnsi="Calibri"/>
          <w:color w:val="333333"/>
          <w:sz w:val="20"/>
          <w:szCs w:val="20"/>
        </w:rPr>
        <w:t> </w:t>
      </w:r>
      <w:r>
        <w:rPr>
          <w:rFonts w:ascii="Calibri" w:hAnsi="Calibri"/>
          <w:color w:val="333333"/>
          <w:sz w:val="20"/>
          <w:szCs w:val="20"/>
        </w:rPr>
        <w:t>the test statistic falls in the rejection region. The decision is to reject</w:t>
      </w:r>
      <w:r>
        <w:rPr>
          <w:rStyle w:val="apple-converted-space"/>
          <w:rFonts w:ascii="Calibri" w:hAnsi="Calibri"/>
          <w:color w:val="333333"/>
          <w:sz w:val="20"/>
          <w:szCs w:val="20"/>
        </w:rPr>
        <w:t> </w:t>
      </w:r>
      <w:r>
        <w:rPr>
          <w:rStyle w:val="Emphasis"/>
          <w:rFonts w:ascii="Calibri" w:hAnsi="Calibri"/>
          <w:color w:val="333333"/>
          <w:sz w:val="20"/>
          <w:szCs w:val="20"/>
        </w:rPr>
        <w:t>H</w:t>
      </w:r>
      <w:r>
        <w:rPr>
          <w:rFonts w:ascii="Calibri" w:hAnsi="Calibri"/>
          <w:color w:val="333333"/>
          <w:sz w:val="15"/>
          <w:szCs w:val="15"/>
          <w:vertAlign w:val="subscript"/>
        </w:rPr>
        <w:t>0</w:t>
      </w:r>
      <w:r>
        <w:rPr>
          <w:rFonts w:ascii="Calibri" w:hAnsi="Calibri"/>
          <w:color w:val="333333"/>
          <w:sz w:val="20"/>
          <w:szCs w:val="20"/>
        </w:rPr>
        <w:t>. In the context of the problem our conclusion is:</w:t>
      </w:r>
    </w:p>
    <w:p w:rsidR="00AD77BB" w:rsidRDefault="00B45BA0">
      <w:pPr>
        <w:pStyle w:val="para"/>
        <w:shd w:val="clear" w:color="auto" w:fill="DAEEF3" w:themeFill="accent5" w:themeFillTint="33"/>
        <w:spacing w:before="15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The data provide sufficient evidence, at the 5% level of significance, to conclude that the average price of such rackets purchased at online auctions is less than $179.</w:t>
      </w:r>
    </w:p>
    <w:p w:rsidR="00AD77BB" w:rsidRDefault="00B45BA0">
      <w:pPr>
        <w:pStyle w:val="Title8"/>
        <w:shd w:val="clear" w:color="auto" w:fill="DAEEF3" w:themeFill="accent5" w:themeFillTint="33"/>
        <w:spacing w:before="0" w:beforeAutospacing="0" w:after="0" w:afterAutospacing="0" w:line="439" w:lineRule="atLeast"/>
        <w:ind w:left="300" w:right="375"/>
        <w:textAlignment w:val="baseline"/>
        <w:rPr>
          <w:rFonts w:ascii="Calibri" w:hAnsi="Calibri"/>
          <w:i/>
          <w:iCs/>
          <w:color w:val="BB9966"/>
          <w:sz w:val="18"/>
          <w:szCs w:val="18"/>
        </w:rPr>
      </w:pPr>
      <w:r>
        <w:rPr>
          <w:rStyle w:val="title-prefix"/>
          <w:rFonts w:ascii="Calibri" w:hAnsi="Calibri"/>
          <w:i/>
          <w:iCs/>
          <w:color w:val="000000"/>
          <w:sz w:val="18"/>
          <w:szCs w:val="18"/>
        </w:rPr>
        <w:lastRenderedPageBreak/>
        <w:t>Figure 8.12</w:t>
      </w:r>
      <w:r>
        <w:rPr>
          <w:rFonts w:ascii="Calibri" w:hAnsi="Calibri"/>
          <w:i/>
          <w:iCs/>
          <w:color w:val="BB9966"/>
          <w:sz w:val="18"/>
          <w:szCs w:val="18"/>
        </w:rPr>
        <w:t>Rejection Region and Test Statistic for</w:t>
      </w:r>
      <w:r>
        <w:rPr>
          <w:rFonts w:ascii="Calibri" w:hAnsi="Calibri"/>
          <w:i/>
          <w:iCs/>
          <w:color w:val="2689C6"/>
          <w:sz w:val="18"/>
          <w:szCs w:val="18"/>
        </w:rPr>
        <w:t>Note 8.42 "Example 10"</w:t>
      </w:r>
    </w:p>
    <w:p w:rsidR="00AD77BB" w:rsidRDefault="00B45BA0">
      <w:pPr>
        <w:spacing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14:anchorId="087197D1" wp14:editId="08D9E56D">
            <wp:extent cx="4752975" cy="3076575"/>
            <wp:effectExtent l="0" t="0" r="9525" b="9525"/>
            <wp:docPr id="284" name="Picture 299" descr="http://images.flatworldknowledge.com/shafer/shafer-fig08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images.flatworldknowledge.com/shafer/shafer-fig08_012.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752975" cy="3076575"/>
                    </a:xfrm>
                    <a:prstGeom prst="rect">
                      <a:avLst/>
                    </a:prstGeom>
                    <a:noFill/>
                    <a:ln>
                      <a:noFill/>
                    </a:ln>
                  </pic:spPr>
                </pic:pic>
              </a:graphicData>
            </a:graphic>
          </wp:inline>
        </w:drawing>
      </w:r>
    </w:p>
    <w:p w:rsidR="00AD77BB" w:rsidRDefault="00AD77BB">
      <w:pPr>
        <w:spacing w:line="270" w:lineRule="atLeast"/>
        <w:textAlignment w:val="baseline"/>
        <w:rPr>
          <w:rFonts w:ascii="Georgia" w:hAnsi="Georgia"/>
          <w:color w:val="333333"/>
          <w:sz w:val="20"/>
          <w:szCs w:val="20"/>
          <w:shd w:val="clear" w:color="auto" w:fill="FFFFFF"/>
        </w:rPr>
      </w:pPr>
    </w:p>
    <w:p w:rsidR="00AD77BB" w:rsidRDefault="00B45BA0">
      <w:pPr>
        <w:spacing w:line="270" w:lineRule="atLeast"/>
        <w:textAlignment w:val="baseline"/>
        <w:rPr>
          <w:rFonts w:ascii="Calibri" w:hAnsi="Calibri"/>
          <w:color w:val="555555"/>
          <w:sz w:val="23"/>
          <w:szCs w:val="23"/>
        </w:rPr>
      </w:pPr>
      <w:r>
        <w:rPr>
          <w:rFonts w:ascii="Georgia" w:hAnsi="Georgia"/>
          <w:color w:val="333333"/>
          <w:sz w:val="20"/>
          <w:szCs w:val="20"/>
          <w:shd w:val="clear" w:color="auto" w:fill="FFFFFF"/>
        </w:rPr>
        <w:t>To perform the test in</w:t>
      </w:r>
      <w:r>
        <w:rPr>
          <w:rStyle w:val="apple-converted-space"/>
          <w:rFonts w:ascii="Georgia" w:hAnsi="Georgia"/>
          <w:color w:val="333333"/>
          <w:sz w:val="20"/>
          <w:szCs w:val="20"/>
          <w:shd w:val="clear" w:color="auto" w:fill="FFFFFF"/>
        </w:rPr>
        <w:t> </w:t>
      </w:r>
      <w:r>
        <w:rPr>
          <w:rFonts w:ascii="Georgia" w:hAnsi="Georgia"/>
          <w:color w:val="2689C6"/>
          <w:sz w:val="20"/>
          <w:szCs w:val="20"/>
          <w:shd w:val="clear" w:color="auto" w:fill="FFFFFF"/>
        </w:rPr>
        <w:t>Note 8.42 "Example 10"</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using the</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p</w:t>
      </w:r>
      <w:r>
        <w:rPr>
          <w:rFonts w:ascii="Georgia" w:hAnsi="Georgia"/>
          <w:color w:val="333333"/>
          <w:sz w:val="20"/>
          <w:szCs w:val="20"/>
          <w:shd w:val="clear" w:color="auto" w:fill="FFFFFF"/>
        </w:rPr>
        <w:t>-value approach, look in the row in</w:t>
      </w:r>
      <w:r>
        <w:rPr>
          <w:rStyle w:val="apple-converted-space"/>
          <w:rFonts w:ascii="Georgia" w:hAnsi="Georgia"/>
          <w:color w:val="333333"/>
          <w:sz w:val="20"/>
          <w:szCs w:val="20"/>
          <w:shd w:val="clear" w:color="auto" w:fill="FFFFFF"/>
        </w:rPr>
        <w:t> </w:t>
      </w:r>
      <w:r>
        <w:rPr>
          <w:rFonts w:ascii="Georgia" w:hAnsi="Georgia"/>
          <w:color w:val="2689C6"/>
          <w:sz w:val="20"/>
          <w:szCs w:val="20"/>
          <w:shd w:val="clear" w:color="auto" w:fill="FFFFFF"/>
        </w:rPr>
        <w:t>Figure 12.3 "Critical Values of "</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with the heading</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shd w:val="clear" w:color="auto" w:fill="FFFFFF"/>
        </w:rPr>
        <w:t>df</w:t>
      </w:r>
      <w:r>
        <w:rPr>
          <w:rStyle w:val="mo"/>
          <w:rFonts w:ascii="MathJax_Main" w:hAnsi="MathJax_Main"/>
          <w:color w:val="333333"/>
          <w:sz w:val="18"/>
          <w:szCs w:val="18"/>
          <w:shd w:val="clear" w:color="auto" w:fill="FFFFFF"/>
        </w:rPr>
        <w:t>=</w:t>
      </w:r>
      <w:r>
        <w:rPr>
          <w:rStyle w:val="mn"/>
          <w:rFonts w:ascii="MathJax_Main" w:hAnsi="MathJax_Main"/>
          <w:color w:val="333333"/>
          <w:sz w:val="18"/>
          <w:szCs w:val="18"/>
          <w:shd w:val="clear" w:color="auto" w:fill="FFFFFF"/>
        </w:rPr>
        <w:t>4</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and search for the two</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t</w:t>
      </w:r>
      <w:r>
        <w:rPr>
          <w:rFonts w:ascii="Georgia" w:hAnsi="Georgia"/>
          <w:color w:val="333333"/>
          <w:sz w:val="20"/>
          <w:szCs w:val="20"/>
          <w:shd w:val="clear" w:color="auto" w:fill="FFFFFF"/>
        </w:rPr>
        <w:t>-values that bracket the unsigned value 2.152 of the test statistic. They are 2.132 and 2.776, in the columns with headings</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t</w:t>
      </w:r>
      <w:r>
        <w:rPr>
          <w:rFonts w:ascii="Georgia" w:hAnsi="Georgia"/>
          <w:color w:val="333333"/>
          <w:sz w:val="20"/>
          <w:szCs w:val="20"/>
          <w:shd w:val="clear" w:color="auto" w:fill="FFFFFF"/>
          <w:vertAlign w:val="subscript"/>
        </w:rPr>
        <w:t>0.050</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and</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t</w:t>
      </w:r>
      <w:r>
        <w:rPr>
          <w:rFonts w:ascii="Georgia" w:hAnsi="Georgia"/>
          <w:color w:val="333333"/>
          <w:sz w:val="20"/>
          <w:szCs w:val="20"/>
          <w:shd w:val="clear" w:color="auto" w:fill="FFFFFF"/>
          <w:vertAlign w:val="subscript"/>
        </w:rPr>
        <w:t>0.025</w:t>
      </w:r>
      <w:r>
        <w:rPr>
          <w:rFonts w:ascii="Georgia" w:hAnsi="Georgia"/>
          <w:color w:val="333333"/>
          <w:sz w:val="20"/>
          <w:szCs w:val="20"/>
          <w:shd w:val="clear" w:color="auto" w:fill="FFFFFF"/>
        </w:rPr>
        <w:t>. They cut off right tails of area 0.050 and 0.025, so because 2.152 is between them it must cut off a tail of area between 0.050 and 0.025. By symmetry −2.152 cuts off a left tail of area between 0.050 and 0.025, hence the</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p</w:t>
      </w:r>
      <w:r>
        <w:rPr>
          <w:rFonts w:ascii="Georgia" w:hAnsi="Georgia"/>
          <w:color w:val="333333"/>
          <w:sz w:val="20"/>
          <w:szCs w:val="20"/>
          <w:shd w:val="clear" w:color="auto" w:fill="FFFFFF"/>
        </w:rPr>
        <w:t>-value corresponding to</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shd w:val="clear" w:color="auto" w:fill="FFFFFF"/>
        </w:rPr>
        <w:t>t</w:t>
      </w:r>
      <w:r>
        <w:rPr>
          <w:rStyle w:val="mo"/>
          <w:rFonts w:ascii="MathJax_Main" w:hAnsi="MathJax_Main"/>
          <w:color w:val="333333"/>
          <w:sz w:val="18"/>
          <w:szCs w:val="18"/>
          <w:shd w:val="clear" w:color="auto" w:fill="FFFFFF"/>
        </w:rPr>
        <w:t>=</w:t>
      </w:r>
      <w:r>
        <w:rPr>
          <w:rStyle w:val="mtext"/>
          <w:rFonts w:ascii="MathJax_Main" w:hAnsi="MathJax_Main"/>
          <w:color w:val="333333"/>
          <w:sz w:val="18"/>
          <w:szCs w:val="18"/>
          <w:shd w:val="clear" w:color="auto" w:fill="FFFFFF"/>
        </w:rPr>
        <w:t>−</w:t>
      </w:r>
      <w:r>
        <w:rPr>
          <w:rStyle w:val="mn"/>
          <w:rFonts w:ascii="MathJax_Main" w:hAnsi="MathJax_Main"/>
          <w:color w:val="333333"/>
          <w:sz w:val="18"/>
          <w:szCs w:val="18"/>
          <w:shd w:val="clear" w:color="auto" w:fill="FFFFFF"/>
        </w:rPr>
        <w:t>2.152</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is between 0.025 and 0.05. Although its precise value is unknown, it must be less than</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shd w:val="clear" w:color="auto" w:fill="FFFFFF"/>
        </w:rPr>
        <w:t>α</w:t>
      </w:r>
      <w:r>
        <w:rPr>
          <w:rStyle w:val="mo"/>
          <w:rFonts w:ascii="MathJax_Main" w:hAnsi="MathJax_Main"/>
          <w:color w:val="333333"/>
          <w:sz w:val="18"/>
          <w:szCs w:val="18"/>
          <w:shd w:val="clear" w:color="auto" w:fill="FFFFFF"/>
        </w:rPr>
        <w:t>=</w:t>
      </w:r>
      <w:r>
        <w:rPr>
          <w:rStyle w:val="mn"/>
          <w:rFonts w:ascii="MathJax_Main" w:hAnsi="MathJax_Main"/>
          <w:color w:val="333333"/>
          <w:sz w:val="18"/>
          <w:szCs w:val="18"/>
          <w:shd w:val="clear" w:color="auto" w:fill="FFFFFF"/>
        </w:rPr>
        <w:t>0.05</w:t>
      </w:r>
      <w:r>
        <w:rPr>
          <w:rFonts w:ascii="Georgia" w:hAnsi="Georgia"/>
          <w:color w:val="333333"/>
          <w:sz w:val="20"/>
          <w:szCs w:val="20"/>
          <w:shd w:val="clear" w:color="auto" w:fill="FFFFFF"/>
        </w:rPr>
        <w:t>, so the decision is to reject</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H</w:t>
      </w:r>
      <w:r>
        <w:rPr>
          <w:rFonts w:ascii="Georgia" w:hAnsi="Georgia"/>
          <w:color w:val="333333"/>
          <w:sz w:val="20"/>
          <w:szCs w:val="20"/>
          <w:shd w:val="clear" w:color="auto" w:fill="FFFFFF"/>
          <w:vertAlign w:val="subscript"/>
        </w:rPr>
        <w:t>0</w:t>
      </w:r>
      <w:r>
        <w:rPr>
          <w:rFonts w:ascii="Georgia" w:hAnsi="Georgia"/>
          <w:color w:val="333333"/>
          <w:sz w:val="20"/>
          <w:szCs w:val="20"/>
          <w:shd w:val="clear" w:color="auto" w:fill="FFFFFF"/>
        </w:rPr>
        <w:t>.</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EXAMPLE 11</w:t>
      </w:r>
    </w:p>
    <w:p w:rsidR="00AD77BB" w:rsidRDefault="00B45BA0">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A small component in an electronic device has two small holes where another tiny part is fitted. In the manufacturing process the average distance between the two holes must be tightly controlled at 0.02 mm, else many units would be defective and wasted. Many times throughout the day quality control engineers take a small sample of the components from the production line, measure the distance between the two holes, and make adjustments if needed. Suppose at one time four units are taken and the distances are measured as</w:t>
      </w:r>
    </w:p>
    <w:p w:rsidR="00AD77BB" w:rsidRDefault="00B45BA0">
      <w:pPr>
        <w:shd w:val="clear" w:color="auto" w:fill="DAEEF3" w:themeFill="accent5" w:themeFillTint="33"/>
        <w:spacing w:line="360" w:lineRule="auto"/>
        <w:jc w:val="center"/>
        <w:textAlignment w:val="baseline"/>
        <w:rPr>
          <w:rFonts w:ascii="Calibri" w:eastAsia="Times New Roman" w:hAnsi="Calibri" w:cs="Times New Roman"/>
          <w:b/>
          <w:color w:val="555555"/>
          <w:sz w:val="23"/>
          <w:szCs w:val="23"/>
        </w:rPr>
      </w:pPr>
      <w:r>
        <w:rPr>
          <w:rFonts w:ascii="MathJax_Main" w:eastAsia="Times New Roman" w:hAnsi="MathJax_Main" w:cs="Times New Roman"/>
          <w:b/>
          <w:color w:val="555555"/>
          <w:sz w:val="18"/>
          <w:szCs w:val="18"/>
        </w:rPr>
        <w:t>0.021 0.019 0.023 0.020</w:t>
      </w:r>
    </w:p>
    <w:p w:rsidR="00AD77BB" w:rsidRDefault="00B45BA0">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Determine, at the 1% level of significance, if there is sufficient evidence in the sample to conclude that an adjustment is needed. Assume the distances of interest are normally distributed.</w:t>
      </w:r>
    </w:p>
    <w:p w:rsidR="00AD77BB" w:rsidRDefault="00B45BA0">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Solution:</w:t>
      </w:r>
    </w:p>
    <w:p w:rsidR="00AD77BB" w:rsidRDefault="00B45BA0">
      <w:pPr>
        <w:numPr>
          <w:ilvl w:val="0"/>
          <w:numId w:val="206"/>
        </w:numPr>
        <w:shd w:val="clear" w:color="auto" w:fill="DAEEF3" w:themeFill="accent5" w:themeFillTint="33"/>
        <w:spacing w:before="150" w:after="0" w:line="360" w:lineRule="auto"/>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Step 1. The assumption is that the process is under control unless there is strong evidence to the contrary. Since a deviation of the average distance to either side is undesirable, the relevant test is</w:t>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2A43386D" wp14:editId="6FD87F6B">
            <wp:extent cx="5248275" cy="6372225"/>
            <wp:effectExtent l="0" t="0" r="9525" b="9525"/>
            <wp:docPr id="285"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248275" cy="6372225"/>
                    </a:xfrm>
                    <a:prstGeom prst="rect">
                      <a:avLst/>
                    </a:prstGeom>
                    <a:noFill/>
                    <a:ln>
                      <a:noFill/>
                    </a:ln>
                  </pic:spPr>
                </pic:pic>
              </a:graphicData>
            </a:graphic>
          </wp:inline>
        </w:drawing>
      </w:r>
    </w:p>
    <w:p w:rsidR="00AD77BB" w:rsidRDefault="00B45BA0">
      <w:pPr>
        <w:pStyle w:val="para"/>
        <w:shd w:val="clear" w:color="auto" w:fill="DAEEF3" w:themeFill="accent5" w:themeFillTint="33"/>
        <w:spacing w:before="15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conclusion is:</w:t>
      </w:r>
    </w:p>
    <w:p w:rsidR="00AD77BB" w:rsidRDefault="00B45BA0">
      <w:pPr>
        <w:pStyle w:val="para"/>
        <w:shd w:val="clear" w:color="auto" w:fill="DAEEF3" w:themeFill="accent5" w:themeFillTint="33"/>
        <w:spacing w:before="15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The data do not provide sufficient evidence, at the 1% level of significance, to conclude that the mean distance between the holes in the component differs from 0.02 mm.</w:t>
      </w:r>
    </w:p>
    <w:p w:rsidR="00AD77BB" w:rsidRDefault="00AD77BB">
      <w:pPr>
        <w:pStyle w:val="para"/>
        <w:shd w:val="clear" w:color="auto" w:fill="DAEEF3" w:themeFill="accent5" w:themeFillTint="33"/>
        <w:spacing w:before="150" w:beforeAutospacing="0" w:after="0" w:afterAutospacing="0" w:line="360" w:lineRule="auto"/>
        <w:ind w:left="600" w:right="750"/>
        <w:textAlignment w:val="baseline"/>
        <w:rPr>
          <w:rFonts w:ascii="Calibri" w:hAnsi="Calibri"/>
          <w:color w:val="333333"/>
          <w:sz w:val="20"/>
          <w:szCs w:val="20"/>
        </w:rPr>
      </w:pPr>
    </w:p>
    <w:p w:rsidR="00AD77BB" w:rsidRDefault="00B45BA0">
      <w:pPr>
        <w:pStyle w:val="Title8"/>
        <w:shd w:val="clear" w:color="auto" w:fill="DAEEF3" w:themeFill="accent5" w:themeFillTint="33"/>
        <w:spacing w:before="0" w:beforeAutospacing="0" w:after="0" w:afterAutospacing="0" w:line="360" w:lineRule="auto"/>
        <w:ind w:left="300" w:right="375"/>
        <w:textAlignment w:val="baseline"/>
        <w:rPr>
          <w:rFonts w:ascii="Calibri" w:hAnsi="Calibri"/>
          <w:i/>
          <w:iCs/>
          <w:color w:val="BB9966"/>
          <w:sz w:val="18"/>
          <w:szCs w:val="18"/>
        </w:rPr>
      </w:pPr>
      <w:r>
        <w:rPr>
          <w:rStyle w:val="title-prefix"/>
          <w:rFonts w:ascii="Calibri" w:hAnsi="Calibri"/>
          <w:i/>
          <w:iCs/>
          <w:color w:val="000000"/>
          <w:sz w:val="18"/>
          <w:szCs w:val="18"/>
        </w:rPr>
        <w:lastRenderedPageBreak/>
        <w:t>Figure 8.13</w:t>
      </w:r>
      <w:r>
        <w:rPr>
          <w:rFonts w:ascii="Calibri" w:hAnsi="Calibri"/>
          <w:i/>
          <w:iCs/>
          <w:color w:val="BB9966"/>
          <w:sz w:val="18"/>
          <w:szCs w:val="18"/>
        </w:rPr>
        <w:t>Rejection Region and Test Statistic for</w:t>
      </w:r>
      <w:r>
        <w:rPr>
          <w:rFonts w:ascii="Calibri" w:hAnsi="Calibri"/>
          <w:i/>
          <w:iCs/>
          <w:color w:val="2689C6"/>
          <w:sz w:val="18"/>
          <w:szCs w:val="18"/>
        </w:rPr>
        <w:t>Note 8.43 "Example 11"</w:t>
      </w:r>
    </w:p>
    <w:p w:rsidR="00AD77BB" w:rsidRDefault="00B45BA0">
      <w:pPr>
        <w:spacing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14:anchorId="5F9D1332" wp14:editId="27F65196">
            <wp:extent cx="5000625" cy="3238500"/>
            <wp:effectExtent l="0" t="0" r="9525" b="0"/>
            <wp:docPr id="286" name="Picture 301" descr="http://images.flatworldknowledge.com/shafer/shafer-fig08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images.flatworldknowledge.com/shafer/shafer-fig08_013.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000625" cy="3238500"/>
                    </a:xfrm>
                    <a:prstGeom prst="rect">
                      <a:avLst/>
                    </a:prstGeom>
                    <a:noFill/>
                    <a:ln>
                      <a:noFill/>
                    </a:ln>
                  </pic:spPr>
                </pic:pic>
              </a:graphicData>
            </a:graphic>
          </wp:inline>
        </w:drawing>
      </w: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B45BA0">
      <w:pPr>
        <w:shd w:val="clear" w:color="auto" w:fill="FFFFFF" w:themeFill="background1"/>
        <w:spacing w:after="0" w:line="360" w:lineRule="auto"/>
        <w:ind w:left="240" w:right="374"/>
        <w:textAlignment w:val="baseline"/>
        <w:rPr>
          <w:rFonts w:ascii="Georgia" w:hAnsi="Georgia"/>
          <w:color w:val="333333"/>
          <w:sz w:val="20"/>
          <w:szCs w:val="20"/>
          <w:shd w:val="clear" w:color="auto" w:fill="FFFFFF"/>
        </w:rPr>
      </w:pPr>
      <w:r>
        <w:rPr>
          <w:rFonts w:ascii="Georgia" w:hAnsi="Georgia"/>
          <w:color w:val="333333"/>
          <w:sz w:val="20"/>
          <w:szCs w:val="20"/>
          <w:shd w:val="clear" w:color="auto" w:fill="FFFFFF"/>
        </w:rPr>
        <w:t>To perform the test in</w:t>
      </w:r>
      <w:r>
        <w:rPr>
          <w:rStyle w:val="apple-converted-space"/>
          <w:rFonts w:ascii="Georgia" w:hAnsi="Georgia"/>
          <w:color w:val="333333"/>
          <w:sz w:val="20"/>
          <w:szCs w:val="20"/>
          <w:shd w:val="clear" w:color="auto" w:fill="FFFFFF"/>
        </w:rPr>
        <w:t> </w:t>
      </w:r>
      <w:r>
        <w:rPr>
          <w:rFonts w:ascii="Georgia" w:hAnsi="Georgia"/>
          <w:color w:val="2689C6"/>
          <w:sz w:val="20"/>
          <w:szCs w:val="20"/>
          <w:shd w:val="clear" w:color="auto" w:fill="FFFFFF"/>
        </w:rPr>
        <w:t>Note 8.43 "Example 11"</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using the</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p</w:t>
      </w:r>
      <w:r>
        <w:rPr>
          <w:rFonts w:ascii="Georgia" w:hAnsi="Georgia"/>
          <w:color w:val="333333"/>
          <w:sz w:val="20"/>
          <w:szCs w:val="20"/>
          <w:shd w:val="clear" w:color="auto" w:fill="FFFFFF"/>
        </w:rPr>
        <w:t>-value approach, look in the row in</w:t>
      </w:r>
      <w:r>
        <w:rPr>
          <w:rStyle w:val="apple-converted-space"/>
          <w:rFonts w:ascii="Georgia" w:hAnsi="Georgia"/>
          <w:color w:val="333333"/>
          <w:sz w:val="20"/>
          <w:szCs w:val="20"/>
          <w:shd w:val="clear" w:color="auto" w:fill="FFFFFF"/>
        </w:rPr>
        <w:t> </w:t>
      </w:r>
      <w:r>
        <w:rPr>
          <w:rFonts w:ascii="Georgia" w:hAnsi="Georgia"/>
          <w:color w:val="2689C6"/>
          <w:sz w:val="20"/>
          <w:szCs w:val="20"/>
          <w:shd w:val="clear" w:color="auto" w:fill="FFFFFF"/>
        </w:rPr>
        <w:t>Figure 12.3 "Critical Values of "</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with the heading</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shd w:val="clear" w:color="auto" w:fill="FFFFFF"/>
        </w:rPr>
        <w:t>df</w:t>
      </w:r>
      <w:r>
        <w:rPr>
          <w:rStyle w:val="mo"/>
          <w:rFonts w:ascii="MathJax_Main" w:hAnsi="MathJax_Main"/>
          <w:color w:val="333333"/>
          <w:sz w:val="18"/>
          <w:szCs w:val="18"/>
          <w:shd w:val="clear" w:color="auto" w:fill="FFFFFF"/>
        </w:rPr>
        <w:t>=</w:t>
      </w:r>
      <w:r>
        <w:rPr>
          <w:rStyle w:val="mn"/>
          <w:rFonts w:ascii="MathJax_Main" w:hAnsi="MathJax_Main"/>
          <w:color w:val="333333"/>
          <w:sz w:val="18"/>
          <w:szCs w:val="18"/>
          <w:shd w:val="clear" w:color="auto" w:fill="FFFFFF"/>
        </w:rPr>
        <w:t>3</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and search for the two</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t</w:t>
      </w:r>
      <w:r>
        <w:rPr>
          <w:rFonts w:ascii="Georgia" w:hAnsi="Georgia"/>
          <w:color w:val="333333"/>
          <w:sz w:val="20"/>
          <w:szCs w:val="20"/>
          <w:shd w:val="clear" w:color="auto" w:fill="FFFFFF"/>
        </w:rPr>
        <w:t>-values that bracket the value 0.877 of the test statistic. Actually 0.877 is smaller than the smallest number in the row, which is 0.978, in the column with heading</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t</w:t>
      </w:r>
      <w:r>
        <w:rPr>
          <w:rFonts w:ascii="Georgia" w:hAnsi="Georgia"/>
          <w:color w:val="333333"/>
          <w:sz w:val="20"/>
          <w:szCs w:val="20"/>
          <w:shd w:val="clear" w:color="auto" w:fill="FFFFFF"/>
          <w:vertAlign w:val="subscript"/>
        </w:rPr>
        <w:t>0.200</w:t>
      </w:r>
      <w:r>
        <w:rPr>
          <w:rFonts w:ascii="Georgia" w:hAnsi="Georgia"/>
          <w:color w:val="333333"/>
          <w:sz w:val="20"/>
          <w:szCs w:val="20"/>
          <w:shd w:val="clear" w:color="auto" w:fill="FFFFFF"/>
        </w:rPr>
        <w:t>. The value 0.978 cuts off a right tail of area 0.200, so because 0.877 is to its left it must cut off a tail of area greater than 0.200. Thus the</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p</w:t>
      </w:r>
      <w:r>
        <w:rPr>
          <w:rFonts w:ascii="Georgia" w:hAnsi="Georgia"/>
          <w:color w:val="333333"/>
          <w:sz w:val="20"/>
          <w:szCs w:val="20"/>
          <w:shd w:val="clear" w:color="auto" w:fill="FFFFFF"/>
        </w:rPr>
        <w:t>-value, which is the double of the area cut off (since the test is two-tailed), is greater than 0.400. Although its precise value is unknown, it must be greater than</w:t>
      </w:r>
      <w:r>
        <w:rPr>
          <w:rStyle w:val="apple-converted-space"/>
          <w:rFonts w:ascii="Georgia" w:hAnsi="Georgia"/>
          <w:color w:val="333333"/>
          <w:sz w:val="20"/>
          <w:szCs w:val="20"/>
          <w:shd w:val="clear" w:color="auto" w:fill="FFFFFF"/>
        </w:rPr>
        <w:t> </w:t>
      </w:r>
      <w:r>
        <w:rPr>
          <w:rStyle w:val="mi"/>
          <w:rFonts w:ascii="MathJax_Math" w:hAnsi="MathJax_Math"/>
          <w:i/>
          <w:iCs/>
          <w:color w:val="333333"/>
          <w:sz w:val="18"/>
          <w:szCs w:val="18"/>
          <w:shd w:val="clear" w:color="auto" w:fill="FFFFFF"/>
        </w:rPr>
        <w:t>α</w:t>
      </w:r>
      <w:r>
        <w:rPr>
          <w:rStyle w:val="mo"/>
          <w:rFonts w:ascii="MathJax_Main" w:hAnsi="MathJax_Main"/>
          <w:color w:val="333333"/>
          <w:sz w:val="18"/>
          <w:szCs w:val="18"/>
          <w:shd w:val="clear" w:color="auto" w:fill="FFFFFF"/>
        </w:rPr>
        <w:t>=</w:t>
      </w:r>
      <w:r>
        <w:rPr>
          <w:rStyle w:val="mn"/>
          <w:rFonts w:ascii="MathJax_Main" w:hAnsi="MathJax_Main"/>
          <w:color w:val="333333"/>
          <w:sz w:val="18"/>
          <w:szCs w:val="18"/>
          <w:shd w:val="clear" w:color="auto" w:fill="FFFFFF"/>
        </w:rPr>
        <w:t>0.01</w:t>
      </w:r>
      <w:r>
        <w:rPr>
          <w:rFonts w:ascii="Georgia" w:hAnsi="Georgia"/>
          <w:color w:val="333333"/>
          <w:sz w:val="20"/>
          <w:szCs w:val="20"/>
          <w:shd w:val="clear" w:color="auto" w:fill="FFFFFF"/>
        </w:rPr>
        <w:t>, so the decision is not to reject</w:t>
      </w:r>
      <w:r>
        <w:rPr>
          <w:rStyle w:val="apple-converted-space"/>
          <w:rFonts w:ascii="Georgia" w:hAnsi="Georgia"/>
          <w:color w:val="333333"/>
          <w:sz w:val="20"/>
          <w:szCs w:val="20"/>
          <w:shd w:val="clear" w:color="auto" w:fill="FFFFFF"/>
        </w:rPr>
        <w:t> </w:t>
      </w:r>
      <w:r>
        <w:rPr>
          <w:rStyle w:val="Emphasis"/>
          <w:rFonts w:ascii="Georgia" w:hAnsi="Georgia"/>
          <w:color w:val="333333"/>
          <w:sz w:val="20"/>
          <w:szCs w:val="20"/>
          <w:shd w:val="clear" w:color="auto" w:fill="FFFFFF"/>
        </w:rPr>
        <w:t>H</w:t>
      </w:r>
      <w:r>
        <w:rPr>
          <w:rFonts w:ascii="Georgia" w:hAnsi="Georgia"/>
          <w:color w:val="333333"/>
          <w:sz w:val="20"/>
          <w:szCs w:val="20"/>
          <w:shd w:val="clear" w:color="auto" w:fill="FFFFFF"/>
          <w:vertAlign w:val="subscript"/>
        </w:rPr>
        <w:t>0</w:t>
      </w:r>
      <w:r>
        <w:rPr>
          <w:rFonts w:ascii="Georgia" w:hAnsi="Georgia"/>
          <w:color w:val="333333"/>
          <w:sz w:val="20"/>
          <w:szCs w:val="20"/>
          <w:shd w:val="clear" w:color="auto" w:fill="FFFFFF"/>
        </w:rPr>
        <w:t>.</w:t>
      </w:r>
    </w:p>
    <w:p w:rsidR="00AD77BB" w:rsidRDefault="00AD77BB">
      <w:pPr>
        <w:shd w:val="clear" w:color="auto" w:fill="FFFFFF" w:themeFill="background1"/>
        <w:spacing w:after="0" w:line="360" w:lineRule="auto"/>
        <w:ind w:left="240" w:right="374"/>
        <w:textAlignment w:val="baseline"/>
        <w:rPr>
          <w:rFonts w:ascii="Georgia" w:hAnsi="Georgia"/>
          <w:color w:val="333333"/>
          <w:sz w:val="20"/>
          <w:szCs w:val="20"/>
          <w:shd w:val="clear" w:color="auto" w:fill="FFFFFF"/>
        </w:rPr>
      </w:pP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KEY TAKEAWAYS</w:t>
      </w:r>
    </w:p>
    <w:p w:rsidR="00AD77BB" w:rsidRDefault="00B45BA0">
      <w:pPr>
        <w:numPr>
          <w:ilvl w:val="0"/>
          <w:numId w:val="207"/>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There are two formulas for the test statistic in testing hypotheses about a population mean with small samples. One test statistic follows the standard normal distribution, the other Student’s </w:t>
      </w:r>
      <w:r>
        <w:rPr>
          <w:rFonts w:ascii="Calibri" w:eastAsia="Times New Roman" w:hAnsi="Calibri" w:cs="Times New Roman"/>
          <w:i/>
          <w:iCs/>
          <w:color w:val="333333"/>
          <w:sz w:val="20"/>
          <w:szCs w:val="20"/>
        </w:rPr>
        <w:t>t</w:t>
      </w:r>
      <w:r>
        <w:rPr>
          <w:rFonts w:ascii="Calibri" w:eastAsia="Times New Roman" w:hAnsi="Calibri" w:cs="Times New Roman"/>
          <w:color w:val="333333"/>
          <w:sz w:val="20"/>
          <w:szCs w:val="20"/>
        </w:rPr>
        <w:t>-distribution.</w:t>
      </w:r>
    </w:p>
    <w:p w:rsidR="00AD77BB" w:rsidRDefault="00B45BA0">
      <w:pPr>
        <w:numPr>
          <w:ilvl w:val="0"/>
          <w:numId w:val="207"/>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population standard deviation is used if it is known, otherwise the sample standard deviation is used.</w:t>
      </w:r>
    </w:p>
    <w:p w:rsidR="00AD77BB" w:rsidRDefault="00B45BA0">
      <w:pPr>
        <w:numPr>
          <w:ilvl w:val="0"/>
          <w:numId w:val="207"/>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Either five-step procedure, critical value or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approach, is used with either test statistic.</w:t>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2FA4BAF7" wp14:editId="5DA5568B">
            <wp:extent cx="5343525" cy="6257925"/>
            <wp:effectExtent l="0" t="0" r="9525" b="9525"/>
            <wp:docPr id="287"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343525" cy="625792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2AF5F0E8" wp14:editId="3827C907">
            <wp:extent cx="5286375" cy="5857875"/>
            <wp:effectExtent l="0" t="0" r="9525" b="9525"/>
            <wp:docPr id="288"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286375" cy="5857875"/>
                    </a:xfrm>
                    <a:prstGeom prst="rect">
                      <a:avLst/>
                    </a:prstGeom>
                    <a:noFill/>
                    <a:ln>
                      <a:noFill/>
                    </a:ln>
                  </pic:spPr>
                </pic:pic>
              </a:graphicData>
            </a:graphic>
          </wp:inline>
        </w:drawing>
      </w:r>
    </w:p>
    <w:p w:rsidR="00AD77BB" w:rsidRDefault="00B45BA0">
      <w:pPr>
        <w:numPr>
          <w:ilvl w:val="0"/>
          <w:numId w:val="208"/>
        </w:numPr>
        <w:shd w:val="clear" w:color="auto" w:fill="E3EFF7"/>
        <w:spacing w:after="0" w:line="366" w:lineRule="atLeast"/>
        <w:ind w:lef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w:t>
      </w: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=250</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&gt;250</w:t>
      </w:r>
      <w:r>
        <w:rPr>
          <w:rFonts w:ascii="Calibri" w:eastAsia="Times New Roman" w:hAnsi="Calibri" w:cs="Times New Roman"/>
          <w:color w:val="333333"/>
          <w:sz w:val="20"/>
          <w:szCs w:val="20"/>
        </w:rPr>
        <w:t> @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=0.05.</w:t>
      </w:r>
    </w:p>
    <w:p w:rsidR="00AD77BB" w:rsidRDefault="00B45BA0">
      <w:pPr>
        <w:numPr>
          <w:ilvl w:val="0"/>
          <w:numId w:val="208"/>
        </w:numPr>
        <w:shd w:val="clear" w:color="auto" w:fill="E3EFF7"/>
        <w:spacing w:after="0" w:line="366" w:lineRule="atLeast"/>
        <w:ind w:lef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Estimate the observed significance of the test in part (a) and state a decision based on the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approach to hypothesis testing.</w:t>
      </w: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B45BA0">
      <w:pPr>
        <w:numPr>
          <w:ilvl w:val="0"/>
          <w:numId w:val="20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random sample of size 12 drawn from a normal population yielded the following results: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−=86.2</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rPr>
        <w:t> = 0.63.</w:t>
      </w:r>
    </w:p>
    <w:p w:rsidR="00AD77BB" w:rsidRDefault="00B45BA0">
      <w:pPr>
        <w:numPr>
          <w:ilvl w:val="1"/>
          <w:numId w:val="20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w:t>
      </w:r>
      <w:r>
        <w:rPr>
          <w:rFonts w:ascii="MathJax_Math" w:eastAsia="Times New Roman" w:hAnsi="MathJax_Math" w:cs="Times New Roman"/>
          <w:i/>
          <w:iCs/>
          <w:color w:val="333333"/>
          <w:sz w:val="15"/>
          <w:szCs w:val="15"/>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=85.5</w:t>
      </w:r>
      <w:r>
        <w:rPr>
          <w:rFonts w:ascii="Calibri" w:eastAsia="Times New Roman" w:hAnsi="Calibri" w:cs="Times New Roman"/>
          <w:color w:val="333333"/>
          <w:sz w:val="20"/>
          <w:szCs w:val="20"/>
        </w:rPr>
        <w:t> vs. </w:t>
      </w:r>
      <w:r>
        <w:rPr>
          <w:rFonts w:ascii="MathJax_Math" w:eastAsia="Times New Roman" w:hAnsi="MathJax_Math" w:cs="Times New Roman"/>
          <w:i/>
          <w:iCs/>
          <w:color w:val="333333"/>
          <w:sz w:val="15"/>
          <w:szCs w:val="15"/>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5"/>
          <w:szCs w:val="15"/>
        </w:rPr>
        <w:t>≠85.5</w:t>
      </w:r>
      <w:r>
        <w:rPr>
          <w:rFonts w:ascii="Calibri" w:eastAsia="Times New Roman" w:hAnsi="Calibri" w:cs="Times New Roman"/>
          <w:color w:val="333333"/>
          <w:sz w:val="20"/>
          <w:szCs w:val="20"/>
        </w:rPr>
        <w:t> @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=0.01.</w:t>
      </w:r>
    </w:p>
    <w:p w:rsidR="00AD77BB" w:rsidRDefault="00B45BA0">
      <w:pPr>
        <w:numPr>
          <w:ilvl w:val="1"/>
          <w:numId w:val="20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Estimate the observed significance of the test in part (a) and state a decision based on the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approach to hypothesis testing.</w:t>
      </w:r>
    </w:p>
    <w:p w:rsidR="00AD77BB" w:rsidRDefault="00AD77BB">
      <w:p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lastRenderedPageBreak/>
        <w:t>APPLICATIONS</w:t>
      </w:r>
    </w:p>
    <w:p w:rsidR="00AD77BB" w:rsidRDefault="00B45BA0">
      <w:pPr>
        <w:numPr>
          <w:ilvl w:val="0"/>
          <w:numId w:val="210"/>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Researchers wish to test the efficacy of a program intended to reduce the length of labor in childbirth. The accepted mean labor time in the birth of a first child is 15.3 hours. The mean length of the labors of 13 first-time mothers in a pilot program was 8.8 hours with standard deviation 3.1 hours. Assuming a normal distribution of times of labor, test at the 10% level of significance test whether the mean labor time for all women following this program is less than 15.3 hours.</w:t>
      </w:r>
    </w:p>
    <w:p w:rsidR="00AD77BB" w:rsidRDefault="00AD77BB">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p>
    <w:p w:rsidR="00AD77BB" w:rsidRDefault="00B45BA0">
      <w:pPr>
        <w:numPr>
          <w:ilvl w:val="0"/>
          <w:numId w:val="210"/>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dairy farm uses the somatic cell count (SCC) report on the milk it provides to a processor as one way to monitor the health of its herd. The mean SCC from five samples of raw milk was 250,000 cells per milliliter with standard deviation 37,500 cell/ml. Test whether these data provide sufficient evidence, at the 10% level of significance, to conclude that the mean SCC of all milk produced at the dairy exceeds that in the previous report, 210,250 cell/ml. Assume a normal distribution of SCC.</w:t>
      </w:r>
    </w:p>
    <w:p w:rsidR="00AD77BB" w:rsidRDefault="00AD77BB">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p>
    <w:p w:rsidR="00AD77BB" w:rsidRDefault="00B45BA0">
      <w:pPr>
        <w:numPr>
          <w:ilvl w:val="0"/>
          <w:numId w:val="210"/>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Six coins of the same type are discovered at an archaeological site. If their weights on average are significantly different from 5.25 grams then it can be assumed that their provenance is not the site itself. The coins are weighed and have mean 4.73 g with sample standard deviation 0.18 g. Perform the relevant test at the 0.1% (1/10th of 1%) level of significance, assuming a normal distribution of weights of all such coins.</w:t>
      </w:r>
    </w:p>
    <w:p w:rsidR="00AD77BB" w:rsidRDefault="00AD77BB">
      <w:p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p>
    <w:p w:rsidR="00AD77BB" w:rsidRDefault="00B45BA0">
      <w:pPr>
        <w:numPr>
          <w:ilvl w:val="0"/>
          <w:numId w:val="210"/>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economist wishes to determine whether people are driving less than in the past. In one region of the country the number of miles driven per household per year in the past was 18.59 thousand miles. A sample of 15 households produced a sample mean of 16.23 thousand miles for the last year, with sample standard deviation 4.06 thousand miles. Assuming a normal distribution of household driving distances per year, perform the relevant test at the 5% level of significance.</w:t>
      </w:r>
    </w:p>
    <w:p w:rsidR="00AD77BB" w:rsidRDefault="00AD77BB">
      <w:p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p>
    <w:p w:rsidR="00AD77BB" w:rsidRDefault="00B45BA0">
      <w:pPr>
        <w:numPr>
          <w:ilvl w:val="0"/>
          <w:numId w:val="210"/>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recommended daily allowance of iron for females aged 19–50 is 18 mg/day. A careful measurement of the daily iron intake of 15 women yielded a mean daily intake of 16.2 mg with sample standard deviation 4.7 mg.</w:t>
      </w:r>
    </w:p>
    <w:p w:rsidR="00AD77BB" w:rsidRDefault="00AD77BB">
      <w:p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p>
    <w:p w:rsidR="00AD77BB" w:rsidRDefault="00B45BA0">
      <w:pPr>
        <w:numPr>
          <w:ilvl w:val="1"/>
          <w:numId w:val="21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Assuming that daily iron intake in women is normally distributed, perform the test that the actual mean daily intake for all women is different from 18 mg/day, at the 10% level of significance.</w:t>
      </w:r>
    </w:p>
    <w:p w:rsidR="00AD77BB" w:rsidRDefault="00B45BA0">
      <w:pPr>
        <w:pStyle w:val="ListParagraph"/>
        <w:numPr>
          <w:ilvl w:val="1"/>
          <w:numId w:val="21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The sample mean is less than 18, suggesting that the actual population mean is less than 18 mg/day. Perform this test, also at the 10% level of significance. (The computation of the test statistic done in part (a) still applies here.)</w:t>
      </w:r>
    </w:p>
    <w:p w:rsidR="00AD77BB" w:rsidRDefault="00B45BA0">
      <w:pPr>
        <w:numPr>
          <w:ilvl w:val="0"/>
          <w:numId w:val="210"/>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The target temperature for a hot beverage the moment it is dispensed from a vending machine is 170°F. A sample of ten randomly selected servings from a new machine undergoing a pre-shipment inspection gave mean temperature 173°F with sample standard deviation 6.3°F.</w:t>
      </w:r>
    </w:p>
    <w:p w:rsidR="00AD77BB" w:rsidRDefault="00B45BA0">
      <w:pPr>
        <w:numPr>
          <w:ilvl w:val="1"/>
          <w:numId w:val="21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Assuming that temperature is normally distributed, perform the test that the mean temperature of dispensed beverages is different from 170°F, at the 10% level of significance.</w:t>
      </w:r>
    </w:p>
    <w:p w:rsidR="00AD77BB" w:rsidRDefault="00B45BA0">
      <w:pPr>
        <w:numPr>
          <w:ilvl w:val="1"/>
          <w:numId w:val="21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sample mean is greater than 170, suggesting that the actual population mean is greater than 170°F. Perform this test, also at the 10% level of significance. (The computation of the test statistic done in part (a) still applies here.)</w:t>
      </w:r>
    </w:p>
    <w:p w:rsidR="00AD77BB" w:rsidRDefault="00B45BA0">
      <w:pPr>
        <w:numPr>
          <w:ilvl w:val="0"/>
          <w:numId w:val="210"/>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average number of days to complete recovery from a particular type of knee operation is 123.7 days. From his experience a physician suspects that use of a topical pain medication might be lengthening the recovery time. He randomly selects the records of seven knee surgery patients who used the topical medication. The times to total recovery were:</w:t>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6957D5BA" wp14:editId="69AF25A5">
            <wp:extent cx="4810125" cy="4905375"/>
            <wp:effectExtent l="0" t="0" r="9525" b="9525"/>
            <wp:docPr id="289"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810125" cy="4905375"/>
                    </a:xfrm>
                    <a:prstGeom prst="rect">
                      <a:avLst/>
                    </a:prstGeom>
                    <a:noFill/>
                    <a:ln>
                      <a:noFill/>
                    </a:ln>
                  </pic:spPr>
                </pic:pic>
              </a:graphicData>
            </a:graphic>
          </wp:inline>
        </w:drawing>
      </w: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20,000, at the 10% level of significance. Assume that the SPC follows a normal distribution.</w:t>
      </w:r>
    </w:p>
    <w:p w:rsidR="00AD77BB" w:rsidRDefault="00B45BA0">
      <w:pPr>
        <w:numPr>
          <w:ilvl w:val="0"/>
          <w:numId w:val="21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One water quality standard for water that is discharged into a particular type of stream or pond is that the average daily water temperature be at most 18°C. Six samples taken throughout the day gave the data:</w:t>
      </w:r>
    </w:p>
    <w:p w:rsidR="00AD77BB" w:rsidRDefault="00B45BA0">
      <w:pPr>
        <w:shd w:val="clear" w:color="auto" w:fill="DAEEF3" w:themeFill="accent5" w:themeFillTint="33"/>
        <w:spacing w:after="0" w:line="360" w:lineRule="auto"/>
        <w:ind w:left="450"/>
        <w:jc w:val="center"/>
        <w:textAlignment w:val="baseline"/>
        <w:rPr>
          <w:rFonts w:ascii="Calibri" w:eastAsia="Times New Roman" w:hAnsi="Calibri" w:cs="Times New Roman"/>
          <w:b/>
          <w:color w:val="333333"/>
          <w:sz w:val="20"/>
          <w:szCs w:val="20"/>
        </w:rPr>
      </w:pPr>
      <w:r>
        <w:rPr>
          <w:rFonts w:ascii="MathJax_Main" w:eastAsia="Times New Roman" w:hAnsi="MathJax_Main" w:cs="Times New Roman"/>
          <w:b/>
          <w:color w:val="333333"/>
          <w:sz w:val="15"/>
          <w:szCs w:val="15"/>
        </w:rPr>
        <w:t>16.8 21.5 19.1 12.8 18.0 20.7</w:t>
      </w:r>
    </w:p>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sample mean </w:t>
      </w:r>
      <w:r>
        <w:rPr>
          <w:rFonts w:ascii="MathJax_Math" w:eastAsia="Times New Roman" w:hAnsi="MathJax_Math" w:cs="Times New Roman"/>
          <w:b/>
          <w:i/>
          <w:iCs/>
          <w:color w:val="333333"/>
          <w:sz w:val="15"/>
          <w:szCs w:val="15"/>
        </w:rPr>
        <w:t>x</w:t>
      </w:r>
      <w:r>
        <w:rPr>
          <w:rFonts w:ascii="Times New Roman" w:eastAsia="Times New Roman" w:hAnsi="Times New Roman" w:cs="Times New Roman"/>
          <w:b/>
          <w:i/>
          <w:iCs/>
          <w:color w:val="333333"/>
          <w:sz w:val="15"/>
          <w:szCs w:val="15"/>
        </w:rPr>
        <w:t>^</w:t>
      </w:r>
      <w:r>
        <w:rPr>
          <w:rFonts w:ascii="MathJax_Main" w:eastAsia="Times New Roman" w:hAnsi="MathJax_Main" w:cs="Times New Roman"/>
          <w:b/>
          <w:color w:val="333333"/>
          <w:sz w:val="15"/>
          <w:szCs w:val="15"/>
        </w:rPr>
        <w:t>−=18.15</w:t>
      </w:r>
      <w:r>
        <w:rPr>
          <w:rFonts w:ascii="Calibri" w:eastAsia="Times New Roman" w:hAnsi="Calibri" w:cs="Times New Roman"/>
          <w:color w:val="333333"/>
          <w:sz w:val="20"/>
          <w:szCs w:val="20"/>
        </w:rPr>
        <w:t> exceeds 18, but perhaps this is only sampling error. Determine whether the data provide sufficient evidence, at the 10% level of significance, to conclude that the mean temperature for the entire day exceeds 18°C.</w:t>
      </w:r>
    </w:p>
    <w:p w:rsidR="00AD77BB" w:rsidRDefault="00B45BA0">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ADDITIONAL EXERCISES</w:t>
      </w:r>
    </w:p>
    <w:p w:rsidR="00AD77BB" w:rsidRDefault="00B45BA0">
      <w:pPr>
        <w:numPr>
          <w:ilvl w:val="0"/>
          <w:numId w:val="212"/>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calculator has a built-in algorithm for generating a random number according to the standard normal distribution. Twenty-five numbers thus generated have mean 0.15 and sample standard deviation 0.94. Test the null hypothesis that the mean of all numbers so generated is 0 versus the alternative that it is different from 0, at the 20% level of significance. Assume that the numbers do follow a normal distribution.</w:t>
      </w:r>
    </w:p>
    <w:p w:rsidR="00AD77BB" w:rsidRDefault="00B45BA0">
      <w:pPr>
        <w:numPr>
          <w:ilvl w:val="0"/>
          <w:numId w:val="212"/>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At every setting a high-speed packing machine delivers a product in amounts that vary from container to container with a normal distribution of standard deviation 0.12 ounce. To compare the amount delivered at the current setting to the desired amount 64.1 ounce, a quality inspector randomly selects five containers and measures the contents of each, obtaining sample mean 63.9 ounces and sample standard deviation 0.10 ounce. Test whether the data provide sufficient evidence, at the 5% level of significance, to conclude that the mean of all containers at the current setting is less than 64.1 ounces.</w:t>
      </w:r>
    </w:p>
    <w:p w:rsidR="00AD77BB" w:rsidRDefault="00B45BA0">
      <w:pPr>
        <w:numPr>
          <w:ilvl w:val="0"/>
          <w:numId w:val="212"/>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manufacturing company receives a shipment of 1,000 bolts of nominal shear strength 4,350 lb. A quality control inspector selects five bolts at random and measures the shear strength of each. The data are:</w:t>
      </w:r>
    </w:p>
    <w:p w:rsidR="00AD77BB" w:rsidRDefault="00B45BA0">
      <w:pPr>
        <w:shd w:val="clear" w:color="auto" w:fill="DAEEF3" w:themeFill="accent5" w:themeFillTint="33"/>
        <w:spacing w:after="0" w:line="360" w:lineRule="auto"/>
        <w:ind w:left="450"/>
        <w:jc w:val="center"/>
        <w:textAlignment w:val="baseline"/>
        <w:rPr>
          <w:rFonts w:ascii="Calibri" w:eastAsia="Times New Roman" w:hAnsi="Calibri" w:cs="Times New Roman"/>
          <w:b/>
          <w:color w:val="333333"/>
          <w:sz w:val="20"/>
          <w:szCs w:val="20"/>
        </w:rPr>
      </w:pPr>
      <w:r>
        <w:rPr>
          <w:rFonts w:ascii="MathJax_Main" w:eastAsia="Times New Roman" w:hAnsi="MathJax_Main" w:cs="Times New Roman"/>
          <w:b/>
          <w:color w:val="333333"/>
          <w:sz w:val="15"/>
          <w:szCs w:val="15"/>
        </w:rPr>
        <w:t>4,320 4,290 4,360 4,350 4,320</w:t>
      </w:r>
    </w:p>
    <w:p w:rsidR="00AD77BB" w:rsidRDefault="00B45BA0">
      <w:pPr>
        <w:numPr>
          <w:ilvl w:val="1"/>
          <w:numId w:val="2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Assuming a normal distribution of shear strengths, test the null hypothesis that the mean shear strength of all bolts in the shipment is 4,350 lb versus the alternative that it is less than 4,350 lb, at the 10% level of significance.</w:t>
      </w:r>
    </w:p>
    <w:p w:rsidR="00AD77BB" w:rsidRDefault="00B45BA0">
      <w:pPr>
        <w:numPr>
          <w:ilvl w:val="1"/>
          <w:numId w:val="2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Estimate the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(observed significance) of the test of part (a).</w:t>
      </w:r>
    </w:p>
    <w:p w:rsidR="00AD77BB" w:rsidRDefault="00B45BA0">
      <w:pPr>
        <w:numPr>
          <w:ilvl w:val="1"/>
          <w:numId w:val="2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Compare the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found in part (b) to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=0.10</w:t>
      </w:r>
      <w:r>
        <w:rPr>
          <w:rFonts w:ascii="Calibri" w:eastAsia="Times New Roman" w:hAnsi="Calibri" w:cs="Times New Roman"/>
          <w:color w:val="333333"/>
          <w:sz w:val="20"/>
          <w:szCs w:val="20"/>
        </w:rPr>
        <w:t> and make a decision based on the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approach. Explain fully.</w:t>
      </w:r>
    </w:p>
    <w:p w:rsidR="00AD77BB" w:rsidRDefault="00B45BA0">
      <w:pPr>
        <w:numPr>
          <w:ilvl w:val="0"/>
          <w:numId w:val="212"/>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literary historian examines a newly discovered document possibly written by Oberon Theseus. The mean average sentence length of the surviving undisputed works of Oberon Theseus is 48.72 words. The historian counts words in sentences between five successive 101 periods in the document in question to obtain a mean average sentence length of 39.46 words with standard deviation 7.45 words. (Thus the sample size is five.)</w:t>
      </w:r>
    </w:p>
    <w:p w:rsidR="00AD77BB" w:rsidRDefault="00B45BA0">
      <w:pPr>
        <w:numPr>
          <w:ilvl w:val="1"/>
          <w:numId w:val="2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Determine if these data provide sufficient evidence, at the 1% level of significance, to conclude that the mean average sentence length in the document is less than 48.72.</w:t>
      </w:r>
    </w:p>
    <w:p w:rsidR="00AD77BB" w:rsidRDefault="00B45BA0">
      <w:pPr>
        <w:numPr>
          <w:ilvl w:val="1"/>
          <w:numId w:val="2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Estimate the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of the test.</w:t>
      </w:r>
    </w:p>
    <w:p w:rsidR="00AD77BB" w:rsidRDefault="00B45BA0">
      <w:pPr>
        <w:numPr>
          <w:ilvl w:val="1"/>
          <w:numId w:val="21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Based on the answers to parts (a) and (b), state whether or not it is likely that the document was written by Oberon Theseus.</w:t>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7F442C6A" wp14:editId="7568D9E9">
            <wp:extent cx="5438775" cy="6381750"/>
            <wp:effectExtent l="0" t="0" r="9525" b="0"/>
            <wp:docPr id="290"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438775" cy="638175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527CC624" wp14:editId="17CA2EB8">
            <wp:extent cx="5486400" cy="2581275"/>
            <wp:effectExtent l="0" t="0" r="0" b="9525"/>
            <wp:docPr id="291"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486400" cy="2581275"/>
                    </a:xfrm>
                    <a:prstGeom prst="rect">
                      <a:avLst/>
                    </a:prstGeom>
                    <a:noFill/>
                    <a:ln>
                      <a:noFill/>
                    </a:ln>
                  </pic:spPr>
                </pic:pic>
              </a:graphicData>
            </a:graphic>
          </wp:inline>
        </w:drawing>
      </w:r>
    </w:p>
    <w:p w:rsidR="00AD77BB" w:rsidRDefault="00B45BA0">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t>8.5</w:t>
      </w:r>
      <w:r>
        <w:rPr>
          <w:rFonts w:ascii="Calibri" w:eastAsia="Times New Roman" w:hAnsi="Calibri" w:cs="Times New Roman"/>
          <w:b/>
          <w:bCs/>
          <w:color w:val="333333"/>
          <w:sz w:val="36"/>
          <w:szCs w:val="36"/>
        </w:rPr>
        <w:t> Large Sample Tests for a Population Proportion</w:t>
      </w:r>
    </w:p>
    <w:p w:rsidR="00AD77BB" w:rsidRDefault="00AD77BB">
      <w:pPr>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rsidR="00AD77BB" w:rsidRDefault="00B45BA0">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AD77BB" w:rsidRDefault="00B45BA0">
      <w:pPr>
        <w:numPr>
          <w:ilvl w:val="0"/>
          <w:numId w:val="213"/>
        </w:numPr>
        <w:shd w:val="clear" w:color="auto" w:fill="EAE9DC"/>
        <w:spacing w:after="0"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how to apply the five-step critical value test procedure for test of hypotheses concerning a population proportion.</w:t>
      </w:r>
    </w:p>
    <w:p w:rsidR="00AD77BB" w:rsidRDefault="00B45BA0">
      <w:pPr>
        <w:numPr>
          <w:ilvl w:val="0"/>
          <w:numId w:val="213"/>
        </w:numPr>
        <w:shd w:val="clear" w:color="auto" w:fill="EAE9DC"/>
        <w:spacing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how to apply the five-step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test procedure for test of hypotheses concerning a population proportion.</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Both the critical value approach and the </w:t>
      </w:r>
      <w:r>
        <w:rPr>
          <w:rFonts w:ascii="Georgia" w:eastAsia="Times New Roman" w:hAnsi="Georgia" w:cs="Times New Roman"/>
          <w:i/>
          <w:iCs/>
          <w:color w:val="333333"/>
          <w:sz w:val="20"/>
          <w:szCs w:val="20"/>
        </w:rPr>
        <w:t>p</w:t>
      </w:r>
      <w:r>
        <w:rPr>
          <w:rFonts w:ascii="Georgia" w:eastAsia="Times New Roman" w:hAnsi="Georgia" w:cs="Times New Roman"/>
          <w:color w:val="333333"/>
          <w:sz w:val="21"/>
          <w:szCs w:val="21"/>
        </w:rPr>
        <w:t>-value approach can be applied to test hypotheses about a population proportion </w:t>
      </w:r>
      <w:r>
        <w:rPr>
          <w:rFonts w:ascii="Georgia" w:eastAsia="Times New Roman" w:hAnsi="Georgia" w:cs="Times New Roman"/>
          <w:i/>
          <w:iCs/>
          <w:color w:val="333333"/>
          <w:sz w:val="20"/>
          <w:szCs w:val="20"/>
        </w:rPr>
        <w:t>p</w:t>
      </w:r>
      <w:r>
        <w:rPr>
          <w:rFonts w:ascii="Georgia" w:eastAsia="Times New Roman" w:hAnsi="Georgia" w:cs="Times New Roman"/>
          <w:color w:val="333333"/>
          <w:sz w:val="21"/>
          <w:szCs w:val="21"/>
        </w:rPr>
        <w:t>. The null hypothesis will have the form </w:t>
      </w:r>
      <w:r>
        <w:rPr>
          <w:rFonts w:ascii="MathJax_Math" w:eastAsia="Times New Roman" w:hAnsi="MathJax_Math" w:cs="Times New Roman"/>
          <w:i/>
          <w:iCs/>
          <w:color w:val="333333"/>
          <w:sz w:val="18"/>
          <w:szCs w:val="18"/>
        </w:rPr>
        <w:t>H</w:t>
      </w:r>
      <w:r>
        <w:rPr>
          <w:rFonts w:ascii="MathJax_Main" w:eastAsia="Times New Roman" w:hAnsi="MathJax_Main" w:cs="Times New Roman"/>
          <w:color w:val="333333"/>
          <w:sz w:val="14"/>
          <w:szCs w:val="14"/>
        </w:rPr>
        <w:t>0</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p</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p</w:t>
      </w:r>
      <w:r>
        <w:rPr>
          <w:rFonts w:ascii="MathJax_Main" w:eastAsia="Times New Roman" w:hAnsi="MathJax_Main" w:cs="Times New Roman"/>
          <w:color w:val="333333"/>
          <w:sz w:val="14"/>
          <w:szCs w:val="14"/>
          <w:vertAlign w:val="subscript"/>
        </w:rPr>
        <w:t>0</w:t>
      </w:r>
      <w:r>
        <w:rPr>
          <w:rFonts w:ascii="Georgia" w:eastAsia="Times New Roman" w:hAnsi="Georgia" w:cs="Times New Roman"/>
          <w:color w:val="333333"/>
          <w:sz w:val="21"/>
          <w:szCs w:val="21"/>
        </w:rPr>
        <w:t> for some specific number </w:t>
      </w:r>
      <w:r>
        <w:rPr>
          <w:rFonts w:ascii="Georgia" w:eastAsia="Times New Roman" w:hAnsi="Georgia" w:cs="Times New Roman"/>
          <w:i/>
          <w:iCs/>
          <w:color w:val="333333"/>
          <w:sz w:val="20"/>
          <w:szCs w:val="20"/>
        </w:rPr>
        <w:t>p</w:t>
      </w:r>
      <w:r>
        <w:rPr>
          <w:rFonts w:ascii="Georgia" w:eastAsia="Times New Roman" w:hAnsi="Georgia" w:cs="Times New Roman"/>
          <w:color w:val="333333"/>
          <w:sz w:val="15"/>
          <w:szCs w:val="15"/>
          <w:vertAlign w:val="subscript"/>
        </w:rPr>
        <w:t>0</w:t>
      </w:r>
      <w:r>
        <w:rPr>
          <w:rFonts w:ascii="Georgia" w:eastAsia="Times New Roman" w:hAnsi="Georgia" w:cs="Times New Roman"/>
          <w:color w:val="333333"/>
          <w:sz w:val="21"/>
          <w:szCs w:val="21"/>
        </w:rPr>
        <w:t> between 0 and 1. The alternative hypothesis will be one of the three inequalities</w:t>
      </w:r>
      <w:r>
        <w:rPr>
          <w:rFonts w:ascii="Georgia" w:eastAsia="Times New Roman" w:hAnsi="Georgia" w:cs="Times New Roman"/>
          <w:b/>
          <w:color w:val="333333"/>
          <w:sz w:val="21"/>
          <w:szCs w:val="21"/>
        </w:rPr>
        <w:t> </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&lt;</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4"/>
          <w:szCs w:val="14"/>
          <w:vertAlign w:val="subscript"/>
        </w:rPr>
        <w:t>0</w:t>
      </w:r>
      <w:r>
        <w:rPr>
          <w:rFonts w:ascii="Georgia" w:eastAsia="Times New Roman" w:hAnsi="Georgia" w:cs="Times New Roman"/>
          <w:b/>
          <w:color w:val="333333"/>
          <w:sz w:val="21"/>
          <w:szCs w:val="21"/>
        </w:rPr>
        <w:t>, </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&gt;</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4"/>
          <w:szCs w:val="14"/>
          <w:vertAlign w:val="subscript"/>
        </w:rPr>
        <w:t>0</w:t>
      </w:r>
      <w:r>
        <w:rPr>
          <w:rFonts w:ascii="Georgia" w:eastAsia="Times New Roman" w:hAnsi="Georgia" w:cs="Times New Roman"/>
          <w:b/>
          <w:color w:val="333333"/>
          <w:sz w:val="21"/>
          <w:szCs w:val="21"/>
        </w:rPr>
        <w:t>, or </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4"/>
          <w:szCs w:val="14"/>
          <w:vertAlign w:val="subscript"/>
        </w:rPr>
        <w:t>0</w:t>
      </w:r>
      <w:r>
        <w:rPr>
          <w:rFonts w:ascii="Georgia" w:eastAsia="Times New Roman" w:hAnsi="Georgia" w:cs="Times New Roman"/>
          <w:b/>
          <w:color w:val="333333"/>
          <w:sz w:val="21"/>
          <w:szCs w:val="21"/>
        </w:rPr>
        <w:t> </w:t>
      </w:r>
      <w:r>
        <w:rPr>
          <w:rFonts w:ascii="Georgia" w:eastAsia="Times New Roman" w:hAnsi="Georgia" w:cs="Times New Roman"/>
          <w:color w:val="333333"/>
          <w:sz w:val="21"/>
          <w:szCs w:val="21"/>
        </w:rPr>
        <w:t>for the same number </w:t>
      </w:r>
      <w:r>
        <w:rPr>
          <w:rFonts w:ascii="Georgia" w:eastAsia="Times New Roman" w:hAnsi="Georgia" w:cs="Times New Roman"/>
          <w:i/>
          <w:iCs/>
          <w:color w:val="333333"/>
          <w:sz w:val="20"/>
          <w:szCs w:val="20"/>
        </w:rPr>
        <w:t>p</w:t>
      </w:r>
      <w:r>
        <w:rPr>
          <w:rFonts w:ascii="Georgia" w:eastAsia="Times New Roman" w:hAnsi="Georgia" w:cs="Times New Roman"/>
          <w:color w:val="333333"/>
          <w:sz w:val="15"/>
          <w:szCs w:val="15"/>
          <w:vertAlign w:val="subscript"/>
        </w:rPr>
        <w:t>0</w:t>
      </w:r>
      <w:r>
        <w:rPr>
          <w:rFonts w:ascii="Georgia" w:eastAsia="Times New Roman" w:hAnsi="Georgia" w:cs="Times New Roman"/>
          <w:color w:val="333333"/>
          <w:sz w:val="21"/>
          <w:szCs w:val="21"/>
        </w:rPr>
        <w:t> that appears in the null hypothesis.</w:t>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426F01F0" wp14:editId="37AA3DC3">
            <wp:extent cx="5257800" cy="6286500"/>
            <wp:effectExtent l="0" t="0" r="0" b="0"/>
            <wp:docPr id="292"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257800" cy="6286500"/>
                    </a:xfrm>
                    <a:prstGeom prst="rect">
                      <a:avLst/>
                    </a:prstGeom>
                    <a:noFill/>
                    <a:ln>
                      <a:noFill/>
                    </a:ln>
                  </pic:spPr>
                </pic:pic>
              </a:graphicData>
            </a:graphic>
          </wp:inline>
        </w:drawing>
      </w: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20"/>
          <w:szCs w:val="20"/>
        </w:rPr>
      </w:pP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lastRenderedPageBreak/>
        <w:t>Figure 8.14</w:t>
      </w:r>
      <w:r>
        <w:rPr>
          <w:rFonts w:ascii="Georgia" w:eastAsia="Times New Roman" w:hAnsi="Georgia" w:cs="Times New Roman"/>
          <w:i/>
          <w:iCs/>
          <w:color w:val="BB9966"/>
          <w:sz w:val="19"/>
          <w:szCs w:val="19"/>
        </w:rPr>
        <w:t> Distribution of the Standardized Test Statistic and the Rejection Region</w:t>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noProof/>
          <w:color w:val="2689C6"/>
          <w:sz w:val="26"/>
          <w:szCs w:val="26"/>
          <w:shd w:val="clear" w:color="auto" w:fill="FFFFFF"/>
        </w:rPr>
        <w:drawing>
          <wp:inline distT="0" distB="0" distL="0" distR="0" wp14:anchorId="1910390F" wp14:editId="1E69B869">
            <wp:extent cx="4943475" cy="3124200"/>
            <wp:effectExtent l="0" t="0" r="9525" b="0"/>
            <wp:docPr id="293" name="Picture 308" descr="http://images.flatworldknowledge.com/shafer/shafer-fig08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images.flatworldknowledge.com/shafer/shafer-fig08_014.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943475" cy="312420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58D46451" wp14:editId="67195EE6">
            <wp:extent cx="4752975" cy="4733925"/>
            <wp:effectExtent l="0" t="0" r="9525" b="9525"/>
            <wp:docPr id="294"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752975" cy="473392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535A97D6" wp14:editId="557FD75D">
            <wp:extent cx="5010150" cy="5867400"/>
            <wp:effectExtent l="0" t="0" r="0" b="0"/>
            <wp:docPr id="295"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010150" cy="5867400"/>
                    </a:xfrm>
                    <a:prstGeom prst="rect">
                      <a:avLst/>
                    </a:prstGeom>
                    <a:noFill/>
                    <a:ln>
                      <a:noFill/>
                    </a:ln>
                  </pic:spPr>
                </pic:pic>
              </a:graphicData>
            </a:graphic>
          </wp:inline>
        </w:drawing>
      </w:r>
    </w:p>
    <w:p w:rsidR="00AD77BB" w:rsidRDefault="00B45BA0">
      <w:pPr>
        <w:pStyle w:val="para"/>
        <w:numPr>
          <w:ilvl w:val="0"/>
          <w:numId w:val="214"/>
        </w:numPr>
        <w:shd w:val="clear" w:color="auto" w:fill="DAEEF3" w:themeFill="accent5" w:themeFillTint="33"/>
        <w:spacing w:before="0" w:beforeAutospacing="0" w:after="0" w:afterAutospacing="0" w:line="360" w:lineRule="auto"/>
        <w:ind w:left="605" w:right="749"/>
        <w:textAlignment w:val="baseline"/>
        <w:rPr>
          <w:rFonts w:ascii="Calibri" w:hAnsi="Calibri"/>
          <w:color w:val="333333"/>
          <w:sz w:val="20"/>
          <w:szCs w:val="20"/>
        </w:rPr>
      </w:pPr>
      <w:r>
        <w:rPr>
          <w:rFonts w:ascii="Calibri" w:hAnsi="Calibri"/>
          <w:color w:val="333333"/>
          <w:sz w:val="20"/>
          <w:szCs w:val="20"/>
        </w:rPr>
        <w:t>Step 5. As shown in</w:t>
      </w:r>
      <w:r>
        <w:rPr>
          <w:rStyle w:val="apple-converted-space"/>
          <w:rFonts w:ascii="Calibri" w:hAnsi="Calibri"/>
          <w:color w:val="333333"/>
          <w:sz w:val="20"/>
          <w:szCs w:val="20"/>
        </w:rPr>
        <w:t> </w:t>
      </w:r>
      <w:r>
        <w:rPr>
          <w:rFonts w:ascii="Calibri" w:hAnsi="Calibri"/>
          <w:color w:val="2689C6"/>
          <w:sz w:val="20"/>
          <w:szCs w:val="20"/>
        </w:rPr>
        <w:t>Figure 8.15 "Rejection Region and Test Statistic for "</w:t>
      </w:r>
      <w:r>
        <w:rPr>
          <w:rStyle w:val="apple-converted-space"/>
          <w:rFonts w:ascii="Calibri" w:hAnsi="Calibri"/>
          <w:color w:val="333333"/>
          <w:sz w:val="20"/>
          <w:szCs w:val="20"/>
        </w:rPr>
        <w:t> </w:t>
      </w:r>
      <w:r>
        <w:rPr>
          <w:rFonts w:ascii="Calibri" w:hAnsi="Calibri"/>
          <w:color w:val="333333"/>
          <w:sz w:val="20"/>
          <w:szCs w:val="20"/>
        </w:rPr>
        <w:t>the test statistic falls in the rejection region. The decision is to reject</w:t>
      </w:r>
      <w:r>
        <w:rPr>
          <w:rStyle w:val="apple-converted-space"/>
          <w:rFonts w:ascii="Calibri" w:hAnsi="Calibri"/>
          <w:color w:val="333333"/>
          <w:sz w:val="20"/>
          <w:szCs w:val="20"/>
        </w:rPr>
        <w:t> </w:t>
      </w:r>
      <w:r>
        <w:rPr>
          <w:rStyle w:val="Emphasis"/>
          <w:rFonts w:ascii="Calibri" w:eastAsiaTheme="majorEastAsia" w:hAnsi="Calibri"/>
          <w:color w:val="333333"/>
          <w:sz w:val="20"/>
          <w:szCs w:val="20"/>
        </w:rPr>
        <w:t>H</w:t>
      </w:r>
      <w:r>
        <w:rPr>
          <w:rFonts w:ascii="Calibri" w:hAnsi="Calibri"/>
          <w:color w:val="333333"/>
          <w:sz w:val="15"/>
          <w:szCs w:val="15"/>
          <w:vertAlign w:val="subscript"/>
        </w:rPr>
        <w:t>0</w:t>
      </w:r>
      <w:r>
        <w:rPr>
          <w:rFonts w:ascii="Calibri" w:hAnsi="Calibri"/>
          <w:color w:val="333333"/>
          <w:sz w:val="20"/>
          <w:szCs w:val="20"/>
        </w:rPr>
        <w:t>. In the context of the problem our conclusion is:</w:t>
      </w:r>
    </w:p>
    <w:p w:rsidR="00AD77BB" w:rsidRDefault="00B45BA0">
      <w:pPr>
        <w:pStyle w:val="para"/>
        <w:shd w:val="clear" w:color="auto" w:fill="DAEEF3" w:themeFill="accent5" w:themeFillTint="33"/>
        <w:spacing w:before="150" w:beforeAutospacing="0" w:after="0" w:afterAutospacing="0" w:line="360" w:lineRule="auto"/>
        <w:ind w:left="605" w:right="749"/>
        <w:textAlignment w:val="baseline"/>
        <w:rPr>
          <w:rFonts w:ascii="Calibri" w:hAnsi="Calibri"/>
          <w:color w:val="333333"/>
          <w:sz w:val="20"/>
          <w:szCs w:val="20"/>
        </w:rPr>
      </w:pPr>
      <w:r>
        <w:rPr>
          <w:rFonts w:ascii="Calibri" w:hAnsi="Calibri"/>
          <w:color w:val="333333"/>
          <w:sz w:val="20"/>
          <w:szCs w:val="20"/>
        </w:rPr>
        <w:t>The data provide sufficient evidence, at the 5% level of significance, to conclude that a majority of adults prefer the company’s beverage to that of their competitor’s.</w:t>
      </w:r>
    </w:p>
    <w:p w:rsidR="00AD77BB" w:rsidRDefault="00AD77BB">
      <w:pPr>
        <w:pStyle w:val="Title8"/>
        <w:spacing w:before="0" w:beforeAutospacing="0" w:after="0" w:afterAutospacing="0" w:line="439" w:lineRule="atLeast"/>
        <w:ind w:left="300" w:right="375"/>
        <w:textAlignment w:val="baseline"/>
        <w:rPr>
          <w:rStyle w:val="title-prefix"/>
          <w:rFonts w:eastAsiaTheme="majorEastAsia"/>
          <w:i/>
          <w:iCs/>
          <w:color w:val="000000"/>
          <w:sz w:val="18"/>
          <w:szCs w:val="18"/>
        </w:rPr>
      </w:pPr>
    </w:p>
    <w:p w:rsidR="00AD77BB" w:rsidRDefault="00AD77BB">
      <w:pPr>
        <w:pStyle w:val="Title8"/>
        <w:spacing w:before="0" w:beforeAutospacing="0" w:after="0" w:afterAutospacing="0" w:line="439" w:lineRule="atLeast"/>
        <w:ind w:left="300" w:right="375"/>
        <w:textAlignment w:val="baseline"/>
        <w:rPr>
          <w:rStyle w:val="title-prefix"/>
          <w:rFonts w:ascii="Calibri" w:eastAsiaTheme="majorEastAsia" w:hAnsi="Calibri"/>
          <w:i/>
          <w:iCs/>
          <w:color w:val="000000"/>
          <w:sz w:val="18"/>
          <w:szCs w:val="18"/>
        </w:rPr>
      </w:pPr>
    </w:p>
    <w:p w:rsidR="00AD77BB" w:rsidRDefault="00AD77BB">
      <w:pPr>
        <w:pStyle w:val="Title8"/>
        <w:spacing w:before="0" w:beforeAutospacing="0" w:after="0" w:afterAutospacing="0" w:line="439" w:lineRule="atLeast"/>
        <w:ind w:left="300" w:right="375"/>
        <w:textAlignment w:val="baseline"/>
        <w:rPr>
          <w:rStyle w:val="title-prefix"/>
          <w:rFonts w:ascii="Calibri" w:eastAsiaTheme="majorEastAsia" w:hAnsi="Calibri"/>
          <w:i/>
          <w:iCs/>
          <w:color w:val="000000"/>
          <w:sz w:val="18"/>
          <w:szCs w:val="18"/>
        </w:rPr>
      </w:pPr>
    </w:p>
    <w:p w:rsidR="00AD77BB" w:rsidRDefault="00AD77BB">
      <w:pPr>
        <w:pStyle w:val="Title8"/>
        <w:spacing w:before="0" w:beforeAutospacing="0" w:after="0" w:afterAutospacing="0" w:line="439" w:lineRule="atLeast"/>
        <w:ind w:left="300" w:right="375"/>
        <w:textAlignment w:val="baseline"/>
        <w:rPr>
          <w:rStyle w:val="title-prefix"/>
          <w:rFonts w:ascii="Calibri" w:eastAsiaTheme="majorEastAsia" w:hAnsi="Calibri"/>
          <w:i/>
          <w:iCs/>
          <w:color w:val="000000"/>
          <w:sz w:val="18"/>
          <w:szCs w:val="18"/>
        </w:rPr>
      </w:pPr>
    </w:p>
    <w:p w:rsidR="00AD77BB" w:rsidRDefault="00B45BA0">
      <w:pPr>
        <w:pStyle w:val="Title8"/>
        <w:shd w:val="clear" w:color="auto" w:fill="DAEEF3" w:themeFill="accent5" w:themeFillTint="33"/>
        <w:spacing w:before="0" w:beforeAutospacing="0" w:after="0" w:afterAutospacing="0" w:line="439" w:lineRule="atLeast"/>
        <w:ind w:left="300" w:right="375"/>
        <w:textAlignment w:val="baseline"/>
        <w:rPr>
          <w:color w:val="BB9966"/>
        </w:rPr>
      </w:pPr>
      <w:r>
        <w:rPr>
          <w:rStyle w:val="title-prefix"/>
          <w:rFonts w:ascii="Calibri" w:eastAsiaTheme="majorEastAsia" w:hAnsi="Calibri"/>
          <w:i/>
          <w:iCs/>
          <w:color w:val="000000"/>
          <w:sz w:val="18"/>
          <w:szCs w:val="18"/>
        </w:rPr>
        <w:lastRenderedPageBreak/>
        <w:t>Figure 8.15</w:t>
      </w:r>
      <w:r>
        <w:rPr>
          <w:rFonts w:ascii="Calibri" w:hAnsi="Calibri"/>
          <w:i/>
          <w:iCs/>
          <w:color w:val="BB9966"/>
          <w:sz w:val="18"/>
          <w:szCs w:val="18"/>
        </w:rPr>
        <w:t>Rejection Region and Test Statistic for</w:t>
      </w:r>
      <w:r>
        <w:rPr>
          <w:rFonts w:ascii="Calibri" w:hAnsi="Calibri"/>
          <w:i/>
          <w:iCs/>
          <w:color w:val="2689C6"/>
          <w:sz w:val="18"/>
          <w:szCs w:val="18"/>
        </w:rPr>
        <w:t>Note 8.47 "Example 12"</w:t>
      </w:r>
    </w:p>
    <w:p w:rsidR="00AD77BB" w:rsidRDefault="00B45BA0">
      <w:pPr>
        <w:shd w:val="clear" w:color="auto" w:fill="DAEEF3" w:themeFill="accent5" w:themeFillTint="33"/>
        <w:spacing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14:anchorId="2475F6D5" wp14:editId="5C8B205F">
            <wp:extent cx="4495800" cy="2886075"/>
            <wp:effectExtent l="0" t="0" r="0" b="9525"/>
            <wp:docPr id="296" name="Picture 311" descr="http://images.flatworldknowledge.com/shafer/shafer-fig08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images.flatworldknowledge.com/shafer/shafer-fig08_015.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495800" cy="2886075"/>
                    </a:xfrm>
                    <a:prstGeom prst="rect">
                      <a:avLst/>
                    </a:prstGeom>
                    <a:noFill/>
                    <a:ln>
                      <a:noFill/>
                    </a:ln>
                  </pic:spPr>
                </pic:pic>
              </a:graphicData>
            </a:graphic>
          </wp:inline>
        </w:drawing>
      </w:r>
    </w:p>
    <w:p w:rsidR="00AD77BB" w:rsidRDefault="00B45BA0">
      <w:pPr>
        <w:shd w:val="clear" w:color="auto" w:fill="DAEEF3" w:themeFill="accent5" w:themeFillTint="33"/>
        <w:spacing w:line="270" w:lineRule="atLeast"/>
        <w:textAlignment w:val="baseline"/>
        <w:rPr>
          <w:rFonts w:ascii="Calibri" w:hAnsi="Calibri"/>
          <w:color w:val="555555"/>
          <w:sz w:val="23"/>
          <w:szCs w:val="23"/>
        </w:rPr>
      </w:pPr>
      <w:r>
        <w:rPr>
          <w:rFonts w:ascii="Calibri" w:hAnsi="Calibri"/>
          <w:noProof/>
          <w:color w:val="555555"/>
          <w:sz w:val="23"/>
          <w:szCs w:val="23"/>
        </w:rPr>
        <w:drawing>
          <wp:inline distT="0" distB="0" distL="0" distR="0" wp14:anchorId="6065B1EE" wp14:editId="3867D400">
            <wp:extent cx="4391025" cy="4857750"/>
            <wp:effectExtent l="0" t="0" r="9525" b="0"/>
            <wp:docPr id="297"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391025" cy="485775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023CC3FE" wp14:editId="70379F64">
            <wp:extent cx="5429250" cy="6057900"/>
            <wp:effectExtent l="0" t="0" r="0" b="0"/>
            <wp:docPr id="298"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429250" cy="6057900"/>
                    </a:xfrm>
                    <a:prstGeom prst="rect">
                      <a:avLst/>
                    </a:prstGeom>
                    <a:noFill/>
                    <a:ln>
                      <a:noFill/>
                    </a:ln>
                  </pic:spPr>
                </pic:pic>
              </a:graphicData>
            </a:graphic>
          </wp:inline>
        </w:drawing>
      </w:r>
    </w:p>
    <w:p w:rsidR="00AD77BB" w:rsidRDefault="00B45BA0">
      <w:pPr>
        <w:pStyle w:val="para"/>
        <w:numPr>
          <w:ilvl w:val="0"/>
          <w:numId w:val="215"/>
        </w:numPr>
        <w:shd w:val="clear" w:color="auto" w:fill="DAEEF3" w:themeFill="accent5" w:themeFillTint="33"/>
        <w:spacing w:before="0" w:beforeAutospacing="0" w:after="0" w:afterAutospacing="0" w:line="360" w:lineRule="auto"/>
        <w:ind w:left="605" w:right="749"/>
        <w:textAlignment w:val="baseline"/>
        <w:rPr>
          <w:rFonts w:ascii="Calibri" w:hAnsi="Calibri"/>
          <w:color w:val="333333"/>
          <w:sz w:val="20"/>
          <w:szCs w:val="20"/>
        </w:rPr>
      </w:pPr>
      <w:r>
        <w:rPr>
          <w:rFonts w:ascii="Calibri" w:hAnsi="Calibri"/>
          <w:color w:val="333333"/>
          <w:sz w:val="20"/>
          <w:szCs w:val="20"/>
        </w:rPr>
        <w:t>Step 5. As shown in</w:t>
      </w:r>
      <w:r>
        <w:rPr>
          <w:rStyle w:val="apple-converted-space"/>
          <w:rFonts w:ascii="Calibri" w:hAnsi="Calibri"/>
          <w:color w:val="333333"/>
          <w:sz w:val="20"/>
          <w:szCs w:val="20"/>
        </w:rPr>
        <w:t> </w:t>
      </w:r>
      <w:r>
        <w:rPr>
          <w:rFonts w:ascii="Calibri" w:hAnsi="Calibri"/>
          <w:color w:val="2689C6"/>
          <w:sz w:val="20"/>
          <w:szCs w:val="20"/>
        </w:rPr>
        <w:t>Figure 8.16 "Rejection Region and Test Statistic for "</w:t>
      </w:r>
      <w:r>
        <w:rPr>
          <w:rStyle w:val="apple-converted-space"/>
          <w:rFonts w:ascii="Calibri" w:hAnsi="Calibri"/>
          <w:color w:val="333333"/>
          <w:sz w:val="20"/>
          <w:szCs w:val="20"/>
        </w:rPr>
        <w:t> </w:t>
      </w:r>
      <w:r>
        <w:rPr>
          <w:rFonts w:ascii="Calibri" w:hAnsi="Calibri"/>
          <w:color w:val="333333"/>
          <w:sz w:val="20"/>
          <w:szCs w:val="20"/>
        </w:rPr>
        <w:t>the test statistic does not fall in the rejection region. The decision is not to reject</w:t>
      </w:r>
      <w:r>
        <w:rPr>
          <w:rStyle w:val="apple-converted-space"/>
          <w:rFonts w:ascii="Calibri" w:hAnsi="Calibri"/>
          <w:color w:val="333333"/>
          <w:sz w:val="20"/>
          <w:szCs w:val="20"/>
        </w:rPr>
        <w:t> </w:t>
      </w:r>
      <w:r>
        <w:rPr>
          <w:rStyle w:val="Emphasis"/>
          <w:rFonts w:ascii="Calibri" w:eastAsiaTheme="majorEastAsia" w:hAnsi="Calibri"/>
          <w:color w:val="333333"/>
          <w:sz w:val="20"/>
          <w:szCs w:val="20"/>
        </w:rPr>
        <w:t>H</w:t>
      </w:r>
      <w:r>
        <w:rPr>
          <w:rFonts w:ascii="Calibri" w:hAnsi="Calibri"/>
          <w:color w:val="333333"/>
          <w:sz w:val="15"/>
          <w:szCs w:val="15"/>
          <w:vertAlign w:val="subscript"/>
        </w:rPr>
        <w:t>0</w:t>
      </w:r>
      <w:r>
        <w:rPr>
          <w:rFonts w:ascii="Calibri" w:hAnsi="Calibri"/>
          <w:color w:val="333333"/>
          <w:sz w:val="20"/>
          <w:szCs w:val="20"/>
        </w:rPr>
        <w:t>. In the context of the problem our conclusion is:</w:t>
      </w:r>
    </w:p>
    <w:p w:rsidR="00AD77BB" w:rsidRDefault="00B45BA0">
      <w:pPr>
        <w:pStyle w:val="para"/>
        <w:shd w:val="clear" w:color="auto" w:fill="DAEEF3" w:themeFill="accent5" w:themeFillTint="33"/>
        <w:spacing w:before="150" w:beforeAutospacing="0" w:after="0" w:afterAutospacing="0" w:line="360" w:lineRule="auto"/>
        <w:ind w:left="605" w:right="749"/>
        <w:textAlignment w:val="baseline"/>
        <w:rPr>
          <w:rFonts w:ascii="Calibri" w:hAnsi="Calibri"/>
          <w:color w:val="333333"/>
          <w:sz w:val="20"/>
          <w:szCs w:val="20"/>
        </w:rPr>
      </w:pPr>
      <w:r>
        <w:rPr>
          <w:rFonts w:ascii="Calibri" w:hAnsi="Calibri"/>
          <w:color w:val="333333"/>
          <w:sz w:val="20"/>
          <w:szCs w:val="20"/>
        </w:rPr>
        <w:t>The data do not provide sufficient evidence, at the 10% level of significance, to conclude that the proportion of newborns who are male differs from the historic proportion in times of economic recession.</w:t>
      </w:r>
    </w:p>
    <w:p w:rsidR="00AD77BB" w:rsidRDefault="00AD77BB">
      <w:pPr>
        <w:pStyle w:val="Title8"/>
        <w:spacing w:before="0" w:beforeAutospacing="0" w:after="0" w:afterAutospacing="0" w:line="439" w:lineRule="atLeast"/>
        <w:ind w:left="300" w:right="375"/>
        <w:textAlignment w:val="baseline"/>
        <w:rPr>
          <w:rStyle w:val="title-prefix"/>
          <w:rFonts w:eastAsiaTheme="majorEastAsia"/>
          <w:i/>
          <w:iCs/>
          <w:color w:val="000000"/>
          <w:sz w:val="18"/>
          <w:szCs w:val="18"/>
        </w:rPr>
      </w:pPr>
    </w:p>
    <w:p w:rsidR="00AD77BB" w:rsidRDefault="00AD77BB">
      <w:pPr>
        <w:pStyle w:val="Title8"/>
        <w:spacing w:before="0" w:beforeAutospacing="0" w:after="0" w:afterAutospacing="0" w:line="439" w:lineRule="atLeast"/>
        <w:ind w:left="300" w:right="375"/>
        <w:textAlignment w:val="baseline"/>
        <w:rPr>
          <w:rStyle w:val="title-prefix"/>
          <w:rFonts w:ascii="Calibri" w:eastAsiaTheme="majorEastAsia" w:hAnsi="Calibri"/>
          <w:i/>
          <w:iCs/>
          <w:color w:val="000000"/>
          <w:sz w:val="18"/>
          <w:szCs w:val="18"/>
        </w:rPr>
      </w:pPr>
    </w:p>
    <w:p w:rsidR="00AD77BB" w:rsidRDefault="00B45BA0">
      <w:pPr>
        <w:pStyle w:val="Title8"/>
        <w:shd w:val="clear" w:color="auto" w:fill="DAEEF3" w:themeFill="accent5" w:themeFillTint="33"/>
        <w:spacing w:before="0" w:beforeAutospacing="0" w:after="0" w:afterAutospacing="0" w:line="439" w:lineRule="atLeast"/>
        <w:ind w:left="300" w:right="375"/>
        <w:textAlignment w:val="baseline"/>
        <w:rPr>
          <w:color w:val="BB9966"/>
        </w:rPr>
      </w:pPr>
      <w:r>
        <w:rPr>
          <w:rStyle w:val="title-prefix"/>
          <w:rFonts w:ascii="Calibri" w:eastAsiaTheme="majorEastAsia" w:hAnsi="Calibri"/>
          <w:i/>
          <w:iCs/>
          <w:color w:val="000000"/>
          <w:sz w:val="18"/>
          <w:szCs w:val="18"/>
        </w:rPr>
        <w:lastRenderedPageBreak/>
        <w:t>Figure 8.16</w:t>
      </w:r>
      <w:r>
        <w:rPr>
          <w:rFonts w:ascii="Calibri" w:hAnsi="Calibri"/>
          <w:i/>
          <w:iCs/>
          <w:color w:val="BB9966"/>
          <w:sz w:val="18"/>
          <w:szCs w:val="18"/>
        </w:rPr>
        <w:t>Rejection Region and Test Statistic for</w:t>
      </w:r>
      <w:r>
        <w:rPr>
          <w:rFonts w:ascii="Calibri" w:hAnsi="Calibri"/>
          <w:i/>
          <w:iCs/>
          <w:color w:val="2689C6"/>
          <w:sz w:val="18"/>
          <w:szCs w:val="18"/>
        </w:rPr>
        <w:t>Note 8.48 "Example 13"</w:t>
      </w:r>
    </w:p>
    <w:p w:rsidR="00AD77BB" w:rsidRDefault="00B45BA0">
      <w:pPr>
        <w:shd w:val="clear" w:color="auto" w:fill="DAEEF3" w:themeFill="accent5" w:themeFillTint="33"/>
        <w:spacing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14:anchorId="20EAC168" wp14:editId="690A89C5">
            <wp:extent cx="4505325" cy="2895600"/>
            <wp:effectExtent l="0" t="0" r="9525" b="0"/>
            <wp:docPr id="299" name="Picture 314" descr="http://images.flatworldknowledge.com/shafer/shafer-fig08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images.flatworldknowledge.com/shafer/shafer-fig08_016.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505325" cy="2895600"/>
                    </a:xfrm>
                    <a:prstGeom prst="rect">
                      <a:avLst/>
                    </a:prstGeom>
                    <a:noFill/>
                    <a:ln>
                      <a:noFill/>
                    </a:ln>
                  </pic:spPr>
                </pic:pic>
              </a:graphicData>
            </a:graphic>
          </wp:inline>
        </w:drawing>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14</w:t>
      </w:r>
    </w:p>
    <w:p w:rsidR="00AD77BB" w:rsidRDefault="00B45BA0">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Perform the test of</w:t>
      </w:r>
      <w:r>
        <w:rPr>
          <w:rStyle w:val="apple-converted-space"/>
          <w:rFonts w:ascii="Calibri" w:hAnsi="Calibri"/>
          <w:color w:val="333333"/>
          <w:sz w:val="21"/>
          <w:szCs w:val="21"/>
        </w:rPr>
        <w:t> </w:t>
      </w:r>
      <w:r>
        <w:rPr>
          <w:rFonts w:ascii="Calibri" w:hAnsi="Calibri"/>
          <w:color w:val="2689C6"/>
          <w:sz w:val="21"/>
          <w:szCs w:val="21"/>
        </w:rPr>
        <w:t>Note 8.47 "Example 12"</w:t>
      </w:r>
      <w:r>
        <w:rPr>
          <w:rStyle w:val="apple-converted-space"/>
          <w:rFonts w:ascii="Calibri" w:hAnsi="Calibri"/>
          <w:color w:val="333333"/>
          <w:sz w:val="21"/>
          <w:szCs w:val="21"/>
        </w:rPr>
        <w:t> </w:t>
      </w:r>
      <w:r>
        <w:rPr>
          <w:rFonts w:ascii="Calibri" w:hAnsi="Calibri"/>
          <w:color w:val="333333"/>
          <w:sz w:val="21"/>
          <w:szCs w:val="21"/>
        </w:rPr>
        <w:t>using the</w:t>
      </w:r>
      <w:r>
        <w:rPr>
          <w:rStyle w:val="apple-converted-space"/>
          <w:rFonts w:ascii="Calibri" w:hAnsi="Calibri"/>
          <w:color w:val="333333"/>
          <w:sz w:val="21"/>
          <w:szCs w:val="21"/>
        </w:rPr>
        <w:t> </w:t>
      </w:r>
      <w:r>
        <w:rPr>
          <w:rStyle w:val="Emphasis"/>
          <w:rFonts w:ascii="Calibri" w:hAnsi="Calibri"/>
          <w:color w:val="333333"/>
          <w:sz w:val="20"/>
          <w:szCs w:val="20"/>
        </w:rPr>
        <w:t>p</w:t>
      </w:r>
      <w:r>
        <w:rPr>
          <w:rFonts w:ascii="Calibri" w:hAnsi="Calibri"/>
          <w:color w:val="333333"/>
          <w:sz w:val="21"/>
          <w:szCs w:val="21"/>
        </w:rPr>
        <w:t>-value approach.</w:t>
      </w:r>
    </w:p>
    <w:p w:rsidR="00AD77BB" w:rsidRDefault="00B45BA0">
      <w:pPr>
        <w:pStyle w:val="simpara"/>
        <w:shd w:val="clear" w:color="auto" w:fill="DAEEF3" w:themeFill="accent5" w:themeFillTint="33"/>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Solution:</w:t>
      </w:r>
    </w:p>
    <w:p w:rsidR="00AD77BB" w:rsidRDefault="00B45BA0">
      <w:pPr>
        <w:pStyle w:val="para"/>
        <w:shd w:val="clear" w:color="auto" w:fill="DAEEF3" w:themeFill="accent5" w:themeFillTint="33"/>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We already know that the sample size is sufficiently large to validly perform the test.</w:t>
      </w:r>
    </w:p>
    <w:p w:rsidR="00AD77BB" w:rsidRDefault="00B45BA0">
      <w:pPr>
        <w:numPr>
          <w:ilvl w:val="0"/>
          <w:numId w:val="216"/>
        </w:numPr>
        <w:shd w:val="clear" w:color="auto" w:fill="DAEEF3" w:themeFill="accent5" w:themeFillTint="33"/>
        <w:spacing w:after="0" w:line="360" w:lineRule="auto"/>
        <w:ind w:left="360" w:right="374"/>
        <w:textAlignment w:val="baseline"/>
        <w:rPr>
          <w:rFonts w:ascii="Calibri" w:hAnsi="Calibri"/>
          <w:color w:val="333333"/>
          <w:sz w:val="20"/>
          <w:szCs w:val="20"/>
        </w:rPr>
      </w:pPr>
      <w:r>
        <w:rPr>
          <w:rFonts w:ascii="Calibri" w:hAnsi="Calibri"/>
          <w:color w:val="333333"/>
          <w:sz w:val="20"/>
          <w:szCs w:val="20"/>
        </w:rPr>
        <w:t>Steps 1–3 of the five-step procedure described in</w:t>
      </w:r>
      <w:r>
        <w:rPr>
          <w:rStyle w:val="apple-converted-space"/>
          <w:rFonts w:ascii="Calibri" w:hAnsi="Calibri"/>
          <w:color w:val="333333"/>
          <w:sz w:val="20"/>
          <w:szCs w:val="20"/>
        </w:rPr>
        <w:t> </w:t>
      </w:r>
      <w:r>
        <w:rPr>
          <w:rFonts w:ascii="Calibri" w:hAnsi="Calibri"/>
          <w:color w:val="2689C6"/>
          <w:sz w:val="20"/>
          <w:szCs w:val="20"/>
        </w:rPr>
        <w:t>Section 8.3.2 "The "</w:t>
      </w:r>
      <w:r>
        <w:rPr>
          <w:rStyle w:val="apple-converted-space"/>
          <w:rFonts w:ascii="Calibri" w:hAnsi="Calibri"/>
          <w:color w:val="333333"/>
          <w:sz w:val="20"/>
          <w:szCs w:val="20"/>
        </w:rPr>
        <w:t> </w:t>
      </w:r>
      <w:r>
        <w:rPr>
          <w:rFonts w:ascii="Calibri" w:hAnsi="Calibri"/>
          <w:color w:val="333333"/>
          <w:sz w:val="20"/>
          <w:szCs w:val="20"/>
        </w:rPr>
        <w:t>have already been done in</w:t>
      </w:r>
      <w:r>
        <w:rPr>
          <w:rStyle w:val="apple-converted-space"/>
          <w:rFonts w:ascii="Calibri" w:hAnsi="Calibri"/>
          <w:color w:val="333333"/>
          <w:sz w:val="20"/>
          <w:szCs w:val="20"/>
        </w:rPr>
        <w:t> </w:t>
      </w:r>
      <w:r>
        <w:rPr>
          <w:rFonts w:ascii="Calibri" w:hAnsi="Calibri"/>
          <w:color w:val="2689C6"/>
          <w:sz w:val="20"/>
          <w:szCs w:val="20"/>
        </w:rPr>
        <w:t>Note 8.47 "Example 12"</w:t>
      </w:r>
      <w:r>
        <w:rPr>
          <w:rStyle w:val="apple-converted-space"/>
          <w:rFonts w:ascii="Calibri" w:hAnsi="Calibri"/>
          <w:color w:val="333333"/>
          <w:sz w:val="20"/>
          <w:szCs w:val="20"/>
        </w:rPr>
        <w:t> </w:t>
      </w:r>
      <w:r>
        <w:rPr>
          <w:rFonts w:ascii="Calibri" w:hAnsi="Calibri"/>
          <w:color w:val="333333"/>
          <w:sz w:val="20"/>
          <w:szCs w:val="20"/>
        </w:rPr>
        <w:t>so we will not repeat them here, but only say that we know that the test is right-tailed and that value of the test statistic is</w:t>
      </w:r>
      <w:r>
        <w:rPr>
          <w:rStyle w:val="apple-converted-space"/>
          <w:rFonts w:ascii="Calibri" w:hAnsi="Calibri"/>
          <w:color w:val="333333"/>
          <w:sz w:val="20"/>
          <w:szCs w:val="20"/>
        </w:rPr>
        <w:t> </w:t>
      </w:r>
      <w:r>
        <w:rPr>
          <w:rStyle w:val="Emphasis"/>
          <w:rFonts w:ascii="Calibri" w:hAnsi="Calibri"/>
          <w:color w:val="333333"/>
          <w:sz w:val="20"/>
          <w:szCs w:val="20"/>
        </w:rPr>
        <w:t>Z</w:t>
      </w:r>
      <w:r>
        <w:rPr>
          <w:rStyle w:val="apple-converted-space"/>
          <w:rFonts w:ascii="Calibri" w:hAnsi="Calibri"/>
          <w:color w:val="333333"/>
          <w:sz w:val="20"/>
          <w:szCs w:val="20"/>
        </w:rPr>
        <w:t> </w:t>
      </w:r>
      <w:r>
        <w:rPr>
          <w:rFonts w:ascii="Calibri" w:hAnsi="Calibri"/>
          <w:color w:val="333333"/>
          <w:sz w:val="20"/>
          <w:szCs w:val="20"/>
        </w:rPr>
        <w:t>= 1.789.</w:t>
      </w:r>
    </w:p>
    <w:p w:rsidR="00AD77BB" w:rsidRDefault="00B45BA0">
      <w:pPr>
        <w:numPr>
          <w:ilvl w:val="0"/>
          <w:numId w:val="216"/>
        </w:numPr>
        <w:shd w:val="clear" w:color="auto" w:fill="DAEEF3" w:themeFill="accent5" w:themeFillTint="33"/>
        <w:spacing w:after="0" w:line="360" w:lineRule="auto"/>
        <w:ind w:left="360" w:right="374"/>
        <w:textAlignment w:val="baseline"/>
        <w:rPr>
          <w:rFonts w:ascii="Calibri" w:hAnsi="Calibri"/>
          <w:color w:val="333333"/>
          <w:sz w:val="20"/>
          <w:szCs w:val="20"/>
        </w:rPr>
      </w:pPr>
      <w:r>
        <w:rPr>
          <w:rFonts w:ascii="Calibri" w:hAnsi="Calibri"/>
          <w:color w:val="333333"/>
          <w:sz w:val="20"/>
          <w:szCs w:val="20"/>
        </w:rPr>
        <w:t>Step 4. Since the test is right-tailed the</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-value is the area under the standard normal curve cut off by the observed test statistic,</w:t>
      </w:r>
      <w:r>
        <w:rPr>
          <w:rStyle w:val="apple-converted-space"/>
          <w:rFonts w:ascii="Calibri" w:hAnsi="Calibri"/>
          <w:color w:val="333333"/>
          <w:sz w:val="20"/>
          <w:szCs w:val="20"/>
        </w:rPr>
        <w:t> </w:t>
      </w:r>
      <w:r>
        <w:rPr>
          <w:rStyle w:val="Emphasis"/>
          <w:rFonts w:ascii="Calibri" w:hAnsi="Calibri"/>
          <w:color w:val="333333"/>
          <w:sz w:val="20"/>
          <w:szCs w:val="20"/>
        </w:rPr>
        <w:t>z</w:t>
      </w:r>
      <w:r>
        <w:rPr>
          <w:rStyle w:val="apple-converted-space"/>
          <w:rFonts w:ascii="Calibri" w:hAnsi="Calibri"/>
          <w:color w:val="333333"/>
          <w:sz w:val="20"/>
          <w:szCs w:val="20"/>
        </w:rPr>
        <w:t> </w:t>
      </w:r>
      <w:r>
        <w:rPr>
          <w:rFonts w:ascii="Calibri" w:hAnsi="Calibri"/>
          <w:color w:val="333333"/>
          <w:sz w:val="20"/>
          <w:szCs w:val="20"/>
        </w:rPr>
        <w:t>= 1.789, as illustrated in</w:t>
      </w:r>
      <w:r>
        <w:rPr>
          <w:rFonts w:ascii="Calibri" w:hAnsi="Calibri"/>
          <w:color w:val="2689C6"/>
          <w:sz w:val="20"/>
          <w:szCs w:val="20"/>
        </w:rPr>
        <w:t>Figure 8.17</w:t>
      </w:r>
      <w:r>
        <w:rPr>
          <w:rFonts w:ascii="Calibri" w:hAnsi="Calibri"/>
          <w:color w:val="333333"/>
          <w:sz w:val="20"/>
          <w:szCs w:val="20"/>
        </w:rPr>
        <w:t>. By</w:t>
      </w:r>
      <w:r>
        <w:rPr>
          <w:rStyle w:val="apple-converted-space"/>
          <w:rFonts w:ascii="Calibri" w:hAnsi="Calibri"/>
          <w:color w:val="333333"/>
          <w:sz w:val="20"/>
          <w:szCs w:val="20"/>
        </w:rPr>
        <w:t> </w:t>
      </w:r>
      <w:r>
        <w:rPr>
          <w:rFonts w:ascii="Calibri" w:hAnsi="Calibri"/>
          <w:color w:val="2689C6"/>
          <w:sz w:val="20"/>
          <w:szCs w:val="20"/>
        </w:rPr>
        <w:t>Figure 12.2 "Cumulative Normal Probability"</w:t>
      </w:r>
      <w:r>
        <w:rPr>
          <w:rStyle w:val="apple-converted-space"/>
          <w:rFonts w:ascii="Calibri" w:hAnsi="Calibri"/>
          <w:color w:val="333333"/>
          <w:sz w:val="20"/>
          <w:szCs w:val="20"/>
        </w:rPr>
        <w:t> </w:t>
      </w:r>
      <w:r>
        <w:rPr>
          <w:rFonts w:ascii="Calibri" w:hAnsi="Calibri"/>
          <w:color w:val="333333"/>
          <w:sz w:val="20"/>
          <w:szCs w:val="20"/>
        </w:rPr>
        <w:t>that area and therefore the</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-value is</w:t>
      </w:r>
      <w:r>
        <w:rPr>
          <w:rStyle w:val="apple-converted-space"/>
          <w:rFonts w:ascii="Calibri" w:hAnsi="Calibri"/>
          <w:color w:val="333333"/>
          <w:sz w:val="20"/>
          <w:szCs w:val="20"/>
        </w:rPr>
        <w:t> </w:t>
      </w:r>
      <w:r>
        <w:rPr>
          <w:rStyle w:val="mn"/>
          <w:rFonts w:ascii="MathJax_Main" w:hAnsi="MathJax_Main"/>
          <w:b/>
          <w:color w:val="333333"/>
          <w:sz w:val="15"/>
          <w:szCs w:val="15"/>
        </w:rPr>
        <w:t>1</w:t>
      </w:r>
      <w:r>
        <w:rPr>
          <w:rStyle w:val="mo"/>
          <w:rFonts w:ascii="MathJax_Main" w:hAnsi="MathJax_Main"/>
          <w:b/>
          <w:color w:val="333333"/>
          <w:sz w:val="15"/>
          <w:szCs w:val="15"/>
        </w:rPr>
        <w:t>−</w:t>
      </w:r>
      <w:r>
        <w:rPr>
          <w:rStyle w:val="mn"/>
          <w:rFonts w:ascii="MathJax_Main" w:hAnsi="MathJax_Main"/>
          <w:b/>
          <w:color w:val="333333"/>
          <w:sz w:val="15"/>
          <w:szCs w:val="15"/>
        </w:rPr>
        <w:t>0.9633</w:t>
      </w:r>
      <w:r>
        <w:rPr>
          <w:rStyle w:val="mo"/>
          <w:rFonts w:ascii="MathJax_Main" w:hAnsi="MathJax_Main"/>
          <w:b/>
          <w:color w:val="333333"/>
          <w:sz w:val="15"/>
          <w:szCs w:val="15"/>
        </w:rPr>
        <w:t>=</w:t>
      </w:r>
      <w:r>
        <w:rPr>
          <w:rStyle w:val="mn"/>
          <w:rFonts w:ascii="MathJax_Main" w:hAnsi="MathJax_Main"/>
          <w:b/>
          <w:color w:val="333333"/>
          <w:sz w:val="15"/>
          <w:szCs w:val="15"/>
        </w:rPr>
        <w:t>0.0367</w:t>
      </w:r>
      <w:r>
        <w:rPr>
          <w:rStyle w:val="mo"/>
          <w:rFonts w:ascii="MathJax_Main" w:hAnsi="MathJax_Main"/>
          <w:b/>
          <w:color w:val="333333"/>
          <w:sz w:val="15"/>
          <w:szCs w:val="15"/>
        </w:rPr>
        <w:t>.</w:t>
      </w:r>
    </w:p>
    <w:p w:rsidR="00AD77BB" w:rsidRDefault="00B45BA0">
      <w:pPr>
        <w:numPr>
          <w:ilvl w:val="0"/>
          <w:numId w:val="216"/>
        </w:numPr>
        <w:shd w:val="clear" w:color="auto" w:fill="DAEEF3" w:themeFill="accent5" w:themeFillTint="33"/>
        <w:spacing w:after="0" w:line="360" w:lineRule="auto"/>
        <w:ind w:left="360" w:right="374"/>
        <w:textAlignment w:val="baseline"/>
        <w:rPr>
          <w:rFonts w:ascii="Calibri" w:hAnsi="Calibri"/>
          <w:color w:val="333333"/>
          <w:sz w:val="20"/>
          <w:szCs w:val="20"/>
        </w:rPr>
      </w:pPr>
      <w:r>
        <w:rPr>
          <w:rFonts w:ascii="Calibri" w:hAnsi="Calibri"/>
          <w:color w:val="333333"/>
          <w:sz w:val="20"/>
          <w:szCs w:val="20"/>
        </w:rPr>
        <w:t>Step 5. Since the</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-value is less than</w:t>
      </w:r>
      <w:r>
        <w:rPr>
          <w:rStyle w:val="apple-converted-space"/>
          <w:rFonts w:ascii="Calibri" w:hAnsi="Calibri"/>
          <w:color w:val="333333"/>
          <w:sz w:val="20"/>
          <w:szCs w:val="20"/>
        </w:rPr>
        <w:t> </w:t>
      </w:r>
      <w:r>
        <w:rPr>
          <w:rStyle w:val="mi"/>
          <w:rFonts w:ascii="MathJax_Math" w:hAnsi="MathJax_Math"/>
          <w:i/>
          <w:iCs/>
          <w:color w:val="333333"/>
          <w:sz w:val="15"/>
          <w:szCs w:val="15"/>
        </w:rPr>
        <w:t>α</w:t>
      </w:r>
      <w:r>
        <w:rPr>
          <w:rStyle w:val="mo"/>
          <w:rFonts w:ascii="MathJax_Main" w:hAnsi="MathJax_Main"/>
          <w:color w:val="333333"/>
          <w:sz w:val="15"/>
          <w:szCs w:val="15"/>
        </w:rPr>
        <w:t>=</w:t>
      </w:r>
      <w:r>
        <w:rPr>
          <w:rStyle w:val="mn"/>
          <w:rFonts w:ascii="MathJax_Main" w:hAnsi="MathJax_Main"/>
          <w:color w:val="333333"/>
          <w:sz w:val="15"/>
          <w:szCs w:val="15"/>
        </w:rPr>
        <w:t>0.05</w:t>
      </w:r>
      <w:r>
        <w:rPr>
          <w:rStyle w:val="apple-converted-space"/>
          <w:rFonts w:ascii="Calibri" w:hAnsi="Calibri"/>
          <w:color w:val="333333"/>
          <w:sz w:val="20"/>
          <w:szCs w:val="20"/>
        </w:rPr>
        <w:t> </w:t>
      </w:r>
      <w:r>
        <w:rPr>
          <w:rFonts w:ascii="Calibri" w:hAnsi="Calibri"/>
          <w:color w:val="333333"/>
          <w:sz w:val="20"/>
          <w:szCs w:val="20"/>
        </w:rPr>
        <w:t>the decision is to reject</w:t>
      </w:r>
      <w:r>
        <w:rPr>
          <w:rStyle w:val="apple-converted-space"/>
          <w:rFonts w:ascii="Calibri" w:hAnsi="Calibri"/>
          <w:color w:val="333333"/>
          <w:sz w:val="20"/>
          <w:szCs w:val="20"/>
        </w:rPr>
        <w:t> </w:t>
      </w:r>
      <w:r>
        <w:rPr>
          <w:rStyle w:val="Emphasis"/>
          <w:rFonts w:ascii="Calibri" w:hAnsi="Calibri"/>
          <w:color w:val="333333"/>
          <w:sz w:val="20"/>
          <w:szCs w:val="20"/>
        </w:rPr>
        <w:t>H</w:t>
      </w:r>
      <w:r>
        <w:rPr>
          <w:rFonts w:ascii="Calibri" w:hAnsi="Calibri"/>
          <w:color w:val="333333"/>
          <w:sz w:val="15"/>
          <w:szCs w:val="15"/>
          <w:vertAlign w:val="subscript"/>
        </w:rPr>
        <w:t>0</w:t>
      </w:r>
      <w:r>
        <w:rPr>
          <w:rFonts w:ascii="Calibri" w:hAnsi="Calibri"/>
          <w:color w:val="333333"/>
          <w:sz w:val="20"/>
          <w:szCs w:val="20"/>
        </w:rPr>
        <w:t>.</w:t>
      </w:r>
    </w:p>
    <w:p w:rsidR="00AD77BB" w:rsidRDefault="00AD77BB">
      <w:pPr>
        <w:pStyle w:val="Title8"/>
        <w:shd w:val="clear" w:color="auto" w:fill="DAEEF3" w:themeFill="accent5" w:themeFillTint="33"/>
        <w:spacing w:before="0" w:beforeAutospacing="0" w:after="0" w:afterAutospacing="0" w:line="360" w:lineRule="auto"/>
        <w:ind w:left="302" w:right="374"/>
        <w:textAlignment w:val="baseline"/>
        <w:rPr>
          <w:rStyle w:val="title-prefix"/>
          <w:i/>
          <w:iCs/>
          <w:color w:val="000000"/>
          <w:sz w:val="18"/>
          <w:szCs w:val="18"/>
        </w:rPr>
      </w:pPr>
    </w:p>
    <w:p w:rsidR="00AD77BB" w:rsidRDefault="00AD77BB">
      <w:pPr>
        <w:pStyle w:val="Title8"/>
        <w:shd w:val="clear" w:color="auto" w:fill="DAEEF3" w:themeFill="accent5" w:themeFillTint="33"/>
        <w:spacing w:before="0" w:beforeAutospacing="0" w:after="0" w:afterAutospacing="0" w:line="360" w:lineRule="auto"/>
        <w:ind w:left="302" w:right="374"/>
        <w:textAlignment w:val="baseline"/>
        <w:rPr>
          <w:rStyle w:val="title-prefix"/>
          <w:rFonts w:ascii="Calibri" w:hAnsi="Calibri"/>
          <w:i/>
          <w:iCs/>
          <w:color w:val="000000"/>
          <w:sz w:val="18"/>
          <w:szCs w:val="18"/>
        </w:rPr>
      </w:pPr>
    </w:p>
    <w:p w:rsidR="00AD77BB" w:rsidRDefault="00AD77BB">
      <w:pPr>
        <w:pStyle w:val="Title8"/>
        <w:shd w:val="clear" w:color="auto" w:fill="DAEEF3" w:themeFill="accent5" w:themeFillTint="33"/>
        <w:spacing w:before="0" w:beforeAutospacing="0" w:after="0" w:afterAutospacing="0" w:line="360" w:lineRule="auto"/>
        <w:ind w:left="302" w:right="374"/>
        <w:textAlignment w:val="baseline"/>
        <w:rPr>
          <w:rStyle w:val="title-prefix"/>
          <w:rFonts w:ascii="Calibri" w:hAnsi="Calibri"/>
          <w:i/>
          <w:iCs/>
          <w:color w:val="000000"/>
          <w:sz w:val="18"/>
          <w:szCs w:val="18"/>
        </w:rPr>
      </w:pPr>
    </w:p>
    <w:p w:rsidR="00AD77BB" w:rsidRDefault="00AD77BB">
      <w:pPr>
        <w:pStyle w:val="Title8"/>
        <w:shd w:val="clear" w:color="auto" w:fill="DAEEF3" w:themeFill="accent5" w:themeFillTint="33"/>
        <w:spacing w:before="0" w:beforeAutospacing="0" w:after="0" w:afterAutospacing="0" w:line="360" w:lineRule="auto"/>
        <w:ind w:left="302" w:right="374"/>
        <w:textAlignment w:val="baseline"/>
        <w:rPr>
          <w:rStyle w:val="title-prefix"/>
          <w:rFonts w:ascii="Calibri" w:hAnsi="Calibri"/>
          <w:i/>
          <w:iCs/>
          <w:color w:val="000000"/>
          <w:sz w:val="18"/>
          <w:szCs w:val="18"/>
        </w:rPr>
      </w:pPr>
    </w:p>
    <w:p w:rsidR="00AD77BB" w:rsidRDefault="00AD77BB">
      <w:pPr>
        <w:pStyle w:val="Title8"/>
        <w:shd w:val="clear" w:color="auto" w:fill="DAEEF3" w:themeFill="accent5" w:themeFillTint="33"/>
        <w:spacing w:before="0" w:beforeAutospacing="0" w:after="0" w:afterAutospacing="0" w:line="360" w:lineRule="auto"/>
        <w:ind w:left="302" w:right="374"/>
        <w:textAlignment w:val="baseline"/>
        <w:rPr>
          <w:rStyle w:val="title-prefix"/>
          <w:rFonts w:ascii="Calibri" w:hAnsi="Calibri"/>
          <w:i/>
          <w:iCs/>
          <w:color w:val="000000"/>
          <w:sz w:val="18"/>
          <w:szCs w:val="18"/>
        </w:rPr>
      </w:pPr>
    </w:p>
    <w:p w:rsidR="00AD77BB" w:rsidRDefault="00AD77BB">
      <w:pPr>
        <w:pStyle w:val="Title8"/>
        <w:shd w:val="clear" w:color="auto" w:fill="DAEEF3" w:themeFill="accent5" w:themeFillTint="33"/>
        <w:spacing w:before="0" w:beforeAutospacing="0" w:after="0" w:afterAutospacing="0" w:line="360" w:lineRule="auto"/>
        <w:ind w:left="302" w:right="374"/>
        <w:textAlignment w:val="baseline"/>
        <w:rPr>
          <w:rStyle w:val="title-prefix"/>
          <w:rFonts w:ascii="Calibri" w:hAnsi="Calibri"/>
          <w:i/>
          <w:iCs/>
          <w:color w:val="000000"/>
          <w:sz w:val="18"/>
          <w:szCs w:val="18"/>
        </w:rPr>
      </w:pPr>
    </w:p>
    <w:p w:rsidR="00AD77BB" w:rsidRDefault="00AD77BB">
      <w:pPr>
        <w:pStyle w:val="Title8"/>
        <w:shd w:val="clear" w:color="auto" w:fill="DAEEF3" w:themeFill="accent5" w:themeFillTint="33"/>
        <w:spacing w:before="0" w:beforeAutospacing="0" w:after="0" w:afterAutospacing="0" w:line="360" w:lineRule="auto"/>
        <w:ind w:left="302" w:right="374"/>
        <w:textAlignment w:val="baseline"/>
        <w:rPr>
          <w:rStyle w:val="title-prefix"/>
          <w:rFonts w:ascii="Calibri" w:hAnsi="Calibri"/>
          <w:i/>
          <w:iCs/>
          <w:color w:val="000000"/>
          <w:sz w:val="18"/>
          <w:szCs w:val="18"/>
        </w:rPr>
      </w:pPr>
    </w:p>
    <w:p w:rsidR="00AD77BB" w:rsidRDefault="00B45BA0">
      <w:pPr>
        <w:pStyle w:val="Title8"/>
        <w:shd w:val="clear" w:color="auto" w:fill="DAEEF3" w:themeFill="accent5" w:themeFillTint="33"/>
        <w:spacing w:before="0" w:beforeAutospacing="0" w:after="0" w:afterAutospacing="0" w:line="360" w:lineRule="auto"/>
        <w:ind w:left="302" w:right="374"/>
        <w:textAlignment w:val="baseline"/>
        <w:rPr>
          <w:color w:val="BB9966"/>
        </w:rPr>
      </w:pPr>
      <w:r>
        <w:rPr>
          <w:rStyle w:val="title-prefix"/>
          <w:rFonts w:ascii="Calibri" w:hAnsi="Calibri"/>
          <w:i/>
          <w:iCs/>
          <w:color w:val="000000"/>
          <w:sz w:val="18"/>
          <w:szCs w:val="18"/>
        </w:rPr>
        <w:t>Figure 8.17</w:t>
      </w:r>
      <w:r>
        <w:rPr>
          <w:rStyle w:val="Emphasis"/>
          <w:rFonts w:ascii="Calibri" w:hAnsi="Calibri"/>
          <w:color w:val="BB9966"/>
          <w:sz w:val="18"/>
          <w:szCs w:val="18"/>
        </w:rPr>
        <w:t>P</w:t>
      </w:r>
      <w:r>
        <w:rPr>
          <w:rFonts w:ascii="Calibri" w:hAnsi="Calibri"/>
          <w:i/>
          <w:iCs/>
          <w:color w:val="BB9966"/>
          <w:sz w:val="18"/>
          <w:szCs w:val="18"/>
        </w:rPr>
        <w:t>-Value for</w:t>
      </w:r>
      <w:r>
        <w:rPr>
          <w:rStyle w:val="apple-converted-space"/>
          <w:rFonts w:ascii="Calibri" w:hAnsi="Calibri"/>
          <w:i/>
          <w:iCs/>
          <w:color w:val="BB9966"/>
          <w:sz w:val="18"/>
          <w:szCs w:val="18"/>
        </w:rPr>
        <w:t> </w:t>
      </w:r>
      <w:r>
        <w:rPr>
          <w:rFonts w:ascii="Calibri" w:hAnsi="Calibri"/>
          <w:i/>
          <w:iCs/>
          <w:color w:val="2689C6"/>
          <w:sz w:val="18"/>
          <w:szCs w:val="18"/>
        </w:rPr>
        <w:t>Note 8.49 "Example 14"</w:t>
      </w:r>
    </w:p>
    <w:p w:rsidR="00AD77BB" w:rsidRDefault="00B45BA0">
      <w:pPr>
        <w:shd w:val="clear" w:color="auto" w:fill="DAEEF3" w:themeFill="accent5" w:themeFillTint="33"/>
        <w:spacing w:line="270" w:lineRule="atLeast"/>
        <w:textAlignment w:val="baseline"/>
        <w:rPr>
          <w:rFonts w:ascii="Calibri" w:hAnsi="Calibri"/>
          <w:color w:val="555555"/>
          <w:sz w:val="23"/>
          <w:szCs w:val="23"/>
        </w:rPr>
      </w:pPr>
      <w:r>
        <w:rPr>
          <w:rFonts w:ascii="Calibri" w:hAnsi="Calibri"/>
          <w:noProof/>
          <w:color w:val="2689C6"/>
          <w:sz w:val="23"/>
          <w:szCs w:val="23"/>
        </w:rPr>
        <w:lastRenderedPageBreak/>
        <w:drawing>
          <wp:inline distT="0" distB="0" distL="0" distR="0" wp14:anchorId="54544659" wp14:editId="401BA0DE">
            <wp:extent cx="3714750" cy="2343150"/>
            <wp:effectExtent l="0" t="0" r="0" b="0"/>
            <wp:docPr id="300" name="Picture 315" descr="http://images.flatworldknowledge.com/shafer/shafer-fig08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images.flatworldknowledge.com/shafer/shafer-fig08_017.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714750" cy="2343150"/>
                    </a:xfrm>
                    <a:prstGeom prst="rect">
                      <a:avLst/>
                    </a:prstGeom>
                    <a:noFill/>
                    <a:ln>
                      <a:noFill/>
                    </a:ln>
                  </pic:spPr>
                </pic:pic>
              </a:graphicData>
            </a:graphic>
          </wp:inline>
        </w:drawing>
      </w:r>
    </w:p>
    <w:p w:rsidR="00AD77BB" w:rsidRDefault="00AD77BB">
      <w:pPr>
        <w:shd w:val="clear" w:color="auto" w:fill="DAEEF3" w:themeFill="accent5" w:themeFillTint="33"/>
        <w:spacing w:line="270" w:lineRule="atLeast"/>
        <w:textAlignment w:val="baseline"/>
        <w:rPr>
          <w:rFonts w:ascii="Calibri" w:hAnsi="Calibri"/>
          <w:color w:val="555555"/>
          <w:sz w:val="23"/>
          <w:szCs w:val="23"/>
        </w:rPr>
      </w:pP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EXAMPLE 15</w:t>
      </w:r>
    </w:p>
    <w:p w:rsidR="00AD77BB" w:rsidRDefault="00B45BA0">
      <w:pPr>
        <w:shd w:val="clear" w:color="auto" w:fill="DAEEF3" w:themeFill="accent5" w:themeFillTint="33"/>
        <w:spacing w:after="0" w:line="360" w:lineRule="auto"/>
        <w:ind w:left="302" w:right="374"/>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Perform the test of </w:t>
      </w:r>
      <w:r>
        <w:rPr>
          <w:rFonts w:ascii="Calibri" w:eastAsia="Times New Roman" w:hAnsi="Calibri" w:cs="Times New Roman"/>
          <w:color w:val="2689C6"/>
          <w:sz w:val="21"/>
          <w:szCs w:val="21"/>
        </w:rPr>
        <w:t>Note 8.48 "Example 13"</w:t>
      </w:r>
      <w:r>
        <w:rPr>
          <w:rFonts w:ascii="Calibri" w:eastAsia="Times New Roman" w:hAnsi="Calibri" w:cs="Times New Roman"/>
          <w:color w:val="333333"/>
          <w:sz w:val="21"/>
          <w:szCs w:val="21"/>
        </w:rPr>
        <w:t> using the </w:t>
      </w:r>
      <w:r>
        <w:rPr>
          <w:rFonts w:ascii="Calibri" w:eastAsia="Times New Roman" w:hAnsi="Calibri" w:cs="Times New Roman"/>
          <w:i/>
          <w:iCs/>
          <w:color w:val="333333"/>
          <w:sz w:val="20"/>
          <w:szCs w:val="20"/>
        </w:rPr>
        <w:t>p</w:t>
      </w:r>
      <w:r>
        <w:rPr>
          <w:rFonts w:ascii="Calibri" w:eastAsia="Times New Roman" w:hAnsi="Calibri" w:cs="Times New Roman"/>
          <w:color w:val="333333"/>
          <w:sz w:val="21"/>
          <w:szCs w:val="21"/>
        </w:rPr>
        <w:t>-value approach.</w:t>
      </w:r>
    </w:p>
    <w:p w:rsidR="00AD77BB" w:rsidRDefault="00B45BA0">
      <w:pPr>
        <w:shd w:val="clear" w:color="auto" w:fill="DAEEF3" w:themeFill="accent5" w:themeFillTint="33"/>
        <w:spacing w:before="150" w:after="0" w:line="360" w:lineRule="auto"/>
        <w:ind w:left="302" w:right="374"/>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Solution:</w:t>
      </w:r>
    </w:p>
    <w:p w:rsidR="00AD77BB" w:rsidRDefault="00B45BA0">
      <w:pPr>
        <w:shd w:val="clear" w:color="auto" w:fill="DAEEF3" w:themeFill="accent5" w:themeFillTint="33"/>
        <w:spacing w:before="150" w:after="0" w:line="360" w:lineRule="auto"/>
        <w:ind w:left="302" w:right="374"/>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We already know that the sample size is sufficiently large to validly perform the test.</w:t>
      </w:r>
    </w:p>
    <w:p w:rsidR="00AD77BB" w:rsidRDefault="00AD77BB">
      <w:pPr>
        <w:shd w:val="clear" w:color="auto" w:fill="DAEEF3" w:themeFill="accent5" w:themeFillTint="33"/>
        <w:spacing w:before="150" w:after="0" w:line="360" w:lineRule="auto"/>
        <w:ind w:left="302" w:right="374"/>
        <w:textAlignment w:val="baseline"/>
        <w:rPr>
          <w:rFonts w:ascii="Calibri" w:eastAsia="Times New Roman" w:hAnsi="Calibri" w:cs="Times New Roman"/>
          <w:color w:val="333333"/>
          <w:sz w:val="21"/>
          <w:szCs w:val="21"/>
        </w:rPr>
      </w:pPr>
    </w:p>
    <w:p w:rsidR="00AD77BB" w:rsidRDefault="00B45BA0">
      <w:pPr>
        <w:numPr>
          <w:ilvl w:val="0"/>
          <w:numId w:val="217"/>
        </w:numPr>
        <w:shd w:val="clear" w:color="auto" w:fill="DAEEF3" w:themeFill="accent5" w:themeFillTint="33"/>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Steps 1–3 of the five-step procedure described in </w:t>
      </w:r>
      <w:r>
        <w:rPr>
          <w:rFonts w:ascii="Calibri" w:eastAsia="Times New Roman" w:hAnsi="Calibri" w:cs="Times New Roman"/>
          <w:color w:val="2689C6"/>
          <w:sz w:val="20"/>
          <w:szCs w:val="20"/>
        </w:rPr>
        <w:t>Section 8.3.2 "The "</w:t>
      </w:r>
      <w:r>
        <w:rPr>
          <w:rFonts w:ascii="Calibri" w:eastAsia="Times New Roman" w:hAnsi="Calibri" w:cs="Times New Roman"/>
          <w:color w:val="333333"/>
          <w:sz w:val="20"/>
          <w:szCs w:val="20"/>
        </w:rPr>
        <w:t> have already been done in </w:t>
      </w:r>
      <w:r>
        <w:rPr>
          <w:rFonts w:ascii="Calibri" w:eastAsia="Times New Roman" w:hAnsi="Calibri" w:cs="Times New Roman"/>
          <w:color w:val="2689C6"/>
          <w:sz w:val="20"/>
          <w:szCs w:val="20"/>
        </w:rPr>
        <w:t>Note 8.48 "Example 13"</w:t>
      </w:r>
      <w:r>
        <w:rPr>
          <w:rFonts w:ascii="Calibri" w:eastAsia="Times New Roman" w:hAnsi="Calibri" w:cs="Times New Roman"/>
          <w:color w:val="333333"/>
          <w:sz w:val="20"/>
          <w:szCs w:val="20"/>
        </w:rPr>
        <w:t>. They tell us that the test is two-tailed and that value of the test statistic is </w:t>
      </w:r>
      <w:r>
        <w:rPr>
          <w:rFonts w:ascii="Calibri" w:eastAsia="Times New Roman" w:hAnsi="Calibri" w:cs="Times New Roman"/>
          <w:i/>
          <w:iCs/>
          <w:color w:val="333333"/>
          <w:sz w:val="20"/>
          <w:szCs w:val="20"/>
        </w:rPr>
        <w:t>Z</w:t>
      </w:r>
      <w:r>
        <w:rPr>
          <w:rFonts w:ascii="Calibri" w:eastAsia="Times New Roman" w:hAnsi="Calibri" w:cs="Times New Roman"/>
          <w:color w:val="333333"/>
          <w:sz w:val="20"/>
          <w:szCs w:val="20"/>
        </w:rPr>
        <w:t> = 1.542.</w:t>
      </w:r>
    </w:p>
    <w:p w:rsidR="00AD77BB" w:rsidRDefault="00B45BA0">
      <w:pPr>
        <w:numPr>
          <w:ilvl w:val="0"/>
          <w:numId w:val="217"/>
        </w:numPr>
        <w:shd w:val="clear" w:color="auto" w:fill="DAEEF3" w:themeFill="accent5" w:themeFillTint="33"/>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Step 4. Since the test is two-tailed the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is the double of the area under the standard normal curve cut off by the observed test statistic, </w:t>
      </w:r>
      <w:r>
        <w:rPr>
          <w:rFonts w:ascii="Calibri" w:eastAsia="Times New Roman" w:hAnsi="Calibri" w:cs="Times New Roman"/>
          <w:i/>
          <w:iCs/>
          <w:color w:val="333333"/>
          <w:sz w:val="20"/>
          <w:szCs w:val="20"/>
        </w:rPr>
        <w:t>z</w:t>
      </w:r>
      <w:r>
        <w:rPr>
          <w:rFonts w:ascii="Calibri" w:eastAsia="Times New Roman" w:hAnsi="Calibri" w:cs="Times New Roman"/>
          <w:color w:val="333333"/>
          <w:sz w:val="20"/>
          <w:szCs w:val="20"/>
        </w:rPr>
        <w:t> = 1.542. By</w:t>
      </w:r>
      <w:r>
        <w:rPr>
          <w:rFonts w:ascii="Calibri" w:eastAsia="Times New Roman" w:hAnsi="Calibri" w:cs="Times New Roman"/>
          <w:color w:val="2689C6"/>
          <w:sz w:val="20"/>
          <w:szCs w:val="20"/>
        </w:rPr>
        <w:t>Figure 12.2 "Cumulative Normal Probability"</w:t>
      </w:r>
      <w:r>
        <w:rPr>
          <w:rFonts w:ascii="Calibri" w:eastAsia="Times New Roman" w:hAnsi="Calibri" w:cs="Times New Roman"/>
          <w:color w:val="333333"/>
          <w:sz w:val="20"/>
          <w:szCs w:val="20"/>
        </w:rPr>
        <w:t> that area is </w:t>
      </w:r>
      <w:r>
        <w:rPr>
          <w:rFonts w:ascii="MathJax_Main" w:eastAsia="Times New Roman" w:hAnsi="MathJax_Main" w:cs="Times New Roman"/>
          <w:b/>
          <w:color w:val="333333"/>
          <w:sz w:val="15"/>
          <w:szCs w:val="15"/>
        </w:rPr>
        <w:t>1−0.9382=0.0618</w:t>
      </w:r>
      <w:r>
        <w:rPr>
          <w:rFonts w:ascii="Calibri" w:eastAsia="Times New Roman" w:hAnsi="Calibri" w:cs="Times New Roman"/>
          <w:color w:val="333333"/>
          <w:sz w:val="20"/>
          <w:szCs w:val="20"/>
        </w:rPr>
        <w:t>, as illustrated in </w:t>
      </w:r>
      <w:r>
        <w:rPr>
          <w:rFonts w:ascii="Calibri" w:eastAsia="Times New Roman" w:hAnsi="Calibri" w:cs="Times New Roman"/>
          <w:color w:val="2689C6"/>
          <w:sz w:val="20"/>
          <w:szCs w:val="20"/>
        </w:rPr>
        <w:t>Figure 8.18</w:t>
      </w:r>
      <w:r>
        <w:rPr>
          <w:rFonts w:ascii="Calibri" w:eastAsia="Times New Roman" w:hAnsi="Calibri" w:cs="Times New Roman"/>
          <w:color w:val="333333"/>
          <w:sz w:val="20"/>
          <w:szCs w:val="20"/>
        </w:rPr>
        <w:t>, hence the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is </w:t>
      </w:r>
      <w:r>
        <w:rPr>
          <w:rFonts w:ascii="MathJax_Main" w:eastAsia="Times New Roman" w:hAnsi="MathJax_Main" w:cs="Times New Roman"/>
          <w:b/>
          <w:color w:val="333333"/>
          <w:sz w:val="15"/>
          <w:szCs w:val="15"/>
        </w:rPr>
        <w:t>2×0.0618=0.1236.</w:t>
      </w:r>
    </w:p>
    <w:p w:rsidR="00AD77BB" w:rsidRDefault="00B45BA0">
      <w:pPr>
        <w:numPr>
          <w:ilvl w:val="0"/>
          <w:numId w:val="217"/>
        </w:numPr>
        <w:shd w:val="clear" w:color="auto" w:fill="DAEEF3" w:themeFill="accent5" w:themeFillTint="33"/>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Step 5. Since the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is greater than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=0.10</w:t>
      </w:r>
      <w:r>
        <w:rPr>
          <w:rFonts w:ascii="Calibri" w:eastAsia="Times New Roman" w:hAnsi="Calibri" w:cs="Times New Roman"/>
          <w:color w:val="333333"/>
          <w:sz w:val="20"/>
          <w:szCs w:val="20"/>
        </w:rPr>
        <w:t> the decision is not to reject</w:t>
      </w:r>
      <w:r>
        <w:rPr>
          <w:rFonts w:ascii="Calibri" w:eastAsia="Times New Roman" w:hAnsi="Calibri" w:cs="Times New Roman"/>
          <w:i/>
          <w:iCs/>
          <w:color w:val="333333"/>
          <w:sz w:val="20"/>
          <w:szCs w:val="20"/>
        </w:rPr>
        <w:t>H</w:t>
      </w:r>
      <w:r>
        <w:rPr>
          <w:rFonts w:ascii="Calibri" w:eastAsia="Times New Roman" w:hAnsi="Calibri" w:cs="Times New Roman"/>
          <w:color w:val="333333"/>
          <w:sz w:val="15"/>
          <w:szCs w:val="15"/>
          <w:vertAlign w:val="subscript"/>
        </w:rPr>
        <w:t>0</w:t>
      </w:r>
      <w:r>
        <w:rPr>
          <w:rFonts w:ascii="Calibri" w:eastAsia="Times New Roman" w:hAnsi="Calibri" w:cs="Times New Roman"/>
          <w:color w:val="333333"/>
          <w:sz w:val="20"/>
          <w:szCs w:val="20"/>
        </w:rPr>
        <w:t>.</w:t>
      </w:r>
    </w:p>
    <w:p w:rsidR="00AD77BB" w:rsidRDefault="00AD77BB">
      <w:pPr>
        <w:spacing w:after="0" w:line="360" w:lineRule="auto"/>
        <w:ind w:left="302" w:right="374"/>
        <w:textAlignment w:val="baseline"/>
        <w:rPr>
          <w:rFonts w:ascii="Calibri" w:eastAsia="Times New Roman" w:hAnsi="Calibri" w:cs="Times New Roman"/>
          <w:color w:val="333333"/>
          <w:sz w:val="20"/>
          <w:szCs w:val="20"/>
        </w:rPr>
      </w:pPr>
    </w:p>
    <w:p w:rsidR="00AD77BB" w:rsidRDefault="00B45BA0">
      <w:pPr>
        <w:spacing w:after="0" w:line="439" w:lineRule="atLeast"/>
        <w:ind w:left="300" w:right="375"/>
        <w:textAlignment w:val="baseline"/>
        <w:rPr>
          <w:rFonts w:ascii="Calibri" w:eastAsia="Times New Roman" w:hAnsi="Calibri" w:cs="Times New Roman"/>
          <w:i/>
          <w:iCs/>
          <w:color w:val="BB9966"/>
          <w:sz w:val="18"/>
          <w:szCs w:val="18"/>
        </w:rPr>
      </w:pPr>
      <w:r>
        <w:rPr>
          <w:rFonts w:ascii="Calibri" w:eastAsia="Times New Roman" w:hAnsi="Calibri" w:cs="Times New Roman"/>
          <w:i/>
          <w:iCs/>
          <w:color w:val="000000"/>
          <w:sz w:val="18"/>
          <w:szCs w:val="18"/>
        </w:rPr>
        <w:t>Figure 8.18</w:t>
      </w:r>
      <w:r>
        <w:rPr>
          <w:rFonts w:ascii="Calibri" w:eastAsia="Times New Roman" w:hAnsi="Calibri" w:cs="Times New Roman"/>
          <w:i/>
          <w:iCs/>
          <w:color w:val="BB9966"/>
          <w:sz w:val="18"/>
          <w:szCs w:val="18"/>
        </w:rPr>
        <w:t>P-Value for </w:t>
      </w:r>
      <w:r>
        <w:rPr>
          <w:rFonts w:ascii="Calibri" w:eastAsia="Times New Roman" w:hAnsi="Calibri" w:cs="Times New Roman"/>
          <w:i/>
          <w:iCs/>
          <w:color w:val="2689C6"/>
          <w:sz w:val="18"/>
          <w:szCs w:val="18"/>
        </w:rPr>
        <w:t>Note 8.50 "Example 15"</w:t>
      </w:r>
    </w:p>
    <w:p w:rsidR="00AD77BB" w:rsidRDefault="00B45BA0">
      <w:pPr>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rPr>
        <w:drawing>
          <wp:inline distT="0" distB="0" distL="0" distR="0" wp14:anchorId="7EF74AFF" wp14:editId="70051D7B">
            <wp:extent cx="2600325" cy="1638300"/>
            <wp:effectExtent l="0" t="0" r="9525" b="0"/>
            <wp:docPr id="301" name="Picture 316" descr="http://images.flatworldknowledge.com/shafer/shafer-fig08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images.flatworldknowledge.com/shafer/shafer-fig08_018.jp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600325" cy="1638300"/>
                    </a:xfrm>
                    <a:prstGeom prst="rect">
                      <a:avLst/>
                    </a:prstGeom>
                    <a:noFill/>
                    <a:ln>
                      <a:noFill/>
                    </a:ln>
                  </pic:spPr>
                </pic:pic>
              </a:graphicData>
            </a:graphic>
          </wp:inline>
        </w:drawing>
      </w: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KEY TAKEAWAYS</w:t>
      </w:r>
    </w:p>
    <w:p w:rsidR="00AD77BB" w:rsidRDefault="00B45BA0">
      <w:pPr>
        <w:numPr>
          <w:ilvl w:val="0"/>
          <w:numId w:val="218"/>
        </w:numPr>
        <w:shd w:val="clear" w:color="auto" w:fill="DAEEF3" w:themeFill="accent5" w:themeFillTint="33"/>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There is one formula for the test statistic in testing hypotheses about a population proportion. The test statistic follows the standard normal distribution.</w:t>
      </w:r>
    </w:p>
    <w:p w:rsidR="00AD77BB" w:rsidRDefault="00B45BA0">
      <w:pPr>
        <w:numPr>
          <w:ilvl w:val="0"/>
          <w:numId w:val="218"/>
        </w:numPr>
        <w:shd w:val="clear" w:color="auto" w:fill="DAEEF3" w:themeFill="accent5" w:themeFillTint="33"/>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Either five-step procedure, critical value or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approach, can be used.</w:t>
      </w:r>
    </w:p>
    <w:p w:rsidR="00AD77BB" w:rsidRDefault="00AD77BB">
      <w:pPr>
        <w:spacing w:line="270" w:lineRule="atLeast"/>
        <w:textAlignment w:val="baseline"/>
        <w:rPr>
          <w:rFonts w:ascii="Calibri" w:eastAsia="Times New Roman" w:hAnsi="Calibri" w:cs="Times New Roman"/>
          <w:color w:val="555555"/>
          <w:sz w:val="23"/>
          <w:szCs w:val="23"/>
        </w:rPr>
      </w:pP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0F48F9D6" wp14:editId="7DA54DD8">
            <wp:extent cx="4991100" cy="5981700"/>
            <wp:effectExtent l="0" t="0" r="0" b="0"/>
            <wp:docPr id="302"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991100" cy="598170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49A86622" wp14:editId="5C62FA32">
            <wp:extent cx="5143500" cy="4743450"/>
            <wp:effectExtent l="0" t="0" r="0" b="0"/>
            <wp:docPr id="303"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143500" cy="4743450"/>
                    </a:xfrm>
                    <a:prstGeom prst="rect">
                      <a:avLst/>
                    </a:prstGeom>
                    <a:noFill/>
                    <a:ln>
                      <a:noFill/>
                    </a:ln>
                  </pic:spPr>
                </pic:pic>
              </a:graphicData>
            </a:graphic>
          </wp:inline>
        </w:drawing>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APPLICATIONS</w:t>
      </w:r>
    </w:p>
    <w:p w:rsidR="00AD77BB" w:rsidRDefault="00B45BA0">
      <w:pPr>
        <w:pStyle w:val="para"/>
        <w:numPr>
          <w:ilvl w:val="0"/>
          <w:numId w:val="219"/>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Five years ago 3.9% of children in a certain region lived with someone other than a parent. A sociologist wishes to test whether the current proportion is different. Perform the relevant test at the 5% level of significance using the following data: in a random sample of 2,759 children, 119 lived with someone other than a parent.</w:t>
      </w:r>
    </w:p>
    <w:p w:rsidR="00AD77BB" w:rsidRDefault="00B45BA0">
      <w:pPr>
        <w:pStyle w:val="para"/>
        <w:numPr>
          <w:ilvl w:val="0"/>
          <w:numId w:val="219"/>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The government of a particular country reports its literacy rate as 52%. A nongovernmental organization believes it to be less. The organization takes a random sample of 600 inhabitants and obtains a literacy rate of 42%. Perform the relevant test at the 0.5% (one-half of 1%) level of significance.</w:t>
      </w:r>
    </w:p>
    <w:p w:rsidR="00AD77BB" w:rsidRDefault="00B45BA0">
      <w:pPr>
        <w:pStyle w:val="para"/>
        <w:numPr>
          <w:ilvl w:val="0"/>
          <w:numId w:val="219"/>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Two years ago 72% of household in a certain county regularly participated in recycling household waste. The county government wishes to investigate whether that proportion has increased after an intensive campaign promoting recycling. In a survey of 900 households, 674 regularly participate in recycling. Perform the relevant test at the 10% level of significance.</w:t>
      </w:r>
    </w:p>
    <w:p w:rsidR="00AD77BB" w:rsidRDefault="00B45BA0">
      <w:pPr>
        <w:pStyle w:val="para"/>
        <w:numPr>
          <w:ilvl w:val="0"/>
          <w:numId w:val="219"/>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 xml:space="preserve">Prior to a special advertising campaign, 23% of all adults recognized a particular company’s logo. At the close of the campaign the marketing department commissioned a survey in which 311 of 1,200 randomly selected </w:t>
      </w:r>
      <w:r>
        <w:rPr>
          <w:rFonts w:ascii="Calibri" w:hAnsi="Calibri"/>
          <w:color w:val="333333"/>
          <w:sz w:val="20"/>
          <w:szCs w:val="20"/>
        </w:rPr>
        <w:lastRenderedPageBreak/>
        <w:t>adults recognized the logo. Determine, at the 1% level of significance, whether the data provide sufficient evidence to conclude that more than 23% of all adults now recognize the company’s logo.</w:t>
      </w:r>
    </w:p>
    <w:p w:rsidR="00AD77BB" w:rsidRDefault="00B45BA0">
      <w:pPr>
        <w:pStyle w:val="para"/>
        <w:numPr>
          <w:ilvl w:val="0"/>
          <w:numId w:val="219"/>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A report five years ago stated that 35.5% of all state-owned bridges in a particular state were “deficient.” An advocacy group took a random sample of 100 state-owned bridges in the state and found 33 to be currently rated as being “deficient.” Test whether the current proportion of bridges in such condition is 35.5% versus the alternative that it is different from 35.5%, at the 10% level of significance.</w:t>
      </w:r>
    </w:p>
    <w:p w:rsidR="00AD77BB" w:rsidRDefault="00B45BA0">
      <w:pPr>
        <w:pStyle w:val="para"/>
        <w:numPr>
          <w:ilvl w:val="0"/>
          <w:numId w:val="219"/>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In the previous year the proportion of deposits in checking accounts at a certain bank that were made electronically was 45%. The bank wishes to determine if the proportion is higher this year. It examined 20,000 deposit records and found that 9,217 were electronic. Determine, at the 1% level of significance, whether the data provide sufficient evidence to conclude that more than 45% of all deposits to checking accounts are now being made electronically.</w:t>
      </w:r>
    </w:p>
    <w:p w:rsidR="00AD77BB" w:rsidRDefault="00B45BA0">
      <w:pPr>
        <w:pStyle w:val="para"/>
        <w:numPr>
          <w:ilvl w:val="0"/>
          <w:numId w:val="219"/>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According to the Federal Poverty Measure 12% of the U.S. population lives in poverty. The governor of a certain state believes that the proportion there is lower. In a sample of size 1,550, 163 were impoverished according to the federal measure.</w:t>
      </w:r>
    </w:p>
    <w:p w:rsidR="00AD77BB" w:rsidRDefault="00B45BA0">
      <w:pPr>
        <w:pStyle w:val="ListParagraph"/>
        <w:numPr>
          <w:ilvl w:val="1"/>
          <w:numId w:val="219"/>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 xml:space="preserve"> Test whether the true proportion of the state’s population that is impoverished is less than 12%, at the 5% level of significance.</w:t>
      </w:r>
    </w:p>
    <w:p w:rsidR="00AD77BB" w:rsidRDefault="00B45BA0">
      <w:pPr>
        <w:numPr>
          <w:ilvl w:val="2"/>
          <w:numId w:val="219"/>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observed significance of the test.</w:t>
      </w:r>
    </w:p>
    <w:p w:rsidR="00AD77BB" w:rsidRDefault="00B45BA0">
      <w:pPr>
        <w:pStyle w:val="para"/>
        <w:numPr>
          <w:ilvl w:val="0"/>
          <w:numId w:val="219"/>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An insurance company states that it settles 85% of all life insurance claims within 30 days. A consumer group asks the state insurance commission to investigate. In a sample of 250 life insurance claims, 203 were settled within 30 days.</w:t>
      </w:r>
    </w:p>
    <w:p w:rsidR="00AD77BB" w:rsidRDefault="00B45BA0">
      <w:pPr>
        <w:numPr>
          <w:ilvl w:val="1"/>
          <w:numId w:val="219"/>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Test whether the true proportion of all life insurance claims made to this company that are settled within 30 days is less than 85%, at the 5% level of significance.</w:t>
      </w:r>
    </w:p>
    <w:p w:rsidR="00AD77BB" w:rsidRDefault="00B45BA0">
      <w:pPr>
        <w:numPr>
          <w:ilvl w:val="1"/>
          <w:numId w:val="219"/>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observed significance of the test.</w:t>
      </w:r>
    </w:p>
    <w:p w:rsidR="00AD77BB" w:rsidRDefault="00B45BA0">
      <w:pPr>
        <w:pStyle w:val="para"/>
        <w:numPr>
          <w:ilvl w:val="0"/>
          <w:numId w:val="219"/>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A special interest group asserts that 90% of all smokers began smoking before age 18. In a sample of 850 smokers, 687 began smoking before age 18.</w:t>
      </w:r>
    </w:p>
    <w:p w:rsidR="00AD77BB" w:rsidRDefault="00B45BA0">
      <w:pPr>
        <w:numPr>
          <w:ilvl w:val="1"/>
          <w:numId w:val="219"/>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Test whether the true proportion of all smokers who began smoking before age 18 is less than 90%, at the 1% level of significance.</w:t>
      </w:r>
    </w:p>
    <w:p w:rsidR="00AD77BB" w:rsidRDefault="00B45BA0">
      <w:pPr>
        <w:numPr>
          <w:ilvl w:val="1"/>
          <w:numId w:val="219"/>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observed significance of the test.</w:t>
      </w:r>
    </w:p>
    <w:p w:rsidR="00AD77BB" w:rsidRDefault="00B45BA0">
      <w:pPr>
        <w:pStyle w:val="para"/>
        <w:numPr>
          <w:ilvl w:val="0"/>
          <w:numId w:val="219"/>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In the past, 68% of a garage’s business was with former patrons. The owner of the garage samples 200 repair invoices and finds that for only 114 of them the patron was a repeat customer.</w:t>
      </w:r>
    </w:p>
    <w:p w:rsidR="00AD77BB" w:rsidRDefault="00B45BA0">
      <w:pPr>
        <w:numPr>
          <w:ilvl w:val="1"/>
          <w:numId w:val="219"/>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Test whether the true proportion of all current business that is with repeat customers is less than 68%, at the 1% level of significance.</w:t>
      </w:r>
    </w:p>
    <w:p w:rsidR="00AD77BB" w:rsidRDefault="00B45BA0">
      <w:pPr>
        <w:numPr>
          <w:ilvl w:val="1"/>
          <w:numId w:val="219"/>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observed significance of the test.</w:t>
      </w:r>
    </w:p>
    <w:p w:rsidR="00AD77BB" w:rsidRDefault="00AD77BB">
      <w:pPr>
        <w:spacing w:after="0" w:line="360" w:lineRule="auto"/>
        <w:textAlignment w:val="baseline"/>
        <w:rPr>
          <w:rFonts w:ascii="Calibri" w:hAnsi="Calibri"/>
          <w:color w:val="333333"/>
          <w:sz w:val="20"/>
          <w:szCs w:val="20"/>
        </w:rPr>
      </w:pPr>
    </w:p>
    <w:p w:rsidR="00AD77BB" w:rsidRDefault="00AD77BB">
      <w:pPr>
        <w:spacing w:after="0" w:line="360" w:lineRule="auto"/>
        <w:textAlignment w:val="baseline"/>
        <w:rPr>
          <w:rFonts w:ascii="Calibri" w:hAnsi="Calibri"/>
          <w:color w:val="333333"/>
          <w:sz w:val="20"/>
          <w:szCs w:val="20"/>
        </w:rPr>
      </w:pPr>
    </w:p>
    <w:p w:rsidR="00AD77BB" w:rsidRDefault="00B45BA0">
      <w:pPr>
        <w:pStyle w:val="Heading3"/>
        <w:shd w:val="clear" w:color="auto" w:fill="08629A"/>
        <w:spacing w:before="0" w:beforeAutospacing="0" w:after="150" w:afterAutospacing="0" w:line="360" w:lineRule="auto"/>
        <w:jc w:val="center"/>
        <w:textAlignment w:val="baseline"/>
        <w:rPr>
          <w:rFonts w:ascii="Calibri" w:hAnsi="Calibri"/>
          <w:caps/>
          <w:color w:val="FFFFFF"/>
          <w:spacing w:val="30"/>
          <w:sz w:val="23"/>
          <w:szCs w:val="23"/>
        </w:rPr>
      </w:pPr>
      <w:r>
        <w:rPr>
          <w:rFonts w:ascii="Calibri" w:hAnsi="Calibri"/>
          <w:caps/>
          <w:color w:val="FFFFFF"/>
          <w:spacing w:val="30"/>
          <w:sz w:val="23"/>
          <w:szCs w:val="23"/>
        </w:rPr>
        <w:lastRenderedPageBreak/>
        <w:t>ADDITIONAL EXERCISES</w:t>
      </w:r>
    </w:p>
    <w:p w:rsidR="00AD77BB" w:rsidRDefault="00B45BA0">
      <w:pPr>
        <w:pStyle w:val="para"/>
        <w:numPr>
          <w:ilvl w:val="0"/>
          <w:numId w:val="220"/>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A rule of thumb is that for working individuals one-quarter of household income should be spent on housing. A financial advisor believes that the average proportion of income spent on housing is more than 0.25. In a sample of 30 households, the mean proportion of household income spent on housing was 0.285 with a standard deviation of 0.063. Perform the relevant test of hypotheses at the 1% level of significance. Hint: This exercise could have been presented in an earlier section.</w:t>
      </w:r>
    </w:p>
    <w:p w:rsidR="00AD77BB" w:rsidRDefault="00B45BA0">
      <w:pPr>
        <w:pStyle w:val="para"/>
        <w:numPr>
          <w:ilvl w:val="0"/>
          <w:numId w:val="220"/>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Ice cream is legally required to contain at least 10% milk fat by weight. The manufacturer of an economy ice cream wishes to be close to the legal limit, hence produces its ice cream with a target proportion of 0.106 milk fat. A sample of five containers yielded a mean proportion of 0.094 milk fat with standard deviation 0.002. Test the null hypothesis that the mean proportion of milk fat in all containers is 0.106 against the alternative that it is less than 0.106, at the 10% level of significance. Assume that the proportion of milk fat in containers is normally distributed. Hint: This exercise could have been presented in an earlier section.</w:t>
      </w:r>
    </w:p>
    <w:p w:rsidR="00AD77BB" w:rsidRDefault="00B45BA0">
      <w:pPr>
        <w:pStyle w:val="Heading3"/>
        <w:shd w:val="clear" w:color="auto" w:fill="08629A"/>
        <w:spacing w:before="0" w:beforeAutospacing="0" w:after="150" w:afterAutospacing="0" w:line="360" w:lineRule="auto"/>
        <w:jc w:val="center"/>
        <w:textAlignment w:val="baseline"/>
        <w:rPr>
          <w:rFonts w:ascii="Calibri" w:hAnsi="Calibri"/>
          <w:caps/>
          <w:color w:val="FFFFFF"/>
          <w:spacing w:val="30"/>
          <w:sz w:val="23"/>
          <w:szCs w:val="23"/>
        </w:rPr>
      </w:pPr>
      <w:r>
        <w:rPr>
          <w:rFonts w:ascii="Calibri" w:hAnsi="Calibri"/>
          <w:caps/>
          <w:color w:val="FFFFFF"/>
          <w:spacing w:val="30"/>
          <w:sz w:val="23"/>
          <w:szCs w:val="23"/>
        </w:rPr>
        <w:t>LARGE DATA SET EXERCISES</w:t>
      </w:r>
    </w:p>
    <w:p w:rsidR="00AD77BB" w:rsidRDefault="00B45BA0">
      <w:pPr>
        <w:pStyle w:val="para"/>
        <w:numPr>
          <w:ilvl w:val="0"/>
          <w:numId w:val="221"/>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Large Data Sets 4 and 4A list the results of 500 tosses of a die. Let</w:t>
      </w:r>
      <w:r>
        <w:rPr>
          <w:rStyle w:val="apple-converted-space"/>
          <w:rFonts w:ascii="Calibri" w:hAnsi="Calibri"/>
          <w:color w:val="333333"/>
          <w:sz w:val="20"/>
          <w:szCs w:val="20"/>
        </w:rPr>
        <w:t> </w:t>
      </w:r>
      <w:r>
        <w:rPr>
          <w:rStyle w:val="Emphasis"/>
          <w:rFonts w:ascii="Calibri" w:hAnsi="Calibri"/>
          <w:color w:val="333333"/>
          <w:sz w:val="20"/>
          <w:szCs w:val="20"/>
        </w:rPr>
        <w:t>p</w:t>
      </w:r>
      <w:r>
        <w:rPr>
          <w:rStyle w:val="apple-converted-space"/>
          <w:rFonts w:ascii="Calibri" w:hAnsi="Calibri"/>
          <w:color w:val="333333"/>
          <w:sz w:val="20"/>
          <w:szCs w:val="20"/>
        </w:rPr>
        <w:t> </w:t>
      </w:r>
      <w:r>
        <w:rPr>
          <w:rFonts w:ascii="Calibri" w:hAnsi="Calibri"/>
          <w:color w:val="333333"/>
          <w:sz w:val="20"/>
          <w:szCs w:val="20"/>
        </w:rPr>
        <w:t>denote the proportion of all tosses of this die that would result in a five. Use the sample data to test the hypothesis that</w:t>
      </w:r>
      <w:r>
        <w:rPr>
          <w:rStyle w:val="apple-converted-space"/>
          <w:rFonts w:ascii="Calibri" w:hAnsi="Calibri"/>
          <w:color w:val="333333"/>
          <w:sz w:val="20"/>
          <w:szCs w:val="20"/>
        </w:rPr>
        <w:t> </w:t>
      </w:r>
      <w:r>
        <w:rPr>
          <w:rStyle w:val="Emphasis"/>
          <w:rFonts w:ascii="Calibri" w:hAnsi="Calibri"/>
          <w:color w:val="333333"/>
          <w:sz w:val="20"/>
          <w:szCs w:val="20"/>
        </w:rPr>
        <w:t>p</w:t>
      </w:r>
      <w:r>
        <w:rPr>
          <w:rStyle w:val="apple-converted-space"/>
          <w:rFonts w:ascii="Calibri" w:hAnsi="Calibri"/>
          <w:color w:val="333333"/>
          <w:sz w:val="20"/>
          <w:szCs w:val="20"/>
        </w:rPr>
        <w:t> </w:t>
      </w:r>
      <w:r>
        <w:rPr>
          <w:rFonts w:ascii="Calibri" w:hAnsi="Calibri"/>
          <w:color w:val="333333"/>
          <w:sz w:val="20"/>
          <w:szCs w:val="20"/>
        </w:rPr>
        <w:t>is different from 1/6, at the 20% level of significance.</w:t>
      </w:r>
    </w:p>
    <w:p w:rsidR="00AD77BB" w:rsidRDefault="00AD77BB">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p>
    <w:p w:rsidR="00AD77BB" w:rsidRDefault="00B45BA0">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eastAsiaTheme="majorEastAsia" w:hAnsi="Calibri"/>
          <w:color w:val="2689C6"/>
          <w:sz w:val="20"/>
          <w:szCs w:val="20"/>
        </w:rPr>
        <w:t>http://www.4.xls</w:t>
      </w:r>
    </w:p>
    <w:p w:rsidR="00AD77BB" w:rsidRDefault="00B45BA0">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eastAsiaTheme="majorEastAsia" w:hAnsi="Calibri"/>
          <w:color w:val="2689C6"/>
          <w:sz w:val="20"/>
          <w:szCs w:val="20"/>
        </w:rPr>
        <w:t>http://www.4A.xls</w:t>
      </w:r>
    </w:p>
    <w:p w:rsidR="00AD77BB" w:rsidRDefault="00AD77BB">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p>
    <w:p w:rsidR="00AD77BB" w:rsidRDefault="00B45BA0">
      <w:pPr>
        <w:pStyle w:val="para"/>
        <w:numPr>
          <w:ilvl w:val="0"/>
          <w:numId w:val="221"/>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Large Data Set 6 records results of a random survey of 200 voters in each of two regions, in which they were asked to express whether they prefer Candidate</w:t>
      </w:r>
      <w:r>
        <w:rPr>
          <w:rStyle w:val="apple-converted-space"/>
          <w:rFonts w:ascii="Calibri" w:hAnsi="Calibri"/>
          <w:color w:val="333333"/>
          <w:sz w:val="20"/>
          <w:szCs w:val="20"/>
        </w:rPr>
        <w:t> </w:t>
      </w:r>
      <w:r>
        <w:rPr>
          <w:rStyle w:val="Emphasis"/>
          <w:rFonts w:ascii="Calibri" w:hAnsi="Calibri"/>
          <w:color w:val="333333"/>
          <w:sz w:val="20"/>
          <w:szCs w:val="20"/>
        </w:rPr>
        <w:t>A</w:t>
      </w:r>
      <w:r>
        <w:rPr>
          <w:rStyle w:val="apple-converted-space"/>
          <w:rFonts w:ascii="Calibri" w:hAnsi="Calibri"/>
          <w:color w:val="333333"/>
          <w:sz w:val="20"/>
          <w:szCs w:val="20"/>
        </w:rPr>
        <w:t> </w:t>
      </w:r>
      <w:r>
        <w:rPr>
          <w:rFonts w:ascii="Calibri" w:hAnsi="Calibri"/>
          <w:color w:val="333333"/>
          <w:sz w:val="20"/>
          <w:szCs w:val="20"/>
        </w:rPr>
        <w:t>for a U.S. Senate seat or prefer some other candidate. Use the full data set (400 observations) to test the hypothesis that the proportion</w:t>
      </w:r>
      <w:r>
        <w:rPr>
          <w:rStyle w:val="apple-converted-space"/>
          <w:rFonts w:ascii="Calibri" w:hAnsi="Calibri"/>
          <w:color w:val="333333"/>
          <w:sz w:val="20"/>
          <w:szCs w:val="20"/>
        </w:rPr>
        <w:t> </w:t>
      </w:r>
      <w:r>
        <w:rPr>
          <w:rStyle w:val="Emphasis"/>
          <w:rFonts w:ascii="Calibri" w:hAnsi="Calibri"/>
          <w:color w:val="333333"/>
          <w:sz w:val="20"/>
          <w:szCs w:val="20"/>
        </w:rPr>
        <w:t>p</w:t>
      </w:r>
      <w:r>
        <w:rPr>
          <w:rStyle w:val="apple-converted-space"/>
          <w:rFonts w:ascii="Calibri" w:hAnsi="Calibri"/>
          <w:color w:val="333333"/>
          <w:sz w:val="20"/>
          <w:szCs w:val="20"/>
        </w:rPr>
        <w:t> </w:t>
      </w:r>
      <w:r>
        <w:rPr>
          <w:rFonts w:ascii="Calibri" w:hAnsi="Calibri"/>
          <w:color w:val="333333"/>
          <w:sz w:val="20"/>
          <w:szCs w:val="20"/>
        </w:rPr>
        <w:t>of all voters who prefer Candidate</w:t>
      </w:r>
      <w:r>
        <w:rPr>
          <w:rStyle w:val="apple-converted-space"/>
          <w:rFonts w:ascii="Calibri" w:hAnsi="Calibri"/>
          <w:color w:val="333333"/>
          <w:sz w:val="20"/>
          <w:szCs w:val="20"/>
        </w:rPr>
        <w:t> </w:t>
      </w:r>
      <w:r>
        <w:rPr>
          <w:rStyle w:val="Emphasis"/>
          <w:rFonts w:ascii="Calibri" w:hAnsi="Calibri"/>
          <w:color w:val="333333"/>
          <w:sz w:val="20"/>
          <w:szCs w:val="20"/>
        </w:rPr>
        <w:t>A</w:t>
      </w:r>
      <w:r>
        <w:rPr>
          <w:rStyle w:val="apple-converted-space"/>
          <w:rFonts w:ascii="Calibri" w:hAnsi="Calibri"/>
          <w:color w:val="333333"/>
          <w:sz w:val="20"/>
          <w:szCs w:val="20"/>
        </w:rPr>
        <w:t> </w:t>
      </w:r>
      <w:r>
        <w:rPr>
          <w:rFonts w:ascii="Calibri" w:hAnsi="Calibri"/>
          <w:color w:val="333333"/>
          <w:sz w:val="20"/>
          <w:szCs w:val="20"/>
        </w:rPr>
        <w:t>exceeds 0.35. Test at the 10% level of significance.</w:t>
      </w:r>
    </w:p>
    <w:p w:rsidR="00AD77BB" w:rsidRDefault="00AD77BB">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p>
    <w:p w:rsidR="00AD77BB" w:rsidRDefault="00B45BA0">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eastAsiaTheme="majorEastAsia" w:hAnsi="Calibri"/>
          <w:color w:val="2689C6"/>
          <w:sz w:val="20"/>
          <w:szCs w:val="20"/>
        </w:rPr>
        <w:t>http://www.6.xls</w:t>
      </w:r>
    </w:p>
    <w:p w:rsidR="00AD77BB" w:rsidRDefault="00AD77BB">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p>
    <w:p w:rsidR="00AD77BB" w:rsidRDefault="00B45BA0">
      <w:pPr>
        <w:pStyle w:val="para"/>
        <w:numPr>
          <w:ilvl w:val="0"/>
          <w:numId w:val="221"/>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Lines 2 through 536 in Large Data Set 11 is a sample of 535 real estate sales in a certain region in 2008. Those that were foreclosure sales are identified with a 1 in the second column. Use these data to test, at the 10% level of significance, the hypothesis that the proportion</w:t>
      </w:r>
      <w:r>
        <w:rPr>
          <w:rStyle w:val="apple-converted-space"/>
          <w:rFonts w:ascii="Calibri" w:hAnsi="Calibri"/>
          <w:color w:val="333333"/>
          <w:sz w:val="20"/>
          <w:szCs w:val="20"/>
        </w:rPr>
        <w:t> </w:t>
      </w:r>
      <w:r>
        <w:rPr>
          <w:rStyle w:val="Emphasis"/>
          <w:rFonts w:ascii="Calibri" w:hAnsi="Calibri"/>
          <w:color w:val="333333"/>
          <w:sz w:val="20"/>
          <w:szCs w:val="20"/>
        </w:rPr>
        <w:t>p</w:t>
      </w:r>
      <w:r>
        <w:rPr>
          <w:rStyle w:val="apple-converted-space"/>
          <w:rFonts w:ascii="Calibri" w:hAnsi="Calibri"/>
          <w:color w:val="333333"/>
          <w:sz w:val="20"/>
          <w:szCs w:val="20"/>
        </w:rPr>
        <w:t> </w:t>
      </w:r>
      <w:r>
        <w:rPr>
          <w:rFonts w:ascii="Calibri" w:hAnsi="Calibri"/>
          <w:color w:val="333333"/>
          <w:sz w:val="20"/>
          <w:szCs w:val="20"/>
        </w:rPr>
        <w:t>of all real estate sales in this region in 2008 that were foreclosure sales was less than 25%. (The null hypothesis is</w:t>
      </w:r>
      <w:r>
        <w:rPr>
          <w:rStyle w:val="apple-converted-space"/>
          <w:rFonts w:ascii="Calibri" w:hAnsi="Calibri"/>
          <w:color w:val="333333"/>
          <w:sz w:val="20"/>
          <w:szCs w:val="20"/>
        </w:rPr>
        <w:t> </w:t>
      </w:r>
      <w:r>
        <w:rPr>
          <w:rStyle w:val="mi"/>
          <w:rFonts w:ascii="MathJax_Math" w:hAnsi="MathJax_Math"/>
          <w:i/>
          <w:iCs/>
          <w:color w:val="333333"/>
          <w:sz w:val="15"/>
          <w:szCs w:val="15"/>
        </w:rPr>
        <w:t>H</w:t>
      </w:r>
      <w:r>
        <w:rPr>
          <w:rStyle w:val="mn"/>
          <w:rFonts w:ascii="MathJax_Main" w:hAnsi="MathJax_Main"/>
          <w:color w:val="333333"/>
          <w:sz w:val="12"/>
          <w:szCs w:val="12"/>
        </w:rPr>
        <w:t>0</w:t>
      </w:r>
      <w:r>
        <w:rPr>
          <w:rStyle w:val="mo"/>
          <w:rFonts w:ascii="MathJax_Main" w:hAnsi="MathJax_Main"/>
          <w:color w:val="333333"/>
          <w:sz w:val="15"/>
          <w:szCs w:val="15"/>
        </w:rPr>
        <w:t>:</w:t>
      </w:r>
      <w:r>
        <w:rPr>
          <w:rStyle w:val="mi"/>
          <w:rFonts w:ascii="MathJax_Math" w:hAnsi="MathJax_Math"/>
          <w:i/>
          <w:iCs/>
          <w:color w:val="333333"/>
          <w:sz w:val="15"/>
          <w:szCs w:val="15"/>
        </w:rPr>
        <w:t>p</w:t>
      </w:r>
      <w:r>
        <w:rPr>
          <w:rStyle w:val="mo"/>
          <w:rFonts w:ascii="MathJax_Main" w:hAnsi="MathJax_Main"/>
          <w:color w:val="333333"/>
          <w:sz w:val="15"/>
          <w:szCs w:val="15"/>
        </w:rPr>
        <w:t>=</w:t>
      </w:r>
      <w:r>
        <w:rPr>
          <w:rStyle w:val="mn"/>
          <w:rFonts w:ascii="MathJax_Main" w:hAnsi="MathJax_Main"/>
          <w:color w:val="333333"/>
          <w:sz w:val="15"/>
          <w:szCs w:val="15"/>
        </w:rPr>
        <w:t>0.25</w:t>
      </w:r>
      <w:r>
        <w:rPr>
          <w:rStyle w:val="mo"/>
          <w:rFonts w:ascii="MathJax_Main" w:hAnsi="MathJax_Main"/>
          <w:color w:val="333333"/>
          <w:sz w:val="15"/>
          <w:szCs w:val="15"/>
        </w:rPr>
        <w:t>.</w:t>
      </w:r>
      <w:r>
        <w:rPr>
          <w:rFonts w:ascii="Calibri" w:hAnsi="Calibri"/>
          <w:color w:val="333333"/>
          <w:sz w:val="20"/>
          <w:szCs w:val="20"/>
        </w:rPr>
        <w:t>)</w:t>
      </w:r>
    </w:p>
    <w:p w:rsidR="00AD77BB" w:rsidRDefault="00AD77BB">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p>
    <w:p w:rsidR="00AD77BB" w:rsidRDefault="00B45BA0">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eastAsiaTheme="majorEastAsia" w:hAnsi="Calibri"/>
          <w:color w:val="2689C6"/>
          <w:sz w:val="20"/>
          <w:szCs w:val="20"/>
        </w:rPr>
        <w:t>http://www.11.xls</w:t>
      </w:r>
    </w:p>
    <w:p w:rsidR="00AD77BB" w:rsidRDefault="00AD77BB">
      <w:pPr>
        <w:pStyle w:val="para"/>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p>
    <w:p w:rsidR="00AD77BB" w:rsidRDefault="00B45BA0">
      <w:pPr>
        <w:pStyle w:val="para"/>
        <w:numPr>
          <w:ilvl w:val="0"/>
          <w:numId w:val="221"/>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lastRenderedPageBreak/>
        <w:t>Lines 537 through 1106 in Large Data Set 11 is a sample of 570 real estate sales in a certain region in 2010. Those that were foreclosure sales are identified with a 1 in the second column. Use these data to test, at the 5% level of significance, the hypothesis that the proportion</w:t>
      </w:r>
      <w:r>
        <w:rPr>
          <w:rStyle w:val="apple-converted-space"/>
          <w:rFonts w:ascii="Calibri" w:hAnsi="Calibri"/>
          <w:color w:val="333333"/>
          <w:sz w:val="20"/>
          <w:szCs w:val="20"/>
        </w:rPr>
        <w:t> </w:t>
      </w:r>
      <w:r>
        <w:rPr>
          <w:rStyle w:val="Emphasis"/>
          <w:rFonts w:ascii="Calibri" w:hAnsi="Calibri"/>
          <w:color w:val="333333"/>
          <w:sz w:val="20"/>
          <w:szCs w:val="20"/>
        </w:rPr>
        <w:t>p</w:t>
      </w:r>
      <w:r>
        <w:rPr>
          <w:rStyle w:val="apple-converted-space"/>
          <w:rFonts w:ascii="Calibri" w:hAnsi="Calibri"/>
          <w:color w:val="333333"/>
          <w:sz w:val="20"/>
          <w:szCs w:val="20"/>
        </w:rPr>
        <w:t> </w:t>
      </w:r>
      <w:r>
        <w:rPr>
          <w:rFonts w:ascii="Calibri" w:hAnsi="Calibri"/>
          <w:color w:val="333333"/>
          <w:sz w:val="20"/>
          <w:szCs w:val="20"/>
        </w:rPr>
        <w:t>of all real estate sales in this region in 2010 that were foreclosure sales was greater than 23%. (The null hypothesis is</w:t>
      </w:r>
      <w:r>
        <w:rPr>
          <w:rStyle w:val="apple-converted-space"/>
          <w:rFonts w:ascii="Calibri" w:hAnsi="Calibri"/>
          <w:color w:val="333333"/>
          <w:sz w:val="20"/>
          <w:szCs w:val="20"/>
        </w:rPr>
        <w:t> </w:t>
      </w:r>
      <w:r>
        <w:rPr>
          <w:rStyle w:val="mi"/>
          <w:rFonts w:ascii="MathJax_Math" w:hAnsi="MathJax_Math"/>
          <w:i/>
          <w:iCs/>
          <w:color w:val="333333"/>
          <w:sz w:val="15"/>
          <w:szCs w:val="15"/>
        </w:rPr>
        <w:t>H</w:t>
      </w:r>
      <w:r>
        <w:rPr>
          <w:rStyle w:val="mn"/>
          <w:rFonts w:ascii="MathJax_Main" w:hAnsi="MathJax_Main"/>
          <w:color w:val="333333"/>
          <w:sz w:val="12"/>
          <w:szCs w:val="12"/>
        </w:rPr>
        <w:t>0</w:t>
      </w:r>
      <w:r>
        <w:rPr>
          <w:rStyle w:val="mo"/>
          <w:rFonts w:ascii="MathJax_Main" w:hAnsi="MathJax_Main"/>
          <w:color w:val="333333"/>
          <w:sz w:val="15"/>
          <w:szCs w:val="15"/>
        </w:rPr>
        <w:t>:</w:t>
      </w:r>
      <w:r>
        <w:rPr>
          <w:rStyle w:val="mi"/>
          <w:rFonts w:ascii="MathJax_Math" w:hAnsi="MathJax_Math"/>
          <w:i/>
          <w:iCs/>
          <w:color w:val="333333"/>
          <w:sz w:val="15"/>
          <w:szCs w:val="15"/>
        </w:rPr>
        <w:t>p</w:t>
      </w:r>
      <w:r>
        <w:rPr>
          <w:rStyle w:val="mo"/>
          <w:rFonts w:ascii="MathJax_Main" w:hAnsi="MathJax_Main"/>
          <w:color w:val="333333"/>
          <w:sz w:val="15"/>
          <w:szCs w:val="15"/>
        </w:rPr>
        <w:t>=</w:t>
      </w:r>
      <w:r>
        <w:rPr>
          <w:rStyle w:val="mn"/>
          <w:rFonts w:ascii="MathJax_Main" w:hAnsi="MathJax_Main"/>
          <w:color w:val="333333"/>
          <w:sz w:val="15"/>
          <w:szCs w:val="15"/>
        </w:rPr>
        <w:t>0.23</w:t>
      </w:r>
      <w:r>
        <w:rPr>
          <w:rStyle w:val="mo"/>
          <w:rFonts w:ascii="MathJax_Main" w:hAnsi="MathJax_Main"/>
          <w:color w:val="333333"/>
          <w:sz w:val="15"/>
          <w:szCs w:val="15"/>
        </w:rPr>
        <w:t>.</w:t>
      </w:r>
      <w:r>
        <w:rPr>
          <w:rFonts w:ascii="Calibri" w:hAnsi="Calibri"/>
          <w:color w:val="333333"/>
          <w:sz w:val="20"/>
          <w:szCs w:val="20"/>
        </w:rPr>
        <w:t>)</w:t>
      </w:r>
    </w:p>
    <w:p w:rsidR="00AD77BB" w:rsidRDefault="00AD77BB">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p>
    <w:p w:rsidR="00AD77BB" w:rsidRDefault="00B45BA0">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eastAsiaTheme="majorEastAsia" w:hAnsi="Calibri"/>
          <w:color w:val="2689C6"/>
          <w:sz w:val="20"/>
          <w:szCs w:val="20"/>
        </w:rPr>
        <w:t>http://www.11.xls</w:t>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7174A5E8" wp14:editId="230DA3F4">
            <wp:extent cx="5457825" cy="6219825"/>
            <wp:effectExtent l="0" t="0" r="9525" b="9525"/>
            <wp:docPr id="304"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457825" cy="621982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5D57860E" wp14:editId="01BEACB1">
            <wp:extent cx="5410200" cy="3209925"/>
            <wp:effectExtent l="0" t="0" r="0" b="9525"/>
            <wp:docPr id="305"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410200" cy="3209925"/>
                    </a:xfrm>
                    <a:prstGeom prst="rect">
                      <a:avLst/>
                    </a:prstGeom>
                    <a:noFill/>
                    <a:ln>
                      <a:noFill/>
                    </a:ln>
                  </pic:spPr>
                </pic:pic>
              </a:graphicData>
            </a:graphic>
          </wp:inline>
        </w:drawing>
      </w: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B45BA0">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9</w:t>
      </w:r>
    </w:p>
    <w:p w:rsidR="00AD77BB" w:rsidRDefault="00B45BA0">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Two-Sample Problems</w:t>
      </w:r>
    </w:p>
    <w:p w:rsidR="00AD77BB" w:rsidRDefault="00AD77BB"/>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previous two chapters treated the questions of estimating and making inferences about a parameter of a single population. In this chapter we consider a comparison of parameters that belong to two different populations. For example, we might wish to compare the average income of all adults in one region of the country with the average income of those in another region, or we might wish to compare the proportion of all men who are vegetarians with the proportion of all women who are vegetarians.</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We will study construction of confidence intervals and tests of hypotheses in four situations, depending on the parameter of interest, the sizes of the samples drawn from each of the populations, and the method of sampling. We also examine sample size considerations.</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t>9.1</w:t>
      </w:r>
      <w:r>
        <w:rPr>
          <w:rFonts w:ascii="Calibri" w:eastAsia="Times New Roman" w:hAnsi="Calibri" w:cs="Times New Roman"/>
          <w:b/>
          <w:bCs/>
          <w:color w:val="333333"/>
          <w:sz w:val="36"/>
          <w:szCs w:val="36"/>
        </w:rPr>
        <w:t> Comparison of Two Population Means: Large, Independent Samples</w:t>
      </w:r>
    </w:p>
    <w:p w:rsidR="00AD77BB" w:rsidRDefault="00AD77BB">
      <w:pPr>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rsidR="00AD77BB" w:rsidRDefault="00B45BA0">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AD77BB" w:rsidRDefault="00B45BA0">
      <w:pPr>
        <w:numPr>
          <w:ilvl w:val="0"/>
          <w:numId w:val="222"/>
        </w:numPr>
        <w:shd w:val="clear" w:color="auto" w:fill="EAE9DC"/>
        <w:spacing w:after="0"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understand the logical framework for estimating the difference between the means of two distinct populations and performing tests of hypotheses concerning those means.</w:t>
      </w:r>
    </w:p>
    <w:p w:rsidR="00AD77BB" w:rsidRDefault="00B45BA0">
      <w:pPr>
        <w:numPr>
          <w:ilvl w:val="0"/>
          <w:numId w:val="222"/>
        </w:numPr>
        <w:shd w:val="clear" w:color="auto" w:fill="EAE9DC"/>
        <w:spacing w:after="0"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how to construct a confidence interval for the difference in the means of two distinct populations using large, independent samples.</w:t>
      </w:r>
    </w:p>
    <w:p w:rsidR="00AD77BB" w:rsidRDefault="00B45BA0">
      <w:pPr>
        <w:numPr>
          <w:ilvl w:val="0"/>
          <w:numId w:val="222"/>
        </w:numPr>
        <w:shd w:val="clear" w:color="auto" w:fill="EAE9DC"/>
        <w:spacing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how to perform a test of hypotheses concerning the difference between the means of two distinct populations using large, independent samples.</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Suppose we wish to compare the means of two distinct populations. </w:t>
      </w:r>
      <w:r>
        <w:rPr>
          <w:rFonts w:ascii="Georgia" w:eastAsia="Times New Roman" w:hAnsi="Georgia" w:cs="Times New Roman"/>
          <w:color w:val="2689C6"/>
          <w:sz w:val="21"/>
          <w:szCs w:val="21"/>
        </w:rPr>
        <w:t>Figure 9.1 "Independent Sampling from Two Populations"</w:t>
      </w:r>
      <w:r>
        <w:rPr>
          <w:rFonts w:ascii="Georgia" w:eastAsia="Times New Roman" w:hAnsi="Georgia" w:cs="Times New Roman"/>
          <w:color w:val="333333"/>
          <w:sz w:val="21"/>
          <w:szCs w:val="21"/>
        </w:rPr>
        <w:t> illustrates the conceptual framework of our investigation in this and the next section. Each population has a mean and a standard deviation. We arbitrarily label one population as Population 1 and the other as Population 2, and subscript the parameters with the numbers 1 and 2 to tell them apart. We draw a random sample from Population 1 and label the sample statistics it yields with the subscript 1. Without reference to the first sample we draw a sample from Population 2 and label its sample statistics with the subscript 2.</w:t>
      </w:r>
    </w:p>
    <w:p w:rsidR="00AD77BB" w:rsidRDefault="00B45BA0">
      <w:pPr>
        <w:shd w:val="clear" w:color="auto" w:fill="FFFFFF"/>
        <w:spacing w:after="0" w:line="439" w:lineRule="atLeast"/>
        <w:textAlignment w:val="baseline"/>
        <w:rPr>
          <w:rFonts w:ascii="Georgia" w:eastAsia="Times New Roman" w:hAnsi="Georgia" w:cs="Times New Roman"/>
          <w:i/>
          <w:iCs/>
          <w:color w:val="BB9966"/>
        </w:rPr>
      </w:pPr>
      <w:r>
        <w:rPr>
          <w:rFonts w:ascii="Georgia" w:eastAsia="Times New Roman" w:hAnsi="Georgia" w:cs="Times New Roman"/>
          <w:i/>
          <w:iCs/>
          <w:color w:val="000000"/>
          <w:sz w:val="20"/>
          <w:szCs w:val="20"/>
        </w:rPr>
        <w:t>Figure 9.1</w:t>
      </w:r>
      <w:r>
        <w:rPr>
          <w:rFonts w:ascii="Georgia" w:eastAsia="Times New Roman" w:hAnsi="Georgia" w:cs="Times New Roman"/>
          <w:i/>
          <w:iCs/>
          <w:color w:val="BB9966"/>
        </w:rPr>
        <w:t> Independent Sampling from Two Populations</w:t>
      </w:r>
    </w:p>
    <w:p w:rsidR="00AD77BB" w:rsidRDefault="00B45BA0">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14:anchorId="0AF3C178" wp14:editId="4451D0CB">
            <wp:extent cx="3124200" cy="2676525"/>
            <wp:effectExtent l="0" t="0" r="0" b="9525"/>
            <wp:docPr id="306" name="Picture 322" descr="http://images.flatworldknowledge.com/shafer/shafer-fig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images.flatworldknowledge.com/shafer/shafer-fig09_001.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124200" cy="2676525"/>
                    </a:xfrm>
                    <a:prstGeom prst="rect">
                      <a:avLst/>
                    </a:prstGeom>
                    <a:noFill/>
                    <a:ln>
                      <a:noFill/>
                    </a:ln>
                  </pic:spPr>
                </pic:pic>
              </a:graphicData>
            </a:graphic>
          </wp:inline>
        </w:drawing>
      </w:r>
    </w:p>
    <w:p w:rsidR="00AD77BB" w:rsidRDefault="00AD77BB">
      <w:pPr>
        <w:shd w:val="clear" w:color="auto" w:fill="FFFFFF"/>
        <w:spacing w:line="270" w:lineRule="atLeast"/>
        <w:textAlignment w:val="baseline"/>
        <w:rPr>
          <w:rFonts w:ascii="Calibri" w:eastAsia="Times New Roman" w:hAnsi="Calibri" w:cs="Times New Roman"/>
          <w:color w:val="555555"/>
          <w:sz w:val="27"/>
          <w:szCs w:val="27"/>
        </w:rPr>
      </w:pPr>
    </w:p>
    <w:p w:rsidR="00AD77BB" w:rsidRDefault="00AD77BB">
      <w:pPr>
        <w:shd w:val="clear" w:color="auto" w:fill="FFFFFF"/>
        <w:spacing w:line="270" w:lineRule="atLeast"/>
        <w:textAlignment w:val="baseline"/>
        <w:rPr>
          <w:rFonts w:ascii="Calibri" w:eastAsia="Times New Roman" w:hAnsi="Calibri" w:cs="Times New Roman"/>
          <w:color w:val="555555"/>
          <w:sz w:val="27"/>
          <w:szCs w:val="27"/>
        </w:rPr>
      </w:pPr>
    </w:p>
    <w:p w:rsidR="00AD77BB" w:rsidRDefault="00B45BA0">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lastRenderedPageBreak/>
        <w:t>Definition</w:t>
      </w:r>
    </w:p>
    <w:p w:rsidR="00AD77BB" w:rsidRDefault="00B45BA0">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i/>
          <w:iCs/>
          <w:color w:val="333333"/>
          <w:sz w:val="20"/>
          <w:szCs w:val="20"/>
        </w:rPr>
        <w:t>Samples from two distinct populations are</w:t>
      </w:r>
      <w:r>
        <w:rPr>
          <w:rFonts w:ascii="Georgia" w:eastAsia="Times New Roman" w:hAnsi="Georgia" w:cs="Times New Roman"/>
          <w:color w:val="333333"/>
          <w:sz w:val="20"/>
          <w:szCs w:val="20"/>
        </w:rPr>
        <w:t> </w:t>
      </w:r>
      <w:r>
        <w:rPr>
          <w:rFonts w:ascii="Georgia" w:eastAsia="Times New Roman" w:hAnsi="Georgia" w:cs="Times New Roman"/>
          <w:b/>
          <w:bCs/>
          <w:color w:val="333333"/>
          <w:sz w:val="20"/>
          <w:szCs w:val="20"/>
        </w:rPr>
        <w:t>independent</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if each one is drawn without reference to the other, and has no connection with the other.</w:t>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11C3CF0F" wp14:editId="1FEB3C68">
            <wp:extent cx="5124450" cy="5924550"/>
            <wp:effectExtent l="0" t="0" r="0" b="0"/>
            <wp:docPr id="307"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124450" cy="5924550"/>
                    </a:xfrm>
                    <a:prstGeom prst="rect">
                      <a:avLst/>
                    </a:prstGeom>
                    <a:noFill/>
                    <a:ln>
                      <a:noFill/>
                    </a:ln>
                  </pic:spPr>
                </pic:pic>
              </a:graphicData>
            </a:graphic>
          </wp:inline>
        </w:drawing>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1</w:t>
      </w:r>
    </w:p>
    <w:p w:rsidR="00AD77BB" w:rsidRDefault="00B45BA0">
      <w:pPr>
        <w:pStyle w:val="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To compare customer satisfaction levels of two competing cable television companies, 174 customers of Company 1 and 355 customers of Company 2 were randomly selected and were asked to rate their cable companies on a five-point scale, with 1 being least satisfied and 5 most satisfied. The survey results are summarized in the following table:</w:t>
      </w:r>
    </w:p>
    <w:tbl>
      <w:tblPr>
        <w:tblW w:w="0" w:type="auto"/>
        <w:tblCellMar>
          <w:left w:w="0" w:type="dxa"/>
          <w:right w:w="0" w:type="dxa"/>
        </w:tblCellMar>
        <w:tblLook w:val="04A0" w:firstRow="1" w:lastRow="0" w:firstColumn="1" w:lastColumn="0" w:noHBand="0" w:noVBand="1"/>
      </w:tblPr>
      <w:tblGrid>
        <w:gridCol w:w="1128"/>
        <w:gridCol w:w="1128"/>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b/>
                <w:bCs/>
                <w:color w:val="F48800"/>
                <w:sz w:val="21"/>
                <w:szCs w:val="21"/>
              </w:rPr>
            </w:pPr>
            <w:r>
              <w:rPr>
                <w:b/>
                <w:bCs/>
                <w:color w:val="F48800"/>
                <w:sz w:val="21"/>
                <w:szCs w:val="21"/>
              </w:rPr>
              <w:lastRenderedPageBreak/>
              <w:t>Company 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b/>
                <w:bCs/>
                <w:color w:val="F48800"/>
                <w:sz w:val="21"/>
                <w:szCs w:val="21"/>
              </w:rPr>
            </w:pPr>
            <w:r>
              <w:rPr>
                <w:b/>
                <w:bCs/>
                <w:color w:val="F48800"/>
                <w:sz w:val="21"/>
                <w:szCs w:val="21"/>
              </w:rPr>
              <w:t>Company 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1"/>
                <w:szCs w:val="21"/>
              </w:rPr>
            </w:pPr>
            <w:r>
              <w:rPr>
                <w:rStyle w:val="mi"/>
                <w:rFonts w:ascii="MathJax_Math" w:hAnsi="MathJax_Math"/>
                <w:i/>
                <w:iCs/>
                <w:sz w:val="18"/>
                <w:szCs w:val="18"/>
              </w:rPr>
              <w:t>n</w:t>
            </w:r>
            <w:r>
              <w:rPr>
                <w:rStyle w:val="mn"/>
                <w:rFonts w:ascii="MathJax_Main" w:hAnsi="MathJax_Main"/>
                <w:sz w:val="14"/>
                <w:szCs w:val="14"/>
              </w:rPr>
              <w:t>1</w:t>
            </w:r>
            <w:r>
              <w:rPr>
                <w:rStyle w:val="mo"/>
                <w:rFonts w:ascii="MathJax_Main" w:hAnsi="MathJax_Main"/>
                <w:sz w:val="18"/>
                <w:szCs w:val="18"/>
              </w:rPr>
              <w:t>=</w:t>
            </w:r>
            <w:r>
              <w:rPr>
                <w:rStyle w:val="mn"/>
                <w:rFonts w:ascii="MathJax_Main" w:hAnsi="MathJax_Main"/>
                <w:sz w:val="18"/>
                <w:szCs w:val="18"/>
              </w:rPr>
              <w:t>174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1"/>
                <w:szCs w:val="21"/>
              </w:rPr>
            </w:pPr>
            <w:r>
              <w:rPr>
                <w:rStyle w:val="mi"/>
                <w:rFonts w:ascii="MathJax_Math" w:hAnsi="MathJax_Math"/>
                <w:i/>
                <w:iCs/>
                <w:sz w:val="18"/>
                <w:szCs w:val="18"/>
              </w:rPr>
              <w:t>n</w:t>
            </w:r>
            <w:r>
              <w:rPr>
                <w:rStyle w:val="mn"/>
                <w:rFonts w:ascii="MathJax_Main" w:hAnsi="MathJax_Main"/>
                <w:sz w:val="14"/>
                <w:szCs w:val="14"/>
              </w:rPr>
              <w:t>2</w:t>
            </w:r>
            <w:r>
              <w:rPr>
                <w:rStyle w:val="mo"/>
                <w:rFonts w:ascii="MathJax_Main" w:hAnsi="MathJax_Main"/>
                <w:sz w:val="18"/>
                <w:szCs w:val="18"/>
              </w:rPr>
              <w:t>=</w:t>
            </w:r>
            <w:r>
              <w:rPr>
                <w:rStyle w:val="mn"/>
                <w:rFonts w:ascii="MathJax_Main" w:hAnsi="MathJax_Main"/>
                <w:sz w:val="18"/>
                <w:szCs w:val="18"/>
              </w:rPr>
              <w:t>355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1"/>
                <w:szCs w:val="21"/>
              </w:rPr>
            </w:pPr>
            <w:r>
              <w:rPr>
                <w:rStyle w:val="mi"/>
                <w:rFonts w:ascii="MathJax_Math" w:hAnsi="MathJax_Math"/>
                <w:i/>
                <w:iCs/>
                <w:sz w:val="18"/>
                <w:szCs w:val="18"/>
              </w:rPr>
              <w:t>x</w:t>
            </w:r>
            <w:r>
              <w:rPr>
                <w:rStyle w:val="mo"/>
                <w:rFonts w:ascii="MathJax_Main" w:hAnsi="MathJax_Main"/>
                <w:sz w:val="18"/>
                <w:szCs w:val="18"/>
              </w:rPr>
              <w:t>−</w:t>
            </w:r>
            <w:r>
              <w:rPr>
                <w:rStyle w:val="mn"/>
                <w:rFonts w:ascii="MathJax_Main" w:hAnsi="MathJax_Main"/>
                <w:sz w:val="14"/>
                <w:szCs w:val="14"/>
              </w:rPr>
              <w:t>1</w:t>
            </w:r>
            <w:r>
              <w:rPr>
                <w:rStyle w:val="mo"/>
                <w:rFonts w:ascii="MathJax_Main" w:hAnsi="MathJax_Main"/>
                <w:sz w:val="18"/>
                <w:szCs w:val="18"/>
              </w:rPr>
              <w:t>=</w:t>
            </w:r>
            <w:r>
              <w:rPr>
                <w:rStyle w:val="mn"/>
                <w:rFonts w:ascii="MathJax_Main" w:hAnsi="MathJax_Main"/>
                <w:sz w:val="18"/>
                <w:szCs w:val="18"/>
              </w:rPr>
              <w:t>3.51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1"/>
                <w:szCs w:val="21"/>
              </w:rPr>
            </w:pPr>
            <w:r>
              <w:rPr>
                <w:rStyle w:val="mi"/>
                <w:rFonts w:ascii="MathJax_Math" w:hAnsi="MathJax_Math"/>
                <w:i/>
                <w:iCs/>
                <w:sz w:val="18"/>
                <w:szCs w:val="18"/>
              </w:rPr>
              <w:t>x</w:t>
            </w:r>
            <w:r>
              <w:rPr>
                <w:rStyle w:val="mo"/>
                <w:rFonts w:ascii="MathJax_Main" w:hAnsi="MathJax_Main"/>
                <w:sz w:val="18"/>
                <w:szCs w:val="18"/>
              </w:rPr>
              <w:t>−</w:t>
            </w:r>
            <w:r>
              <w:rPr>
                <w:rStyle w:val="mn"/>
                <w:rFonts w:ascii="MathJax_Main" w:hAnsi="MathJax_Main"/>
                <w:sz w:val="14"/>
                <w:szCs w:val="14"/>
              </w:rPr>
              <w:t>2</w:t>
            </w:r>
            <w:r>
              <w:rPr>
                <w:rStyle w:val="mo"/>
                <w:rFonts w:ascii="MathJax_Main" w:hAnsi="MathJax_Main"/>
                <w:sz w:val="18"/>
                <w:szCs w:val="18"/>
              </w:rPr>
              <w:t>=</w:t>
            </w:r>
            <w:r>
              <w:rPr>
                <w:rStyle w:val="mn"/>
                <w:rFonts w:ascii="MathJax_Main" w:hAnsi="MathJax_Main"/>
                <w:sz w:val="18"/>
                <w:szCs w:val="18"/>
              </w:rPr>
              <w:t>3.24</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1"/>
                <w:szCs w:val="21"/>
              </w:rPr>
            </w:pPr>
            <w:r>
              <w:rPr>
                <w:rStyle w:val="mi"/>
                <w:rFonts w:ascii="MathJax_Math" w:hAnsi="MathJax_Math"/>
                <w:i/>
                <w:iCs/>
                <w:sz w:val="18"/>
                <w:szCs w:val="18"/>
              </w:rPr>
              <w:t>s</w:t>
            </w:r>
            <w:r>
              <w:rPr>
                <w:rStyle w:val="mn"/>
                <w:rFonts w:ascii="MathJax_Main" w:hAnsi="MathJax_Main"/>
                <w:sz w:val="14"/>
                <w:szCs w:val="14"/>
              </w:rPr>
              <w:t>1</w:t>
            </w:r>
            <w:r>
              <w:rPr>
                <w:rStyle w:val="mo"/>
                <w:rFonts w:ascii="MathJax_Main" w:hAnsi="MathJax_Main"/>
                <w:sz w:val="18"/>
                <w:szCs w:val="18"/>
              </w:rPr>
              <w:t>=</w:t>
            </w:r>
            <w:r>
              <w:rPr>
                <w:rStyle w:val="mn"/>
                <w:rFonts w:ascii="MathJax_Main" w:hAnsi="MathJax_Main"/>
                <w:sz w:val="18"/>
                <w:szCs w:val="18"/>
              </w:rPr>
              <w:t>0.51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1"/>
                <w:szCs w:val="21"/>
              </w:rPr>
            </w:pPr>
            <w:r>
              <w:rPr>
                <w:rStyle w:val="mi"/>
                <w:rFonts w:ascii="MathJax_Math" w:hAnsi="MathJax_Math"/>
                <w:i/>
                <w:iCs/>
                <w:sz w:val="18"/>
                <w:szCs w:val="18"/>
              </w:rPr>
              <w:t>s</w:t>
            </w:r>
            <w:r>
              <w:rPr>
                <w:rStyle w:val="mn"/>
                <w:rFonts w:ascii="MathJax_Main" w:hAnsi="MathJax_Main"/>
                <w:sz w:val="14"/>
                <w:szCs w:val="14"/>
              </w:rPr>
              <w:t>2</w:t>
            </w:r>
            <w:r>
              <w:rPr>
                <w:rStyle w:val="mo"/>
                <w:rFonts w:ascii="MathJax_Main" w:hAnsi="MathJax_Main"/>
                <w:sz w:val="18"/>
                <w:szCs w:val="18"/>
              </w:rPr>
              <w:t>=</w:t>
            </w:r>
            <w:r>
              <w:rPr>
                <w:rStyle w:val="mn"/>
                <w:rFonts w:ascii="MathJax_Main" w:hAnsi="MathJax_Main"/>
                <w:sz w:val="18"/>
                <w:szCs w:val="18"/>
              </w:rPr>
              <w:t>0.52</w:t>
            </w:r>
          </w:p>
        </w:tc>
      </w:tr>
    </w:tbl>
    <w:p w:rsidR="00AD77BB" w:rsidRDefault="00AD77BB">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p>
    <w:p w:rsidR="00AD77BB" w:rsidRDefault="00B45BA0">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Construct a point estimate and a 99% confidence interval for</w:t>
      </w:r>
      <w:r>
        <w:rPr>
          <w:rStyle w:val="apple-converted-space"/>
          <w:rFonts w:ascii="Calibri" w:hAnsi="Calibri"/>
          <w:color w:val="333333"/>
          <w:sz w:val="21"/>
          <w:szCs w:val="21"/>
        </w:rPr>
        <w:t> </w:t>
      </w:r>
      <w:r>
        <w:rPr>
          <w:rStyle w:val="mi"/>
          <w:rFonts w:ascii="MathJax_Math" w:hAnsi="MathJax_Math"/>
          <w:i/>
          <w:iCs/>
          <w:color w:val="333333"/>
          <w:sz w:val="15"/>
          <w:szCs w:val="15"/>
        </w:rPr>
        <w:t>μ</w:t>
      </w:r>
      <w:r>
        <w:rPr>
          <w:rStyle w:val="mn"/>
          <w:rFonts w:ascii="MathJax_Main" w:hAnsi="MathJax_Main"/>
          <w:color w:val="333333"/>
          <w:sz w:val="12"/>
          <w:szCs w:val="12"/>
        </w:rPr>
        <w:t>1</w:t>
      </w:r>
      <w:r>
        <w:rPr>
          <w:rStyle w:val="mo"/>
          <w:rFonts w:ascii="MathJax_Main" w:hAnsi="MathJax_Main"/>
          <w:color w:val="333333"/>
          <w:sz w:val="15"/>
          <w:szCs w:val="15"/>
        </w:rPr>
        <w:t>−</w:t>
      </w:r>
      <w:r>
        <w:rPr>
          <w:rStyle w:val="mi"/>
          <w:rFonts w:ascii="MathJax_Math" w:hAnsi="MathJax_Math"/>
          <w:i/>
          <w:iCs/>
          <w:color w:val="333333"/>
          <w:sz w:val="15"/>
          <w:szCs w:val="15"/>
        </w:rPr>
        <w:t>μ</w:t>
      </w:r>
      <w:r>
        <w:rPr>
          <w:rStyle w:val="mn"/>
          <w:rFonts w:ascii="MathJax_Main" w:hAnsi="MathJax_Main"/>
          <w:color w:val="333333"/>
          <w:sz w:val="12"/>
          <w:szCs w:val="12"/>
        </w:rPr>
        <w:t>2</w:t>
      </w:r>
      <w:r>
        <w:rPr>
          <w:rFonts w:ascii="Calibri" w:hAnsi="Calibri"/>
          <w:color w:val="333333"/>
          <w:sz w:val="21"/>
          <w:szCs w:val="21"/>
        </w:rPr>
        <w:t>, the difference in average satisfaction levels of customers of the two companies as measured on this five-point scale.</w:t>
      </w:r>
    </w:p>
    <w:p w:rsidR="00AD77BB" w:rsidRDefault="00B45BA0">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Solution:</w:t>
      </w:r>
    </w:p>
    <w:p w:rsidR="00AD77BB" w:rsidRDefault="00AD77BB">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p>
    <w:p w:rsidR="00AD77BB" w:rsidRDefault="00B45BA0">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The point estimate of</w:t>
      </w:r>
      <w:r>
        <w:rPr>
          <w:rStyle w:val="apple-converted-space"/>
          <w:rFonts w:ascii="Calibri" w:hAnsi="Calibri"/>
          <w:color w:val="333333"/>
          <w:sz w:val="21"/>
          <w:szCs w:val="21"/>
        </w:rPr>
        <w:t> </w:t>
      </w:r>
      <w:r>
        <w:rPr>
          <w:rStyle w:val="mi"/>
          <w:rFonts w:ascii="MathJax_Math" w:hAnsi="MathJax_Math"/>
          <w:i/>
          <w:iCs/>
          <w:color w:val="333333"/>
          <w:sz w:val="15"/>
          <w:szCs w:val="15"/>
        </w:rPr>
        <w:t>μ</w:t>
      </w:r>
      <w:r>
        <w:rPr>
          <w:rStyle w:val="mn"/>
          <w:rFonts w:ascii="MathJax_Main" w:hAnsi="MathJax_Main"/>
          <w:color w:val="333333"/>
          <w:sz w:val="12"/>
          <w:szCs w:val="12"/>
          <w:vertAlign w:val="subscript"/>
        </w:rPr>
        <w:t>1</w:t>
      </w:r>
      <w:r>
        <w:rPr>
          <w:rStyle w:val="mo"/>
          <w:rFonts w:ascii="MathJax_Main" w:hAnsi="MathJax_Main"/>
          <w:color w:val="333333"/>
          <w:sz w:val="15"/>
          <w:szCs w:val="15"/>
        </w:rPr>
        <w:t>−</w:t>
      </w:r>
      <w:r>
        <w:rPr>
          <w:rStyle w:val="mi"/>
          <w:rFonts w:ascii="MathJax_Math" w:hAnsi="MathJax_Math"/>
          <w:i/>
          <w:iCs/>
          <w:color w:val="333333"/>
          <w:sz w:val="15"/>
          <w:szCs w:val="15"/>
        </w:rPr>
        <w:t>μ</w:t>
      </w:r>
      <w:r>
        <w:rPr>
          <w:rStyle w:val="mn"/>
          <w:rFonts w:ascii="MathJax_Main" w:hAnsi="MathJax_Main"/>
          <w:color w:val="333333"/>
          <w:sz w:val="12"/>
          <w:szCs w:val="12"/>
          <w:vertAlign w:val="subscript"/>
        </w:rPr>
        <w:t>2</w:t>
      </w:r>
      <w:r>
        <w:rPr>
          <w:rStyle w:val="apple-converted-space"/>
          <w:rFonts w:ascii="Calibri" w:hAnsi="Calibri"/>
          <w:color w:val="333333"/>
          <w:sz w:val="21"/>
          <w:szCs w:val="21"/>
        </w:rPr>
        <w:t> </w:t>
      </w:r>
      <w:r>
        <w:rPr>
          <w:rFonts w:ascii="Calibri" w:hAnsi="Calibri"/>
          <w:color w:val="333333"/>
          <w:sz w:val="21"/>
          <w:szCs w:val="21"/>
        </w:rPr>
        <w:t>is</w:t>
      </w:r>
    </w:p>
    <w:p w:rsidR="00AD77BB" w:rsidRDefault="00AD77BB">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p>
    <w:p w:rsidR="00AD77BB" w:rsidRDefault="00B45BA0">
      <w:pPr>
        <w:shd w:val="clear" w:color="auto" w:fill="DAEEF3" w:themeFill="accent5" w:themeFillTint="33"/>
        <w:spacing w:line="360" w:lineRule="auto"/>
        <w:jc w:val="center"/>
        <w:textAlignment w:val="baseline"/>
        <w:rPr>
          <w:rFonts w:ascii="Calibri" w:hAnsi="Calibri"/>
          <w:b/>
          <w:color w:val="555555"/>
          <w:sz w:val="23"/>
          <w:szCs w:val="23"/>
        </w:rPr>
      </w:pPr>
      <w:r>
        <w:rPr>
          <w:rStyle w:val="mi"/>
          <w:rFonts w:ascii="MathJax_Math" w:hAnsi="MathJax_Math"/>
          <w:b/>
          <w:i/>
          <w:iCs/>
          <w:color w:val="555555"/>
          <w:sz w:val="18"/>
          <w:szCs w:val="18"/>
        </w:rPr>
        <w:t>x</w:t>
      </w:r>
      <w:r>
        <w:rPr>
          <w:rStyle w:val="mi"/>
          <w:rFonts w:ascii="Times New Roman" w:hAnsi="Times New Roman" w:cs="Times New Roman"/>
          <w:b/>
          <w:i/>
          <w:iCs/>
          <w:color w:val="555555"/>
          <w:sz w:val="18"/>
          <w:szCs w:val="18"/>
        </w:rPr>
        <w:t>^</w:t>
      </w:r>
      <w:r>
        <w:rPr>
          <w:rStyle w:val="mo"/>
          <w:rFonts w:ascii="MathJax_Main" w:hAnsi="MathJax_Main"/>
          <w:b/>
          <w:color w:val="555555"/>
          <w:sz w:val="18"/>
          <w:szCs w:val="18"/>
        </w:rPr>
        <w:t>−</w:t>
      </w:r>
      <w:r>
        <w:rPr>
          <w:rStyle w:val="mn"/>
          <w:rFonts w:ascii="MathJax_Main" w:hAnsi="MathJax_Main"/>
          <w:b/>
          <w:color w:val="555555"/>
          <w:sz w:val="14"/>
          <w:szCs w:val="14"/>
        </w:rPr>
        <w:t xml:space="preserve">1 </w:t>
      </w:r>
      <w:r>
        <w:rPr>
          <w:rStyle w:val="mo"/>
          <w:rFonts w:ascii="MathJax_Main" w:hAnsi="MathJax_Main"/>
          <w:b/>
          <w:color w:val="555555"/>
          <w:sz w:val="18"/>
          <w:szCs w:val="18"/>
        </w:rPr>
        <w:t xml:space="preserve">− </w:t>
      </w:r>
      <w:r>
        <w:rPr>
          <w:rStyle w:val="mi"/>
          <w:rFonts w:ascii="MathJax_Math" w:hAnsi="MathJax_Math"/>
          <w:b/>
          <w:i/>
          <w:iCs/>
          <w:color w:val="555555"/>
          <w:sz w:val="18"/>
          <w:szCs w:val="18"/>
        </w:rPr>
        <w:t>x</w:t>
      </w:r>
      <w:r>
        <w:rPr>
          <w:rStyle w:val="mi"/>
          <w:rFonts w:ascii="Times New Roman" w:hAnsi="Times New Roman" w:cs="Times New Roman"/>
          <w:b/>
          <w:i/>
          <w:iCs/>
          <w:color w:val="555555"/>
          <w:sz w:val="18"/>
          <w:szCs w:val="18"/>
        </w:rPr>
        <w:t>^</w:t>
      </w:r>
      <w:r>
        <w:rPr>
          <w:rStyle w:val="mo"/>
          <w:rFonts w:ascii="MathJax_Main" w:hAnsi="MathJax_Main"/>
          <w:b/>
          <w:color w:val="555555"/>
          <w:sz w:val="18"/>
          <w:szCs w:val="18"/>
        </w:rPr>
        <w:t>−</w:t>
      </w:r>
      <w:r>
        <w:rPr>
          <w:rStyle w:val="mn"/>
          <w:rFonts w:ascii="MathJax_Main" w:hAnsi="MathJax_Main"/>
          <w:b/>
          <w:color w:val="555555"/>
          <w:sz w:val="14"/>
          <w:szCs w:val="14"/>
        </w:rPr>
        <w:t>2</w:t>
      </w:r>
      <w:r>
        <w:rPr>
          <w:rStyle w:val="mo"/>
          <w:rFonts w:ascii="MathJax_Main" w:hAnsi="MathJax_Main"/>
          <w:b/>
          <w:color w:val="555555"/>
          <w:sz w:val="18"/>
          <w:szCs w:val="18"/>
        </w:rPr>
        <w:t>=</w:t>
      </w:r>
      <w:r>
        <w:rPr>
          <w:rStyle w:val="mn"/>
          <w:rFonts w:ascii="MathJax_Main" w:hAnsi="MathJax_Main"/>
          <w:b/>
          <w:color w:val="555555"/>
          <w:sz w:val="18"/>
          <w:szCs w:val="18"/>
        </w:rPr>
        <w:t>3.51</w:t>
      </w:r>
      <w:r>
        <w:rPr>
          <w:rStyle w:val="mo"/>
          <w:rFonts w:ascii="MathJax_Main" w:hAnsi="MathJax_Main"/>
          <w:b/>
          <w:color w:val="555555"/>
          <w:sz w:val="18"/>
          <w:szCs w:val="18"/>
        </w:rPr>
        <w:t>−</w:t>
      </w:r>
      <w:r>
        <w:rPr>
          <w:rStyle w:val="mn"/>
          <w:rFonts w:ascii="MathJax_Main" w:hAnsi="MathJax_Main"/>
          <w:b/>
          <w:color w:val="555555"/>
          <w:sz w:val="18"/>
          <w:szCs w:val="18"/>
        </w:rPr>
        <w:t>3.24</w:t>
      </w:r>
      <w:r>
        <w:rPr>
          <w:rStyle w:val="mo"/>
          <w:rFonts w:ascii="MathJax_Main" w:hAnsi="MathJax_Main"/>
          <w:b/>
          <w:color w:val="555555"/>
          <w:sz w:val="18"/>
          <w:szCs w:val="18"/>
        </w:rPr>
        <w:t>=</w:t>
      </w:r>
      <w:r>
        <w:rPr>
          <w:rStyle w:val="mn"/>
          <w:rFonts w:ascii="MathJax_Main" w:hAnsi="MathJax_Main"/>
          <w:b/>
          <w:color w:val="555555"/>
          <w:sz w:val="18"/>
          <w:szCs w:val="18"/>
        </w:rPr>
        <w:t>0.27</w:t>
      </w:r>
      <w:r>
        <w:rPr>
          <w:rStyle w:val="mo"/>
          <w:rFonts w:ascii="MathJax_Main" w:hAnsi="MathJax_Main"/>
          <w:b/>
          <w:color w:val="555555"/>
          <w:sz w:val="18"/>
          <w:szCs w:val="18"/>
        </w:rPr>
        <w:t>.</w:t>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1E791FF9" wp14:editId="27CC6428">
            <wp:extent cx="5324475" cy="4305300"/>
            <wp:effectExtent l="0" t="0" r="9525" b="0"/>
            <wp:docPr id="308"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324475" cy="4305300"/>
                    </a:xfrm>
                    <a:prstGeom prst="rect">
                      <a:avLst/>
                    </a:prstGeom>
                    <a:noFill/>
                    <a:ln>
                      <a:noFill/>
                    </a:ln>
                  </pic:spPr>
                </pic:pic>
              </a:graphicData>
            </a:graphic>
          </wp:inline>
        </w:drawing>
      </w:r>
    </w:p>
    <w:p w:rsidR="00AD77BB" w:rsidRDefault="00B45BA0">
      <w:pPr>
        <w:pStyle w:val="Heading2"/>
        <w:shd w:val="clear" w:color="auto" w:fill="FFFFFF"/>
        <w:spacing w:before="0" w:line="439" w:lineRule="atLeast"/>
        <w:textAlignment w:val="baseline"/>
        <w:rPr>
          <w:rFonts w:ascii="Calibri" w:hAnsi="Calibri"/>
          <w:color w:val="333333"/>
          <w:sz w:val="29"/>
          <w:szCs w:val="29"/>
        </w:rPr>
      </w:pPr>
      <w:r>
        <w:rPr>
          <w:rFonts w:ascii="Calibri" w:hAnsi="Calibri"/>
          <w:color w:val="333333"/>
          <w:sz w:val="29"/>
          <w:szCs w:val="29"/>
        </w:rPr>
        <w:lastRenderedPageBreak/>
        <w:t>Hypothesis Testing</w:t>
      </w:r>
    </w:p>
    <w:p w:rsidR="00AD77BB" w:rsidRDefault="00AD77BB"/>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Hypotheses concerning the relative sizes of the means of two populations are tested using the same critical value and</w:t>
      </w:r>
      <w:r>
        <w:rPr>
          <w:rStyle w:val="apple-converted-space"/>
          <w:rFonts w:ascii="Georgia" w:hAnsi="Georgia"/>
          <w:color w:val="333333"/>
          <w:sz w:val="21"/>
          <w:szCs w:val="21"/>
        </w:rPr>
        <w:t> </w:t>
      </w:r>
      <w:r>
        <w:rPr>
          <w:rStyle w:val="Emphasis"/>
          <w:rFonts w:ascii="Georgia" w:hAnsi="Georgia"/>
          <w:color w:val="333333"/>
          <w:sz w:val="20"/>
          <w:szCs w:val="20"/>
        </w:rPr>
        <w:t>p</w:t>
      </w:r>
      <w:r>
        <w:rPr>
          <w:rFonts w:ascii="Georgia" w:hAnsi="Georgia"/>
          <w:color w:val="333333"/>
          <w:sz w:val="21"/>
          <w:szCs w:val="21"/>
        </w:rPr>
        <w:t>-value procedures that were used in the case of a single population. All that is needed is to know how to express the null and alternative hypotheses and to know the formula for the standardized test statistic and the distribution that it follows.</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null and alternative hypotheses will always be expressed in terms of the difference of the two population means. Thus the null hypothesis will always be written</w:t>
      </w:r>
    </w:p>
    <w:p w:rsidR="00AD77BB" w:rsidRDefault="00AD77BB">
      <w:pPr>
        <w:pStyle w:val="para"/>
        <w:shd w:val="clear" w:color="auto" w:fill="FFFFFF"/>
        <w:spacing w:before="0" w:beforeAutospacing="0" w:after="0" w:afterAutospacing="0" w:line="360" w:lineRule="auto"/>
        <w:textAlignment w:val="baseline"/>
        <w:rPr>
          <w:rFonts w:ascii="Georgia" w:hAnsi="Georgia"/>
          <w:b/>
          <w:color w:val="333333"/>
          <w:sz w:val="21"/>
          <w:szCs w:val="21"/>
        </w:rPr>
      </w:pPr>
    </w:p>
    <w:p w:rsidR="00AD77BB" w:rsidRDefault="00B45BA0">
      <w:pPr>
        <w:spacing w:line="360" w:lineRule="auto"/>
        <w:jc w:val="center"/>
        <w:textAlignment w:val="baseline"/>
        <w:rPr>
          <w:rFonts w:ascii="Calibri" w:hAnsi="Calibri"/>
          <w:b/>
          <w:color w:val="555555"/>
          <w:sz w:val="23"/>
          <w:szCs w:val="23"/>
          <w:shd w:val="clear" w:color="auto" w:fill="FFFFFF"/>
        </w:rPr>
      </w:pPr>
      <w:r>
        <w:rPr>
          <w:rStyle w:val="mi"/>
          <w:rFonts w:ascii="MathJax_Math" w:hAnsi="MathJax_Math"/>
          <w:b/>
          <w:i/>
          <w:iCs/>
          <w:color w:val="555555"/>
          <w:sz w:val="18"/>
          <w:szCs w:val="18"/>
          <w:shd w:val="clear" w:color="auto" w:fill="FFFFFF"/>
        </w:rPr>
        <w:t>H</w:t>
      </w:r>
      <w:r>
        <w:rPr>
          <w:rStyle w:val="mn"/>
          <w:rFonts w:ascii="MathJax_Main" w:hAnsi="MathJax_Main"/>
          <w:b/>
          <w:color w:val="555555"/>
          <w:sz w:val="14"/>
          <w:szCs w:val="14"/>
          <w:shd w:val="clear" w:color="auto" w:fill="FFFFFF"/>
          <w:vertAlign w:val="subscript"/>
        </w:rPr>
        <w:t>0</w:t>
      </w:r>
      <w:r>
        <w:rPr>
          <w:rStyle w:val="mo"/>
          <w:rFonts w:ascii="MathJax_Main" w:hAnsi="MathJax_Main"/>
          <w:b/>
          <w:color w:val="555555"/>
          <w:sz w:val="18"/>
          <w:szCs w:val="18"/>
          <w:shd w:val="clear" w:color="auto" w:fill="FFFFFF"/>
        </w:rPr>
        <w:t>:</w:t>
      </w:r>
      <w:r>
        <w:rPr>
          <w:rStyle w:val="mi"/>
          <w:rFonts w:ascii="MathJax_Math" w:hAnsi="MathJax_Math"/>
          <w:b/>
          <w:i/>
          <w:iCs/>
          <w:color w:val="555555"/>
          <w:sz w:val="18"/>
          <w:szCs w:val="18"/>
          <w:shd w:val="clear" w:color="auto" w:fill="FFFFFF"/>
        </w:rPr>
        <w:t>μ</w:t>
      </w:r>
      <w:r>
        <w:rPr>
          <w:rStyle w:val="mn"/>
          <w:rFonts w:ascii="MathJax_Main" w:hAnsi="MathJax_Main"/>
          <w:b/>
          <w:color w:val="555555"/>
          <w:sz w:val="14"/>
          <w:szCs w:val="14"/>
          <w:shd w:val="clear" w:color="auto" w:fill="FFFFFF"/>
          <w:vertAlign w:val="subscript"/>
        </w:rPr>
        <w:t>1</w:t>
      </w:r>
      <w:r>
        <w:rPr>
          <w:rStyle w:val="mo"/>
          <w:rFonts w:ascii="MathJax_Main" w:hAnsi="MathJax_Main"/>
          <w:b/>
          <w:color w:val="555555"/>
          <w:sz w:val="18"/>
          <w:szCs w:val="18"/>
          <w:shd w:val="clear" w:color="auto" w:fill="FFFFFF"/>
        </w:rPr>
        <w:t>−</w:t>
      </w:r>
      <w:r>
        <w:rPr>
          <w:rStyle w:val="mi"/>
          <w:rFonts w:ascii="MathJax_Math" w:hAnsi="MathJax_Math"/>
          <w:b/>
          <w:i/>
          <w:iCs/>
          <w:color w:val="555555"/>
          <w:sz w:val="18"/>
          <w:szCs w:val="18"/>
          <w:shd w:val="clear" w:color="auto" w:fill="FFFFFF"/>
        </w:rPr>
        <w:t>μ</w:t>
      </w:r>
      <w:r>
        <w:rPr>
          <w:rStyle w:val="mn"/>
          <w:rFonts w:ascii="MathJax_Main" w:hAnsi="MathJax_Main"/>
          <w:b/>
          <w:color w:val="555555"/>
          <w:sz w:val="14"/>
          <w:szCs w:val="14"/>
          <w:shd w:val="clear" w:color="auto" w:fill="FFFFFF"/>
          <w:vertAlign w:val="subscript"/>
        </w:rPr>
        <w:t>2</w:t>
      </w:r>
      <w:r>
        <w:rPr>
          <w:rStyle w:val="mo"/>
          <w:rFonts w:ascii="MathJax_Main" w:hAnsi="MathJax_Main"/>
          <w:b/>
          <w:color w:val="555555"/>
          <w:sz w:val="18"/>
          <w:szCs w:val="18"/>
          <w:shd w:val="clear" w:color="auto" w:fill="FFFFFF"/>
        </w:rPr>
        <w:t>=</w:t>
      </w:r>
      <w:r>
        <w:rPr>
          <w:rStyle w:val="mi"/>
          <w:rFonts w:ascii="MathJax_Math" w:hAnsi="MathJax_Math"/>
          <w:b/>
          <w:i/>
          <w:iCs/>
          <w:color w:val="555555"/>
          <w:sz w:val="18"/>
          <w:szCs w:val="18"/>
          <w:shd w:val="clear" w:color="auto" w:fill="FFFFFF"/>
        </w:rPr>
        <w:t>D</w:t>
      </w:r>
      <w:r>
        <w:rPr>
          <w:rStyle w:val="mn"/>
          <w:rFonts w:ascii="MathJax_Main" w:hAnsi="MathJax_Main"/>
          <w:b/>
          <w:color w:val="555555"/>
          <w:sz w:val="14"/>
          <w:szCs w:val="14"/>
          <w:shd w:val="clear" w:color="auto" w:fill="FFFFFF"/>
          <w:vertAlign w:val="subscript"/>
        </w:rPr>
        <w:t>0</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where</w:t>
      </w:r>
      <w:r>
        <w:rPr>
          <w:rStyle w:val="apple-converted-space"/>
          <w:rFonts w:ascii="Georgia" w:hAnsi="Georgia"/>
          <w:color w:val="333333"/>
          <w:sz w:val="21"/>
          <w:szCs w:val="21"/>
        </w:rPr>
        <w:t> </w:t>
      </w:r>
      <w:r>
        <w:rPr>
          <w:rStyle w:val="Emphasis"/>
          <w:rFonts w:ascii="Georgia" w:hAnsi="Georgia"/>
          <w:color w:val="333333"/>
          <w:sz w:val="20"/>
          <w:szCs w:val="20"/>
        </w:rPr>
        <w:t>D</w:t>
      </w:r>
      <w:r>
        <w:rPr>
          <w:rFonts w:ascii="Georgia" w:hAnsi="Georgia"/>
          <w:color w:val="333333"/>
          <w:sz w:val="15"/>
          <w:szCs w:val="15"/>
          <w:vertAlign w:val="subscript"/>
        </w:rPr>
        <w:t>0</w:t>
      </w:r>
      <w:r>
        <w:rPr>
          <w:rStyle w:val="apple-converted-space"/>
          <w:rFonts w:ascii="Georgia" w:hAnsi="Georgia"/>
          <w:color w:val="333333"/>
          <w:sz w:val="21"/>
          <w:szCs w:val="21"/>
        </w:rPr>
        <w:t> </w:t>
      </w:r>
      <w:r>
        <w:rPr>
          <w:rFonts w:ascii="Georgia" w:hAnsi="Georgia"/>
          <w:color w:val="333333"/>
          <w:sz w:val="21"/>
          <w:szCs w:val="21"/>
        </w:rPr>
        <w:t>is a number that is deduced from the statement of the situation. As was the case with a single population the alternative hypothesis can take one of the three forms, with the same terminology:</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tbl>
      <w:tblPr>
        <w:tblW w:w="0" w:type="auto"/>
        <w:tblCellMar>
          <w:left w:w="0" w:type="dxa"/>
          <w:right w:w="0" w:type="dxa"/>
        </w:tblCellMar>
        <w:tblLook w:val="04A0" w:firstRow="1" w:lastRow="0" w:firstColumn="1" w:lastColumn="0" w:noHBand="0" w:noVBand="1"/>
      </w:tblPr>
      <w:tblGrid>
        <w:gridCol w:w="1124"/>
        <w:gridCol w:w="1246"/>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rPr>
                <w:b/>
                <w:bCs/>
                <w:color w:val="F48800"/>
                <w:sz w:val="21"/>
                <w:szCs w:val="21"/>
              </w:rPr>
            </w:pPr>
            <w:r>
              <w:rPr>
                <w:b/>
                <w:bCs/>
                <w:color w:val="F48800"/>
                <w:sz w:val="21"/>
                <w:szCs w:val="21"/>
              </w:rPr>
              <w:t>Form of</w:t>
            </w:r>
            <w:r>
              <w:rPr>
                <w:rStyle w:val="apple-converted-space"/>
                <w:b/>
                <w:bCs/>
                <w:color w:val="F48800"/>
                <w:sz w:val="21"/>
                <w:szCs w:val="21"/>
              </w:rPr>
              <w:t> </w:t>
            </w:r>
            <w:r>
              <w:rPr>
                <w:rStyle w:val="mi"/>
                <w:rFonts w:ascii="MathJax_Math" w:hAnsi="MathJax_Math"/>
                <w:i/>
                <w:iCs/>
                <w:color w:val="F48800"/>
                <w:sz w:val="18"/>
                <w:szCs w:val="18"/>
              </w:rPr>
              <w:t>H</w:t>
            </w:r>
            <w:r>
              <w:rPr>
                <w:rStyle w:val="mi"/>
                <w:rFonts w:ascii="MathJax_Math" w:hAnsi="MathJax_Math"/>
                <w:i/>
                <w:iCs/>
                <w:color w:val="F48800"/>
                <w:sz w:val="14"/>
                <w:szCs w:val="14"/>
              </w:rPr>
              <w:t>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rPr>
                <w:b/>
                <w:bCs/>
                <w:color w:val="F48800"/>
                <w:sz w:val="21"/>
                <w:szCs w:val="21"/>
              </w:rPr>
            </w:pPr>
            <w:r>
              <w:rPr>
                <w:b/>
                <w:bCs/>
                <w:color w:val="F48800"/>
                <w:sz w:val="21"/>
                <w:szCs w:val="21"/>
              </w:rPr>
              <w:t>Terminology</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rStyle w:val="mi"/>
                <w:rFonts w:ascii="MathJax_Math" w:hAnsi="MathJax_Math"/>
                <w:i/>
                <w:iCs/>
                <w:sz w:val="18"/>
                <w:szCs w:val="18"/>
              </w:rPr>
              <w:t>H</w:t>
            </w:r>
            <w:r>
              <w:rPr>
                <w:rStyle w:val="mi"/>
                <w:rFonts w:ascii="MathJax_Math" w:hAnsi="MathJax_Math"/>
                <w:i/>
                <w:iCs/>
                <w:sz w:val="14"/>
                <w:szCs w:val="14"/>
              </w:rPr>
              <w:t>a</w:t>
            </w:r>
            <w:r>
              <w:rPr>
                <w:rStyle w:val="mo"/>
                <w:rFonts w:ascii="MathJax_Main" w:hAnsi="MathJax_Main"/>
                <w:sz w:val="18"/>
                <w:szCs w:val="18"/>
              </w:rPr>
              <w:t>:</w:t>
            </w:r>
            <w:r>
              <w:rPr>
                <w:rStyle w:val="mi"/>
                <w:rFonts w:ascii="MathJax_Math" w:hAnsi="MathJax_Math"/>
                <w:i/>
                <w:iCs/>
                <w:sz w:val="18"/>
                <w:szCs w:val="18"/>
              </w:rPr>
              <w:t>μ</w:t>
            </w:r>
            <w:r>
              <w:rPr>
                <w:rStyle w:val="mn"/>
                <w:rFonts w:ascii="MathJax_Main" w:hAnsi="MathJax_Main"/>
                <w:sz w:val="14"/>
                <w:szCs w:val="14"/>
              </w:rPr>
              <w:t>1</w:t>
            </w:r>
            <w:r>
              <w:rPr>
                <w:rStyle w:val="mo"/>
                <w:rFonts w:ascii="MathJax_Main" w:hAnsi="MathJax_Main"/>
                <w:sz w:val="18"/>
                <w:szCs w:val="18"/>
              </w:rPr>
              <w:t>−</w:t>
            </w:r>
            <w:r>
              <w:rPr>
                <w:rStyle w:val="mi"/>
                <w:rFonts w:ascii="MathJax_Math" w:hAnsi="MathJax_Math"/>
                <w:i/>
                <w:iCs/>
                <w:sz w:val="18"/>
                <w:szCs w:val="18"/>
              </w:rPr>
              <w:t>μ</w:t>
            </w:r>
            <w:r>
              <w:rPr>
                <w:rStyle w:val="mn"/>
                <w:rFonts w:ascii="MathJax_Main" w:hAnsi="MathJax_Main"/>
                <w:sz w:val="14"/>
                <w:szCs w:val="14"/>
              </w:rPr>
              <w:t>2</w:t>
            </w:r>
            <w:r>
              <w:rPr>
                <w:rStyle w:val="mo"/>
                <w:rFonts w:ascii="MathJax_Main" w:hAnsi="MathJax_Main"/>
                <w:sz w:val="18"/>
                <w:szCs w:val="18"/>
              </w:rPr>
              <w:t>&lt;</w:t>
            </w:r>
            <w:r>
              <w:rPr>
                <w:rStyle w:val="mi"/>
                <w:rFonts w:ascii="MathJax_Math" w:hAnsi="MathJax_Math"/>
                <w:i/>
                <w:iCs/>
                <w:sz w:val="18"/>
                <w:szCs w:val="18"/>
              </w:rPr>
              <w:t>D</w:t>
            </w:r>
            <w:r>
              <w:rPr>
                <w:rStyle w:val="mn"/>
                <w:rFonts w:ascii="MathJax_Main" w:hAnsi="MathJax_Main"/>
                <w:sz w:val="14"/>
                <w:szCs w:val="14"/>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Left-tailed</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rStyle w:val="mi"/>
                <w:rFonts w:ascii="MathJax_Math" w:hAnsi="MathJax_Math"/>
                <w:i/>
                <w:iCs/>
                <w:sz w:val="18"/>
                <w:szCs w:val="18"/>
              </w:rPr>
              <w:t>H</w:t>
            </w:r>
            <w:r>
              <w:rPr>
                <w:rStyle w:val="mi"/>
                <w:rFonts w:ascii="MathJax_Math" w:hAnsi="MathJax_Math"/>
                <w:i/>
                <w:iCs/>
                <w:sz w:val="14"/>
                <w:szCs w:val="14"/>
              </w:rPr>
              <w:t>a</w:t>
            </w:r>
            <w:r>
              <w:rPr>
                <w:rStyle w:val="mo"/>
                <w:rFonts w:ascii="MathJax_Main" w:hAnsi="MathJax_Main"/>
                <w:sz w:val="18"/>
                <w:szCs w:val="18"/>
              </w:rPr>
              <w:t>:</w:t>
            </w:r>
            <w:r>
              <w:rPr>
                <w:rStyle w:val="mi"/>
                <w:rFonts w:ascii="MathJax_Math" w:hAnsi="MathJax_Math"/>
                <w:i/>
                <w:iCs/>
                <w:sz w:val="18"/>
                <w:szCs w:val="18"/>
              </w:rPr>
              <w:t>μ</w:t>
            </w:r>
            <w:r>
              <w:rPr>
                <w:rStyle w:val="mn"/>
                <w:rFonts w:ascii="MathJax_Main" w:hAnsi="MathJax_Main"/>
                <w:sz w:val="14"/>
                <w:szCs w:val="14"/>
              </w:rPr>
              <w:t>1</w:t>
            </w:r>
            <w:r>
              <w:rPr>
                <w:rStyle w:val="mo"/>
                <w:rFonts w:ascii="MathJax_Main" w:hAnsi="MathJax_Main"/>
                <w:sz w:val="18"/>
                <w:szCs w:val="18"/>
              </w:rPr>
              <w:t>−</w:t>
            </w:r>
            <w:r>
              <w:rPr>
                <w:rStyle w:val="mi"/>
                <w:rFonts w:ascii="MathJax_Math" w:hAnsi="MathJax_Math"/>
                <w:i/>
                <w:iCs/>
                <w:sz w:val="18"/>
                <w:szCs w:val="18"/>
              </w:rPr>
              <w:t>μ</w:t>
            </w:r>
            <w:r>
              <w:rPr>
                <w:rStyle w:val="mn"/>
                <w:rFonts w:ascii="MathJax_Main" w:hAnsi="MathJax_Main"/>
                <w:sz w:val="14"/>
                <w:szCs w:val="14"/>
              </w:rPr>
              <w:t>2</w:t>
            </w:r>
            <w:r>
              <w:rPr>
                <w:rStyle w:val="mo"/>
                <w:rFonts w:ascii="MathJax_Main" w:hAnsi="MathJax_Main"/>
                <w:sz w:val="18"/>
                <w:szCs w:val="18"/>
              </w:rPr>
              <w:t>&gt;</w:t>
            </w:r>
            <w:r>
              <w:rPr>
                <w:rStyle w:val="mi"/>
                <w:rFonts w:ascii="MathJax_Math" w:hAnsi="MathJax_Math"/>
                <w:i/>
                <w:iCs/>
                <w:sz w:val="18"/>
                <w:szCs w:val="18"/>
              </w:rPr>
              <w:t>D</w:t>
            </w:r>
            <w:r>
              <w:rPr>
                <w:rStyle w:val="mn"/>
                <w:rFonts w:ascii="MathJax_Main" w:hAnsi="MathJax_Main"/>
                <w:sz w:val="14"/>
                <w:szCs w:val="14"/>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Right-tailed</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rStyle w:val="mi"/>
                <w:rFonts w:ascii="MathJax_Math" w:hAnsi="MathJax_Math"/>
                <w:i/>
                <w:iCs/>
                <w:sz w:val="18"/>
                <w:szCs w:val="18"/>
              </w:rPr>
              <w:t>H</w:t>
            </w:r>
            <w:r>
              <w:rPr>
                <w:rStyle w:val="mi"/>
                <w:rFonts w:ascii="MathJax_Math" w:hAnsi="MathJax_Math"/>
                <w:i/>
                <w:iCs/>
                <w:sz w:val="14"/>
                <w:szCs w:val="14"/>
              </w:rPr>
              <w:t>a</w:t>
            </w:r>
            <w:r>
              <w:rPr>
                <w:rStyle w:val="mo"/>
                <w:rFonts w:ascii="MathJax_Main" w:hAnsi="MathJax_Main"/>
                <w:sz w:val="18"/>
                <w:szCs w:val="18"/>
              </w:rPr>
              <w:t>:</w:t>
            </w:r>
            <w:r>
              <w:rPr>
                <w:rStyle w:val="mi"/>
                <w:rFonts w:ascii="MathJax_Math" w:hAnsi="MathJax_Math"/>
                <w:i/>
                <w:iCs/>
                <w:sz w:val="18"/>
                <w:szCs w:val="18"/>
              </w:rPr>
              <w:t>μ</w:t>
            </w:r>
            <w:r>
              <w:rPr>
                <w:rStyle w:val="mn"/>
                <w:rFonts w:ascii="MathJax_Main" w:hAnsi="MathJax_Main"/>
                <w:sz w:val="14"/>
                <w:szCs w:val="14"/>
              </w:rPr>
              <w:t>1</w:t>
            </w:r>
            <w:r>
              <w:rPr>
                <w:rStyle w:val="mo"/>
                <w:rFonts w:ascii="MathJax_Main" w:hAnsi="MathJax_Main"/>
                <w:sz w:val="18"/>
                <w:szCs w:val="18"/>
              </w:rPr>
              <w:t>−</w:t>
            </w:r>
            <w:r>
              <w:rPr>
                <w:rStyle w:val="mi"/>
                <w:rFonts w:ascii="MathJax_Math" w:hAnsi="MathJax_Math"/>
                <w:i/>
                <w:iCs/>
                <w:sz w:val="18"/>
                <w:szCs w:val="18"/>
              </w:rPr>
              <w:t>μ</w:t>
            </w:r>
            <w:r>
              <w:rPr>
                <w:rStyle w:val="mn"/>
                <w:rFonts w:ascii="MathJax_Main" w:hAnsi="MathJax_Main"/>
                <w:sz w:val="14"/>
                <w:szCs w:val="14"/>
              </w:rPr>
              <w:t>2</w:t>
            </w:r>
            <w:r>
              <w:rPr>
                <w:rStyle w:val="mo"/>
                <w:rFonts w:ascii="MathJax_Main" w:hAnsi="MathJax_Main"/>
                <w:sz w:val="18"/>
                <w:szCs w:val="18"/>
              </w:rPr>
              <w:t>≠</w:t>
            </w:r>
            <w:r>
              <w:rPr>
                <w:rStyle w:val="mi"/>
                <w:rFonts w:ascii="MathJax_Math" w:hAnsi="MathJax_Math"/>
                <w:i/>
                <w:iCs/>
                <w:sz w:val="18"/>
                <w:szCs w:val="18"/>
              </w:rPr>
              <w:t>D</w:t>
            </w:r>
            <w:r>
              <w:rPr>
                <w:rStyle w:val="mn"/>
                <w:rFonts w:ascii="MathJax_Main" w:hAnsi="MathJax_Main"/>
                <w:sz w:val="14"/>
                <w:szCs w:val="14"/>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Two-tailed</w:t>
            </w:r>
          </w:p>
        </w:tc>
      </w:tr>
    </w:tbl>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As long as the samples are independent and both are large the following formula for the standardized test statistic is valid, and it has the standard normal distribution. (In the relatively rare case that both population standard deviations</w:t>
      </w:r>
      <w:r>
        <w:rPr>
          <w:rStyle w:val="apple-converted-space"/>
          <w:rFonts w:ascii="Georgia" w:hAnsi="Georgia"/>
          <w:color w:val="333333"/>
          <w:sz w:val="21"/>
          <w:szCs w:val="21"/>
        </w:rPr>
        <w:t> </w:t>
      </w:r>
      <w:r>
        <w:rPr>
          <w:rStyle w:val="mi"/>
          <w:rFonts w:ascii="MathJax_Math" w:hAnsi="MathJax_Math"/>
          <w:i/>
          <w:iCs/>
          <w:color w:val="333333"/>
          <w:sz w:val="18"/>
          <w:szCs w:val="18"/>
        </w:rPr>
        <w:t>σ</w:t>
      </w:r>
      <w:r>
        <w:rPr>
          <w:rStyle w:val="mn"/>
          <w:rFonts w:ascii="MathJax_Main" w:hAnsi="MathJax_Main"/>
          <w:color w:val="333333"/>
          <w:sz w:val="14"/>
          <w:szCs w:val="14"/>
          <w:vertAlign w:val="subscript"/>
        </w:rPr>
        <w:t>1</w:t>
      </w:r>
      <w:r>
        <w:rPr>
          <w:rStyle w:val="apple-converted-space"/>
          <w:rFonts w:ascii="Georgia" w:hAnsi="Georgia"/>
          <w:color w:val="333333"/>
          <w:sz w:val="21"/>
          <w:szCs w:val="21"/>
          <w:vertAlign w:val="subscript"/>
        </w:rPr>
        <w:t> </w:t>
      </w:r>
      <w:r>
        <w:rPr>
          <w:rFonts w:ascii="Georgia" w:hAnsi="Georgia"/>
          <w:color w:val="333333"/>
          <w:sz w:val="21"/>
          <w:szCs w:val="21"/>
        </w:rPr>
        <w:t>and</w:t>
      </w:r>
      <w:r>
        <w:rPr>
          <w:rStyle w:val="apple-converted-space"/>
          <w:rFonts w:ascii="Georgia" w:hAnsi="Georgia"/>
          <w:color w:val="333333"/>
          <w:sz w:val="21"/>
          <w:szCs w:val="21"/>
        </w:rPr>
        <w:t> </w:t>
      </w:r>
      <w:r>
        <w:rPr>
          <w:rStyle w:val="mi"/>
          <w:rFonts w:ascii="MathJax_Math" w:hAnsi="MathJax_Math"/>
          <w:i/>
          <w:iCs/>
          <w:color w:val="333333"/>
          <w:sz w:val="18"/>
          <w:szCs w:val="18"/>
        </w:rPr>
        <w:t>σ</w:t>
      </w:r>
      <w:r>
        <w:rPr>
          <w:rStyle w:val="mn"/>
          <w:rFonts w:ascii="MathJax_Main" w:hAnsi="MathJax_Main"/>
          <w:color w:val="333333"/>
          <w:sz w:val="14"/>
          <w:szCs w:val="14"/>
          <w:vertAlign w:val="subscript"/>
        </w:rPr>
        <w:t>2</w:t>
      </w:r>
      <w:r>
        <w:rPr>
          <w:rStyle w:val="apple-converted-space"/>
          <w:rFonts w:ascii="Georgia" w:hAnsi="Georgia"/>
          <w:color w:val="333333"/>
          <w:sz w:val="21"/>
          <w:szCs w:val="21"/>
        </w:rPr>
        <w:t> </w:t>
      </w:r>
      <w:r>
        <w:rPr>
          <w:rFonts w:ascii="Georgia" w:hAnsi="Georgia"/>
          <w:color w:val="333333"/>
          <w:sz w:val="21"/>
          <w:szCs w:val="21"/>
        </w:rPr>
        <w:t>are known they would be used instead of the sample standard deviations.)</w:t>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672B1E0F" wp14:editId="7C2D02E2">
            <wp:extent cx="5353050" cy="3038475"/>
            <wp:effectExtent l="0" t="0" r="0" b="9525"/>
            <wp:docPr id="309"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353050" cy="303847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65D48558" wp14:editId="250C7ABB">
            <wp:extent cx="4181475" cy="4819650"/>
            <wp:effectExtent l="0" t="0" r="9525" b="0"/>
            <wp:docPr id="310"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4181475" cy="481965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6ACD11C7" wp14:editId="582FE1D3">
            <wp:extent cx="5076825" cy="6219825"/>
            <wp:effectExtent l="0" t="0" r="9525" b="9525"/>
            <wp:docPr id="311"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076825" cy="6219825"/>
                    </a:xfrm>
                    <a:prstGeom prst="rect">
                      <a:avLst/>
                    </a:prstGeom>
                    <a:noFill/>
                    <a:ln>
                      <a:noFill/>
                    </a:ln>
                  </pic:spPr>
                </pic:pic>
              </a:graphicData>
            </a:graphic>
          </wp:inline>
        </w:drawing>
      </w:r>
    </w:p>
    <w:p w:rsidR="00AD77BB" w:rsidRDefault="00B45BA0">
      <w:pPr>
        <w:pStyle w:val="para"/>
        <w:shd w:val="clear" w:color="auto" w:fill="E3EFF7"/>
        <w:spacing w:before="0" w:beforeAutospacing="0" w:after="0" w:afterAutospacing="0" w:line="439" w:lineRule="atLeast"/>
        <w:ind w:left="600" w:right="750"/>
        <w:textAlignment w:val="baseline"/>
        <w:rPr>
          <w:rFonts w:ascii="Calibri" w:hAnsi="Calibri"/>
          <w:color w:val="333333"/>
          <w:sz w:val="20"/>
          <w:szCs w:val="20"/>
        </w:rPr>
      </w:pPr>
      <w:r>
        <w:rPr>
          <w:rFonts w:ascii="Calibri" w:hAnsi="Calibri"/>
          <w:color w:val="333333"/>
          <w:sz w:val="20"/>
          <w:szCs w:val="20"/>
        </w:rPr>
        <w:t>reject</w:t>
      </w:r>
      <w:r>
        <w:rPr>
          <w:rStyle w:val="apple-converted-space"/>
          <w:rFonts w:ascii="Calibri" w:hAnsi="Calibri"/>
          <w:color w:val="333333"/>
          <w:sz w:val="20"/>
          <w:szCs w:val="20"/>
        </w:rPr>
        <w:t> </w:t>
      </w:r>
      <w:r>
        <w:rPr>
          <w:rStyle w:val="Emphasis"/>
          <w:rFonts w:ascii="Calibri" w:hAnsi="Calibri"/>
          <w:color w:val="333333"/>
          <w:sz w:val="20"/>
          <w:szCs w:val="20"/>
        </w:rPr>
        <w:t>H</w:t>
      </w:r>
      <w:r>
        <w:rPr>
          <w:rFonts w:ascii="Calibri" w:hAnsi="Calibri"/>
          <w:color w:val="333333"/>
          <w:sz w:val="15"/>
          <w:szCs w:val="15"/>
          <w:vertAlign w:val="subscript"/>
        </w:rPr>
        <w:t>0</w:t>
      </w:r>
      <w:r>
        <w:rPr>
          <w:rFonts w:ascii="Calibri" w:hAnsi="Calibri"/>
          <w:color w:val="333333"/>
          <w:sz w:val="20"/>
          <w:szCs w:val="20"/>
        </w:rPr>
        <w:t>. In the context of the problem our conclusion is:</w:t>
      </w:r>
    </w:p>
    <w:p w:rsidR="00AD77BB" w:rsidRDefault="00AD77BB">
      <w:pPr>
        <w:pStyle w:val="para"/>
        <w:shd w:val="clear" w:color="auto" w:fill="E3EFF7"/>
        <w:spacing w:before="0" w:beforeAutospacing="0" w:after="0" w:afterAutospacing="0" w:line="439" w:lineRule="atLeast"/>
        <w:ind w:left="600" w:right="750"/>
        <w:textAlignment w:val="baseline"/>
        <w:rPr>
          <w:rFonts w:ascii="Calibri" w:hAnsi="Calibri"/>
          <w:color w:val="333333"/>
          <w:sz w:val="20"/>
          <w:szCs w:val="20"/>
        </w:rPr>
      </w:pPr>
    </w:p>
    <w:p w:rsidR="00AD77BB" w:rsidRDefault="00B45BA0">
      <w:pPr>
        <w:pStyle w:val="para"/>
        <w:shd w:val="clear" w:color="auto" w:fill="E3EFF7"/>
        <w:spacing w:before="15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The data provide sufficient evidence, at the 1% level of significance, to conclude that the mean customer satisfaction for Company 1 is higher than that for Company 2.</w:t>
      </w:r>
    </w:p>
    <w:p w:rsidR="00AD77BB" w:rsidRDefault="00B45BA0">
      <w:pPr>
        <w:pStyle w:val="Heading3"/>
        <w:shd w:val="clear" w:color="auto" w:fill="08629A"/>
        <w:spacing w:before="0" w:beforeAutospacing="0" w:after="150" w:afterAutospacing="0" w:line="360" w:lineRule="auto"/>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3</w:t>
      </w:r>
    </w:p>
    <w:p w:rsidR="00AD77BB" w:rsidRDefault="00B45BA0">
      <w:pPr>
        <w:pStyle w:val="para"/>
        <w:shd w:val="clear" w:color="auto" w:fill="E3EFF7"/>
        <w:spacing w:before="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Perform the test of</w:t>
      </w:r>
      <w:r>
        <w:rPr>
          <w:rStyle w:val="apple-converted-space"/>
          <w:rFonts w:ascii="Calibri" w:hAnsi="Calibri"/>
          <w:color w:val="333333"/>
          <w:sz w:val="20"/>
          <w:szCs w:val="20"/>
        </w:rPr>
        <w:t> </w:t>
      </w:r>
      <w:r>
        <w:rPr>
          <w:rFonts w:ascii="Calibri" w:eastAsiaTheme="majorEastAsia" w:hAnsi="Calibri"/>
          <w:color w:val="2689C6"/>
          <w:sz w:val="20"/>
          <w:szCs w:val="20"/>
        </w:rPr>
        <w:t>Note 9.6 "Example 2"</w:t>
      </w:r>
      <w:r>
        <w:rPr>
          <w:rStyle w:val="apple-converted-space"/>
          <w:rFonts w:ascii="Calibri" w:hAnsi="Calibri"/>
          <w:color w:val="333333"/>
          <w:sz w:val="20"/>
          <w:szCs w:val="20"/>
        </w:rPr>
        <w:t> </w:t>
      </w:r>
      <w:r>
        <w:rPr>
          <w:rFonts w:ascii="Calibri" w:hAnsi="Calibri"/>
          <w:color w:val="333333"/>
          <w:sz w:val="20"/>
          <w:szCs w:val="20"/>
        </w:rPr>
        <w:t>using the</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-value approach.</w:t>
      </w:r>
    </w:p>
    <w:p w:rsidR="00AD77BB" w:rsidRDefault="00B45BA0">
      <w:pPr>
        <w:pStyle w:val="simpara"/>
        <w:shd w:val="clear" w:color="auto" w:fill="E3EFF7"/>
        <w:spacing w:before="15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lastRenderedPageBreak/>
        <w:t>Solution:</w:t>
      </w:r>
    </w:p>
    <w:p w:rsidR="00AD77BB" w:rsidRDefault="00AD77BB">
      <w:pPr>
        <w:pStyle w:val="simpara"/>
        <w:shd w:val="clear" w:color="auto" w:fill="E3EFF7"/>
        <w:spacing w:before="150" w:beforeAutospacing="0" w:after="0" w:afterAutospacing="0" w:line="360" w:lineRule="auto"/>
        <w:ind w:left="300" w:right="375"/>
        <w:textAlignment w:val="baseline"/>
        <w:rPr>
          <w:rFonts w:ascii="Calibri" w:hAnsi="Calibri"/>
          <w:color w:val="333333"/>
          <w:sz w:val="20"/>
          <w:szCs w:val="20"/>
        </w:rPr>
      </w:pPr>
    </w:p>
    <w:p w:rsidR="00AD77BB" w:rsidRDefault="00B45BA0">
      <w:pPr>
        <w:pStyle w:val="para"/>
        <w:shd w:val="clear" w:color="auto" w:fill="E3EFF7"/>
        <w:spacing w:before="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The first three steps are identical to those in</w:t>
      </w:r>
      <w:r>
        <w:rPr>
          <w:rStyle w:val="apple-converted-space"/>
          <w:rFonts w:ascii="Calibri" w:hAnsi="Calibri"/>
          <w:color w:val="333333"/>
          <w:sz w:val="20"/>
          <w:szCs w:val="20"/>
        </w:rPr>
        <w:t> </w:t>
      </w:r>
      <w:r>
        <w:rPr>
          <w:rFonts w:ascii="Calibri" w:eastAsiaTheme="majorEastAsia" w:hAnsi="Calibri"/>
          <w:color w:val="2689C6"/>
          <w:sz w:val="20"/>
          <w:szCs w:val="20"/>
        </w:rPr>
        <w:t>Note 9.6 "Example 2"</w:t>
      </w:r>
      <w:r>
        <w:rPr>
          <w:rFonts w:ascii="Calibri" w:hAnsi="Calibri"/>
          <w:color w:val="333333"/>
          <w:sz w:val="20"/>
          <w:szCs w:val="20"/>
        </w:rPr>
        <w:t>.</w:t>
      </w:r>
    </w:p>
    <w:p w:rsidR="00AD77BB" w:rsidRDefault="00AD77BB">
      <w:pPr>
        <w:pStyle w:val="para"/>
        <w:shd w:val="clear" w:color="auto" w:fill="E3EFF7"/>
        <w:spacing w:before="0" w:beforeAutospacing="0" w:after="0" w:afterAutospacing="0" w:line="360" w:lineRule="auto"/>
        <w:ind w:left="300" w:right="375"/>
        <w:textAlignment w:val="baseline"/>
        <w:rPr>
          <w:rFonts w:ascii="Calibri" w:hAnsi="Calibri"/>
          <w:color w:val="333333"/>
          <w:sz w:val="20"/>
          <w:szCs w:val="20"/>
        </w:rPr>
      </w:pPr>
    </w:p>
    <w:p w:rsidR="00AD77BB" w:rsidRDefault="00B45BA0">
      <w:pPr>
        <w:numPr>
          <w:ilvl w:val="0"/>
          <w:numId w:val="223"/>
        </w:numPr>
        <w:shd w:val="clear" w:color="auto" w:fill="E3EFF7"/>
        <w:spacing w:after="0" w:line="360" w:lineRule="auto"/>
        <w:ind w:left="360" w:right="375"/>
        <w:textAlignment w:val="baseline"/>
        <w:rPr>
          <w:rFonts w:ascii="Calibri" w:hAnsi="Calibri"/>
          <w:color w:val="333333"/>
          <w:sz w:val="20"/>
          <w:szCs w:val="20"/>
        </w:rPr>
      </w:pPr>
      <w:r>
        <w:rPr>
          <w:rFonts w:ascii="Calibri" w:hAnsi="Calibri"/>
          <w:color w:val="333333"/>
          <w:sz w:val="20"/>
          <w:szCs w:val="20"/>
        </w:rPr>
        <w:t>Step 4. The observed significance or</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-value of the test is the area of the right tail of the standard normal distribution that is cut off by the test statistic</w:t>
      </w:r>
      <w:r>
        <w:rPr>
          <w:rStyle w:val="apple-converted-space"/>
          <w:rFonts w:ascii="Calibri" w:hAnsi="Calibri"/>
          <w:color w:val="333333"/>
          <w:sz w:val="20"/>
          <w:szCs w:val="20"/>
        </w:rPr>
        <w:t> </w:t>
      </w:r>
      <w:r>
        <w:rPr>
          <w:rStyle w:val="Emphasis"/>
          <w:rFonts w:ascii="Calibri" w:hAnsi="Calibri"/>
          <w:color w:val="333333"/>
          <w:sz w:val="20"/>
          <w:szCs w:val="20"/>
        </w:rPr>
        <w:t>Z</w:t>
      </w:r>
      <w:r>
        <w:rPr>
          <w:rStyle w:val="apple-converted-space"/>
          <w:rFonts w:ascii="Calibri" w:hAnsi="Calibri"/>
          <w:color w:val="333333"/>
          <w:sz w:val="20"/>
          <w:szCs w:val="20"/>
        </w:rPr>
        <w:t> </w:t>
      </w:r>
      <w:r>
        <w:rPr>
          <w:rFonts w:ascii="Calibri" w:hAnsi="Calibri"/>
          <w:color w:val="333333"/>
          <w:sz w:val="20"/>
          <w:szCs w:val="20"/>
        </w:rPr>
        <w:t>= 5.684. The number 5.684 is too large to appear in</w:t>
      </w:r>
      <w:r>
        <w:rPr>
          <w:rStyle w:val="apple-converted-space"/>
          <w:rFonts w:ascii="Calibri" w:hAnsi="Calibri"/>
          <w:color w:val="333333"/>
          <w:sz w:val="20"/>
          <w:szCs w:val="20"/>
        </w:rPr>
        <w:t> </w:t>
      </w:r>
      <w:r>
        <w:rPr>
          <w:rFonts w:ascii="Calibri" w:hAnsi="Calibri"/>
          <w:color w:val="2689C6"/>
          <w:sz w:val="20"/>
          <w:szCs w:val="20"/>
        </w:rPr>
        <w:t>Figure 12.2 "Cumulative Normal Probability"</w:t>
      </w:r>
      <w:r>
        <w:rPr>
          <w:rFonts w:ascii="Calibri" w:hAnsi="Calibri"/>
          <w:color w:val="333333"/>
          <w:sz w:val="20"/>
          <w:szCs w:val="20"/>
        </w:rPr>
        <w:t>, which means that the area of the</w:t>
      </w:r>
      <w:r>
        <w:rPr>
          <w:rStyle w:val="apple-converted-space"/>
          <w:rFonts w:ascii="Calibri" w:hAnsi="Calibri"/>
          <w:color w:val="333333"/>
          <w:sz w:val="20"/>
          <w:szCs w:val="20"/>
        </w:rPr>
        <w:t> </w:t>
      </w:r>
      <w:r>
        <w:rPr>
          <w:rStyle w:val="Emphasis"/>
          <w:rFonts w:ascii="Calibri" w:hAnsi="Calibri"/>
          <w:color w:val="333333"/>
          <w:sz w:val="20"/>
          <w:szCs w:val="20"/>
        </w:rPr>
        <w:t>left</w:t>
      </w:r>
      <w:r>
        <w:rPr>
          <w:rStyle w:val="apple-converted-space"/>
          <w:rFonts w:ascii="Calibri" w:hAnsi="Calibri"/>
          <w:color w:val="333333"/>
          <w:sz w:val="20"/>
          <w:szCs w:val="20"/>
        </w:rPr>
        <w:t> </w:t>
      </w:r>
      <w:r>
        <w:rPr>
          <w:rFonts w:ascii="Calibri" w:hAnsi="Calibri"/>
          <w:color w:val="333333"/>
          <w:sz w:val="20"/>
          <w:szCs w:val="20"/>
        </w:rPr>
        <w:t>tail that it cuts off is 1.0000 to four decimal places. The area that we seek, the area of the</w:t>
      </w:r>
      <w:r>
        <w:rPr>
          <w:rStyle w:val="apple-converted-space"/>
          <w:rFonts w:ascii="Calibri" w:hAnsi="Calibri"/>
          <w:color w:val="333333"/>
          <w:sz w:val="20"/>
          <w:szCs w:val="20"/>
        </w:rPr>
        <w:t> </w:t>
      </w:r>
      <w:r>
        <w:rPr>
          <w:rStyle w:val="Emphasis"/>
          <w:rFonts w:ascii="Calibri" w:hAnsi="Calibri"/>
          <w:color w:val="333333"/>
          <w:sz w:val="20"/>
          <w:szCs w:val="20"/>
        </w:rPr>
        <w:t>right</w:t>
      </w:r>
      <w:r>
        <w:rPr>
          <w:rFonts w:ascii="Calibri" w:hAnsi="Calibri"/>
          <w:color w:val="333333"/>
          <w:sz w:val="20"/>
          <w:szCs w:val="20"/>
        </w:rPr>
        <w:t>tail, is therefore</w:t>
      </w:r>
      <w:r>
        <w:rPr>
          <w:rStyle w:val="apple-converted-space"/>
          <w:rFonts w:ascii="Calibri" w:hAnsi="Calibri"/>
          <w:color w:val="333333"/>
          <w:sz w:val="20"/>
          <w:szCs w:val="20"/>
        </w:rPr>
        <w:t> </w:t>
      </w:r>
      <w:r>
        <w:rPr>
          <w:rStyle w:val="mn"/>
          <w:rFonts w:ascii="MathJax_Main" w:hAnsi="MathJax_Main"/>
          <w:b/>
          <w:color w:val="333333"/>
          <w:sz w:val="15"/>
          <w:szCs w:val="15"/>
        </w:rPr>
        <w:t>1</w:t>
      </w:r>
      <w:r>
        <w:rPr>
          <w:rStyle w:val="mo"/>
          <w:rFonts w:ascii="MathJax_Main" w:hAnsi="MathJax_Main"/>
          <w:b/>
          <w:color w:val="333333"/>
          <w:sz w:val="15"/>
          <w:szCs w:val="15"/>
        </w:rPr>
        <w:t>−</w:t>
      </w:r>
      <w:r>
        <w:rPr>
          <w:rStyle w:val="mn"/>
          <w:rFonts w:ascii="MathJax_Main" w:hAnsi="MathJax_Main"/>
          <w:b/>
          <w:color w:val="333333"/>
          <w:sz w:val="15"/>
          <w:szCs w:val="15"/>
        </w:rPr>
        <w:t>1.0000</w:t>
      </w:r>
      <w:r>
        <w:rPr>
          <w:rStyle w:val="mo"/>
          <w:rFonts w:ascii="MathJax_Main" w:hAnsi="MathJax_Main"/>
          <w:b/>
          <w:color w:val="333333"/>
          <w:sz w:val="15"/>
          <w:szCs w:val="15"/>
        </w:rPr>
        <w:t>=</w:t>
      </w:r>
      <w:r>
        <w:rPr>
          <w:rStyle w:val="mn"/>
          <w:rFonts w:ascii="MathJax_Main" w:hAnsi="MathJax_Main"/>
          <w:b/>
          <w:color w:val="333333"/>
          <w:sz w:val="15"/>
          <w:szCs w:val="15"/>
        </w:rPr>
        <w:t>0.0000</w:t>
      </w:r>
      <w:r>
        <w:rPr>
          <w:rStyle w:val="apple-converted-space"/>
          <w:rFonts w:ascii="Calibri" w:hAnsi="Calibri"/>
          <w:color w:val="333333"/>
          <w:sz w:val="20"/>
          <w:szCs w:val="20"/>
        </w:rPr>
        <w:t> </w:t>
      </w:r>
      <w:r>
        <w:rPr>
          <w:rFonts w:ascii="Calibri" w:hAnsi="Calibri"/>
          <w:color w:val="333333"/>
          <w:sz w:val="20"/>
          <w:szCs w:val="20"/>
        </w:rPr>
        <w:t>to four decimal places. See</w:t>
      </w:r>
      <w:r>
        <w:rPr>
          <w:rStyle w:val="apple-converted-space"/>
          <w:rFonts w:ascii="Calibri" w:hAnsi="Calibri"/>
          <w:color w:val="333333"/>
          <w:sz w:val="20"/>
          <w:szCs w:val="20"/>
        </w:rPr>
        <w:t> </w:t>
      </w:r>
      <w:r>
        <w:rPr>
          <w:rFonts w:ascii="Calibri" w:hAnsi="Calibri"/>
          <w:color w:val="2689C6"/>
          <w:sz w:val="20"/>
          <w:szCs w:val="20"/>
        </w:rPr>
        <w:t>Figure 9.3</w:t>
      </w:r>
      <w:r>
        <w:rPr>
          <w:rFonts w:ascii="Calibri" w:hAnsi="Calibri"/>
          <w:color w:val="333333"/>
          <w:sz w:val="20"/>
          <w:szCs w:val="20"/>
        </w:rPr>
        <w:t>. That is,</w:t>
      </w:r>
      <w:r>
        <w:rPr>
          <w:rStyle w:val="apple-converted-space"/>
          <w:rFonts w:ascii="Calibri" w:hAnsi="Calibri"/>
          <w:color w:val="333333"/>
          <w:sz w:val="20"/>
          <w:szCs w:val="20"/>
        </w:rPr>
        <w:t> </w:t>
      </w:r>
      <w:r>
        <w:rPr>
          <w:rStyle w:val="mi"/>
          <w:rFonts w:ascii="MathJax_Math" w:hAnsi="MathJax_Math"/>
          <w:b/>
          <w:i/>
          <w:iCs/>
          <w:color w:val="333333"/>
          <w:sz w:val="15"/>
          <w:szCs w:val="15"/>
        </w:rPr>
        <w:t>p</w:t>
      </w:r>
      <w:r>
        <w:rPr>
          <w:rStyle w:val="mtext"/>
          <w:rFonts w:ascii="MathJax_Main" w:hAnsi="MathJax_Main"/>
          <w:b/>
          <w:color w:val="333333"/>
          <w:sz w:val="15"/>
          <w:szCs w:val="15"/>
        </w:rPr>
        <w:t> -value</w:t>
      </w:r>
      <w:r>
        <w:rPr>
          <w:rStyle w:val="mo"/>
          <w:rFonts w:ascii="MathJax_Main" w:hAnsi="MathJax_Main"/>
          <w:b/>
          <w:color w:val="333333"/>
          <w:sz w:val="15"/>
          <w:szCs w:val="15"/>
        </w:rPr>
        <w:t>=</w:t>
      </w:r>
      <w:r>
        <w:rPr>
          <w:rStyle w:val="mn"/>
          <w:rFonts w:ascii="MathJax_Main" w:hAnsi="MathJax_Main"/>
          <w:b/>
          <w:color w:val="333333"/>
          <w:sz w:val="15"/>
          <w:szCs w:val="15"/>
        </w:rPr>
        <w:t>0.0000</w:t>
      </w:r>
      <w:r>
        <w:rPr>
          <w:rStyle w:val="apple-converted-space"/>
          <w:rFonts w:ascii="Calibri" w:hAnsi="Calibri"/>
          <w:color w:val="333333"/>
          <w:sz w:val="20"/>
          <w:szCs w:val="20"/>
        </w:rPr>
        <w:t> </w:t>
      </w:r>
      <w:r>
        <w:rPr>
          <w:rFonts w:ascii="Calibri" w:hAnsi="Calibri"/>
          <w:color w:val="333333"/>
          <w:sz w:val="20"/>
          <w:szCs w:val="20"/>
        </w:rPr>
        <w:t>to four decimal places. (The actual value is approximately</w:t>
      </w:r>
      <w:r>
        <w:rPr>
          <w:rStyle w:val="apple-converted-space"/>
          <w:rFonts w:ascii="Calibri" w:hAnsi="Calibri"/>
          <w:color w:val="333333"/>
          <w:sz w:val="20"/>
          <w:szCs w:val="20"/>
        </w:rPr>
        <w:t> </w:t>
      </w:r>
      <w:r>
        <w:rPr>
          <w:rStyle w:val="mn"/>
          <w:rFonts w:ascii="MathJax_Main" w:hAnsi="MathJax_Main"/>
          <w:b/>
          <w:color w:val="333333"/>
          <w:sz w:val="15"/>
          <w:szCs w:val="15"/>
        </w:rPr>
        <w:t>0.000</w:t>
      </w:r>
      <w:r>
        <w:rPr>
          <w:rStyle w:val="mtext"/>
          <w:rFonts w:ascii="MathJax_Main" w:hAnsi="MathJax_Main"/>
          <w:b/>
          <w:color w:val="333333"/>
          <w:sz w:val="15"/>
          <w:szCs w:val="15"/>
        </w:rPr>
        <w:t> </w:t>
      </w:r>
      <w:r>
        <w:rPr>
          <w:rStyle w:val="mn"/>
          <w:rFonts w:ascii="MathJax_Main" w:hAnsi="MathJax_Main"/>
          <w:b/>
          <w:color w:val="333333"/>
          <w:sz w:val="15"/>
          <w:szCs w:val="15"/>
        </w:rPr>
        <w:t>000</w:t>
      </w:r>
      <w:r>
        <w:rPr>
          <w:rStyle w:val="mtext"/>
          <w:rFonts w:ascii="MathJax_Main" w:hAnsi="MathJax_Main"/>
          <w:b/>
          <w:color w:val="333333"/>
          <w:sz w:val="15"/>
          <w:szCs w:val="15"/>
        </w:rPr>
        <w:t> </w:t>
      </w:r>
      <w:r>
        <w:rPr>
          <w:rStyle w:val="mn"/>
          <w:rFonts w:ascii="MathJax_Main" w:hAnsi="MathJax_Main"/>
          <w:b/>
          <w:color w:val="333333"/>
          <w:sz w:val="15"/>
          <w:szCs w:val="15"/>
        </w:rPr>
        <w:t>007</w:t>
      </w:r>
      <w:r>
        <w:rPr>
          <w:rStyle w:val="mo"/>
          <w:rFonts w:ascii="MathJax_Main" w:hAnsi="MathJax_Main"/>
          <w:b/>
          <w:color w:val="333333"/>
          <w:sz w:val="15"/>
          <w:szCs w:val="15"/>
        </w:rPr>
        <w:t>.</w:t>
      </w:r>
      <w:r>
        <w:rPr>
          <w:rFonts w:ascii="Calibri" w:hAnsi="Calibri"/>
          <w:b/>
          <w:color w:val="333333"/>
          <w:sz w:val="20"/>
          <w:szCs w:val="20"/>
        </w:rPr>
        <w:t>)</w:t>
      </w:r>
    </w:p>
    <w:p w:rsidR="00AD77BB" w:rsidRDefault="00B45BA0">
      <w:pPr>
        <w:shd w:val="clear" w:color="auto" w:fill="E3EFF7"/>
        <w:spacing w:after="0" w:line="439" w:lineRule="atLeast"/>
        <w:ind w:left="300" w:right="375"/>
        <w:textAlignment w:val="baseline"/>
        <w:rPr>
          <w:rFonts w:ascii="Calibri" w:eastAsia="Times New Roman" w:hAnsi="Calibri" w:cs="Times New Roman"/>
          <w:i/>
          <w:iCs/>
          <w:color w:val="BB9966"/>
          <w:sz w:val="21"/>
          <w:szCs w:val="21"/>
        </w:rPr>
      </w:pPr>
      <w:r>
        <w:rPr>
          <w:rFonts w:ascii="Calibri" w:eastAsia="Times New Roman" w:hAnsi="Calibri" w:cs="Times New Roman"/>
          <w:i/>
          <w:iCs/>
          <w:color w:val="000000"/>
          <w:sz w:val="20"/>
          <w:szCs w:val="20"/>
        </w:rPr>
        <w:t>Figure 9.3</w:t>
      </w:r>
      <w:r>
        <w:rPr>
          <w:rFonts w:ascii="Calibri" w:eastAsia="Times New Roman" w:hAnsi="Calibri" w:cs="Times New Roman"/>
          <w:i/>
          <w:iCs/>
          <w:color w:val="BB9966"/>
          <w:sz w:val="20"/>
          <w:szCs w:val="20"/>
        </w:rPr>
        <w:t>P</w:t>
      </w:r>
      <w:r>
        <w:rPr>
          <w:rFonts w:ascii="Calibri" w:eastAsia="Times New Roman" w:hAnsi="Calibri" w:cs="Times New Roman"/>
          <w:i/>
          <w:iCs/>
          <w:color w:val="BB9966"/>
          <w:sz w:val="21"/>
          <w:szCs w:val="21"/>
        </w:rPr>
        <w:t>-Value for </w:t>
      </w:r>
      <w:r>
        <w:rPr>
          <w:rFonts w:ascii="Calibri" w:eastAsia="Times New Roman" w:hAnsi="Calibri" w:cs="Times New Roman"/>
          <w:i/>
          <w:iCs/>
          <w:color w:val="2689C6"/>
          <w:sz w:val="21"/>
          <w:szCs w:val="21"/>
        </w:rPr>
        <w:t>Note 9.7 "Example 3"</w:t>
      </w:r>
    </w:p>
    <w:p w:rsidR="00AD77BB" w:rsidRDefault="00B45BA0">
      <w:pPr>
        <w:shd w:val="clear" w:color="auto" w:fill="E3EFF7"/>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14:anchorId="3FF73019" wp14:editId="08FCFDC3">
            <wp:extent cx="4343400" cy="2647950"/>
            <wp:effectExtent l="0" t="0" r="0" b="0"/>
            <wp:docPr id="312" name="Picture 329" descr="http://images.flatworldknowledge.com/shafer/shafer-fig0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images.flatworldknowledge.com/shafer/shafer-fig09_003.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343400" cy="2647950"/>
                    </a:xfrm>
                    <a:prstGeom prst="rect">
                      <a:avLst/>
                    </a:prstGeom>
                    <a:noFill/>
                    <a:ln>
                      <a:noFill/>
                    </a:ln>
                  </pic:spPr>
                </pic:pic>
              </a:graphicData>
            </a:graphic>
          </wp:inline>
        </w:drawing>
      </w:r>
    </w:p>
    <w:p w:rsidR="00AD77BB" w:rsidRDefault="00B45BA0">
      <w:pPr>
        <w:numPr>
          <w:ilvl w:val="0"/>
          <w:numId w:val="224"/>
        </w:numPr>
        <w:shd w:val="clear" w:color="auto" w:fill="E3EFF7"/>
        <w:spacing w:after="0" w:line="360" w:lineRule="auto"/>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Step 5. Since 0.0000 &lt; 0.01,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5"/>
          <w:szCs w:val="15"/>
        </w:rPr>
        <w:t> -value&lt;</w:t>
      </w:r>
      <w:r>
        <w:rPr>
          <w:rFonts w:ascii="MathJax_Math" w:eastAsia="Times New Roman" w:hAnsi="MathJax_Math" w:cs="Times New Roman"/>
          <w:i/>
          <w:iCs/>
          <w:color w:val="333333"/>
          <w:sz w:val="15"/>
          <w:szCs w:val="15"/>
        </w:rPr>
        <w:t>α</w:t>
      </w:r>
      <w:r>
        <w:rPr>
          <w:rFonts w:ascii="Calibri" w:eastAsia="Times New Roman" w:hAnsi="Calibri" w:cs="Times New Roman"/>
          <w:color w:val="333333"/>
          <w:sz w:val="20"/>
          <w:szCs w:val="20"/>
        </w:rPr>
        <w:t> so the decision is to reject the null hypothesis:</w:t>
      </w:r>
    </w:p>
    <w:p w:rsidR="00AD77BB" w:rsidRDefault="00AD77BB">
      <w:pPr>
        <w:shd w:val="clear" w:color="auto" w:fill="E3EFF7"/>
        <w:spacing w:after="0" w:line="360" w:lineRule="auto"/>
        <w:ind w:left="600" w:right="750"/>
        <w:textAlignment w:val="baseline"/>
        <w:rPr>
          <w:rFonts w:ascii="Calibri" w:eastAsia="Times New Roman" w:hAnsi="Calibri" w:cs="Times New Roman"/>
          <w:color w:val="333333"/>
          <w:sz w:val="20"/>
          <w:szCs w:val="20"/>
        </w:rPr>
      </w:pPr>
    </w:p>
    <w:p w:rsidR="00AD77BB" w:rsidRDefault="00B45BA0">
      <w:pPr>
        <w:shd w:val="clear" w:color="auto" w:fill="E3EFF7"/>
        <w:spacing w:before="150" w:line="360" w:lineRule="auto"/>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data provide sufficient evidence, at the 1% level of significance, to conclude that the mean customer satisfaction for Company 1 is higher than that for Company 2.</w:t>
      </w:r>
    </w:p>
    <w:p w:rsidR="00AD77BB" w:rsidRDefault="00B45BA0">
      <w:pPr>
        <w:shd w:val="clear" w:color="auto" w:fill="39892F"/>
        <w:spacing w:after="150" w:line="360" w:lineRule="auto"/>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AD77BB" w:rsidRDefault="00B45BA0">
      <w:pPr>
        <w:numPr>
          <w:ilvl w:val="0"/>
          <w:numId w:val="225"/>
        </w:numPr>
        <w:shd w:val="clear" w:color="auto" w:fill="ECF9EA"/>
        <w:spacing w:after="0"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point estimate for the difference in two population means is simply the difference in the corresponding sample means.</w:t>
      </w:r>
    </w:p>
    <w:p w:rsidR="00AD77BB" w:rsidRDefault="00B45BA0">
      <w:pPr>
        <w:numPr>
          <w:ilvl w:val="0"/>
          <w:numId w:val="225"/>
        </w:numPr>
        <w:shd w:val="clear" w:color="auto" w:fill="ECF9EA"/>
        <w:spacing w:after="0"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the context of estimating or testing hypotheses concerning two population means, “large” samples means that </w:t>
      </w:r>
      <w:r>
        <w:rPr>
          <w:rFonts w:ascii="Calibri" w:eastAsia="Times New Roman" w:hAnsi="Calibri" w:cs="Times New Roman"/>
          <w:i/>
          <w:iCs/>
          <w:color w:val="333333"/>
          <w:sz w:val="20"/>
          <w:szCs w:val="20"/>
        </w:rPr>
        <w:t>both</w:t>
      </w:r>
      <w:r>
        <w:rPr>
          <w:rFonts w:ascii="Calibri" w:eastAsia="Times New Roman" w:hAnsi="Calibri" w:cs="Times New Roman"/>
          <w:color w:val="333333"/>
          <w:sz w:val="20"/>
          <w:szCs w:val="20"/>
        </w:rPr>
        <w:t> samples are large.</w:t>
      </w:r>
    </w:p>
    <w:p w:rsidR="00AD77BB" w:rsidRDefault="00B45BA0">
      <w:pPr>
        <w:numPr>
          <w:ilvl w:val="0"/>
          <w:numId w:val="225"/>
        </w:numPr>
        <w:shd w:val="clear" w:color="auto" w:fill="ECF9EA"/>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A confidence interval for the difference in two population means is computed using a formula in the same fashion as was done for a single population mean.</w:t>
      </w:r>
    </w:p>
    <w:p w:rsidR="00AD77BB" w:rsidRDefault="00B45BA0">
      <w:pPr>
        <w:numPr>
          <w:ilvl w:val="0"/>
          <w:numId w:val="225"/>
        </w:numPr>
        <w:shd w:val="clear" w:color="auto" w:fill="ECF9EA"/>
        <w:spacing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same five-step procedure used to test hypotheses concerning a single population mean is used to test hypotheses concerning the difference between two population means. The only difference is in the formula for the standardized test statistic.</w:t>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6C9FCAAC" wp14:editId="492F2876">
            <wp:extent cx="4943475" cy="5829300"/>
            <wp:effectExtent l="0" t="0" r="9525" b="0"/>
            <wp:docPr id="313"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943475" cy="582930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31301A00" wp14:editId="1D623164">
            <wp:extent cx="5076825" cy="5657850"/>
            <wp:effectExtent l="0" t="0" r="9525" b="0"/>
            <wp:docPr id="314"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076825" cy="565785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5B0D966E" wp14:editId="3350D048">
            <wp:extent cx="5076825" cy="5905500"/>
            <wp:effectExtent l="0" t="0" r="9525" b="0"/>
            <wp:docPr id="315"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076825" cy="590550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3E531739" wp14:editId="14AEC0F9">
            <wp:extent cx="5248275" cy="6257925"/>
            <wp:effectExtent l="0" t="0" r="9525" b="9525"/>
            <wp:docPr id="316"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248275" cy="625792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0F2DCD14" wp14:editId="6B2129B7">
            <wp:extent cx="5276850" cy="6372225"/>
            <wp:effectExtent l="0" t="0" r="0" b="9525"/>
            <wp:docPr id="317"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276850" cy="637222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724A4D2F" wp14:editId="27800015">
            <wp:extent cx="5391150" cy="6124575"/>
            <wp:effectExtent l="0" t="0" r="0" b="9525"/>
            <wp:docPr id="318"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391150" cy="6124575"/>
                    </a:xfrm>
                    <a:prstGeom prst="rect">
                      <a:avLst/>
                    </a:prstGeom>
                    <a:noFill/>
                    <a:ln>
                      <a:noFill/>
                    </a:ln>
                  </pic:spPr>
                </pic:pic>
              </a:graphicData>
            </a:graphic>
          </wp:inline>
        </w:drawing>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APPLICATIONS</w:t>
      </w:r>
    </w:p>
    <w:p w:rsidR="00AD77BB" w:rsidRDefault="00B45BA0">
      <w:pPr>
        <w:numPr>
          <w:ilvl w:val="0"/>
          <w:numId w:val="22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order to investigate the relationship between mean job tenure in years among workers who have a bachelor’s degree or higher and those who do not, random samples of each type of worker were taken, with the following results.</w:t>
      </w:r>
    </w:p>
    <w:p w:rsidR="00AD77BB" w:rsidRDefault="00AD77BB">
      <w:p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p>
    <w:tbl>
      <w:tblPr>
        <w:tblW w:w="0" w:type="auto"/>
        <w:tblInd w:w="450" w:type="dxa"/>
        <w:tblCellMar>
          <w:left w:w="0" w:type="dxa"/>
          <w:right w:w="0" w:type="dxa"/>
        </w:tblCellMar>
        <w:tblLook w:val="04A0" w:firstRow="1" w:lastRow="0" w:firstColumn="1" w:lastColumn="0" w:noHBand="0" w:noVBand="1"/>
      </w:tblPr>
      <w:tblGrid>
        <w:gridCol w:w="2823"/>
        <w:gridCol w:w="510"/>
        <w:gridCol w:w="450"/>
        <w:gridCol w:w="45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MathJax_Math" w:eastAsia="Times New Roman" w:hAnsi="MathJax_Math" w:cs="Times New Roman"/>
                <w:i/>
                <w:iCs/>
                <w:color w:val="F48800"/>
                <w:sz w:val="15"/>
                <w:szCs w:val="15"/>
              </w:rPr>
              <w:t>x</w:t>
            </w:r>
            <w:r>
              <w:rPr>
                <w:rFonts w:ascii="MathJax_Main" w:eastAsia="Times New Roman" w:hAnsi="MathJax_Main" w:cs="Times New Roman"/>
                <w:color w:val="F48800"/>
                <w:sz w:val="15"/>
                <w:szCs w:val="15"/>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s</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Bachelor’s degree or higher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No degree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r>
    </w:tbl>
    <w:p w:rsidR="00AD77BB" w:rsidRDefault="00B45BA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the 99% confidence interval for the difference in the population means based on these data.</w:t>
      </w:r>
    </w:p>
    <w:p w:rsidR="00AD77BB" w:rsidRDefault="00B45BA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1% level of significance, the claim that mean job tenure among those with higher education is greater than among those without, against the default that there is no difference in the means.</w:t>
      </w:r>
    </w:p>
    <w:p w:rsidR="00AD77BB" w:rsidRDefault="00B45BA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observed significance of the test.</w:t>
      </w:r>
    </w:p>
    <w:p w:rsidR="00AD77BB" w:rsidRDefault="00B45BA0">
      <w:pPr>
        <w:numPr>
          <w:ilvl w:val="0"/>
          <w:numId w:val="22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Records of 40 used passenger cars and 40 used pickup trucks (none used commercially) were randomly selected to investigate whether there was any difference in the mean time in years that they were kept by the original owner before being sold. For cars the mean was 5.3 years with standard deviation 2.2 years. For pickup trucks the mean was 7.1 years with standard deviation 3.0 years.</w:t>
      </w:r>
    </w:p>
    <w:p w:rsidR="00AD77BB" w:rsidRDefault="00B45BA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the 95% confidence interval for the difference in the means based on these data.</w:t>
      </w:r>
    </w:p>
    <w:p w:rsidR="00AD77BB" w:rsidRDefault="00B45BA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the hypothesis that there is a difference in the means against the null hypothesis that there is no difference. Use the 1% level of significance.</w:t>
      </w:r>
    </w:p>
    <w:p w:rsidR="00AD77BB" w:rsidRDefault="00B45BA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observed significance of the test in part (b).</w:t>
      </w:r>
    </w:p>
    <w:p w:rsidR="00AD77BB" w:rsidRDefault="00B45BA0">
      <w:pPr>
        <w:numPr>
          <w:ilvl w:val="0"/>
          <w:numId w:val="226"/>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previous years the average number of patients per hour at a hospital emergency room on weekends exceeded the average on weekdays by 6.3 visits per hour. A hospital administrator believes that the current weekend mean exceeds the weekday mean by fewer than 6.3 hours.</w:t>
      </w:r>
    </w:p>
    <w:p w:rsidR="00AD77BB" w:rsidRDefault="00B45BA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the 99% confidence interval for the difference in the population means based on the following data, derived from a study in which 30 weekend and 30 weekday one-hour periods were randomly selected and the number of new patients in each recorded.</w:t>
      </w:r>
    </w:p>
    <w:tbl>
      <w:tblPr>
        <w:tblW w:w="0" w:type="auto"/>
        <w:tblInd w:w="450" w:type="dxa"/>
        <w:tblCellMar>
          <w:left w:w="0" w:type="dxa"/>
          <w:right w:w="0" w:type="dxa"/>
        </w:tblCellMar>
        <w:tblLook w:val="04A0" w:firstRow="1" w:lastRow="0" w:firstColumn="1" w:lastColumn="0" w:noHBand="0" w:noVBand="1"/>
      </w:tblPr>
      <w:tblGrid>
        <w:gridCol w:w="1150"/>
        <w:gridCol w:w="390"/>
        <w:gridCol w:w="570"/>
        <w:gridCol w:w="45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MathJax_Math" w:eastAsia="Times New Roman" w:hAnsi="MathJax_Math" w:cs="Times New Roman"/>
                <w:i/>
                <w:iCs/>
                <w:color w:val="F48800"/>
                <w:sz w:val="15"/>
                <w:szCs w:val="15"/>
              </w:rPr>
              <w:t>x</w:t>
            </w:r>
            <w:r>
              <w:rPr>
                <w:rFonts w:ascii="MathJax_Main" w:eastAsia="Times New Roman" w:hAnsi="MathJax_Main" w:cs="Times New Roman"/>
                <w:color w:val="F48800"/>
                <w:sz w:val="15"/>
                <w:szCs w:val="15"/>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s</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Weekends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Weekdays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r>
    </w:tbl>
    <w:p w:rsidR="00AD77BB" w:rsidRDefault="00B45BA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5% level of significance whether the current weekend mean exceeds the weekday mean by fewer than 6.3 patients per hour.</w:t>
      </w:r>
    </w:p>
    <w:p w:rsidR="00AD77BB" w:rsidRDefault="00B45BA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observed significance of the test.</w:t>
      </w:r>
    </w:p>
    <w:p w:rsidR="00AD77BB" w:rsidRDefault="00B45BA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A sociologist surveys 50 randomly selected citizens in each of two countries to compare the mean number of hours of volunteer work done by adults in each. Among the 50 inhabitants of Lilliput, the mean hours </w:t>
      </w:r>
      <w:r>
        <w:rPr>
          <w:rFonts w:ascii="Calibri" w:eastAsia="Times New Roman" w:hAnsi="Calibri" w:cs="Times New Roman"/>
          <w:color w:val="333333"/>
          <w:sz w:val="20"/>
          <w:szCs w:val="20"/>
        </w:rPr>
        <w:lastRenderedPageBreak/>
        <w:t>of volunteer work per year was 52, with standard deviation 11.8. Among the 50 inhabitants of Blefuscu, the mean number of hours of volunteer work per year was 37, with standard deviation 7.2.</w:t>
      </w:r>
    </w:p>
    <w:p w:rsidR="00AD77BB" w:rsidRDefault="00B45BA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the 99% confidence interval for the difference in mean number of hours volunteered by all residents of Lilliput and the mean number of hours volunteered by all residents of Blefuscu.</w:t>
      </w:r>
    </w:p>
    <w:p w:rsidR="00AD77BB" w:rsidRDefault="00B45BA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1% level of significance, the claim that the mean number of hours volunteered by all residents of Lilliput is more than ten hours greater than the mean number of hours volunteered by all residents of Blefuscu.</w:t>
      </w:r>
    </w:p>
    <w:p w:rsidR="00AD77BB" w:rsidRDefault="00B45BA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observed significance of the test in part (b).</w:t>
      </w:r>
    </w:p>
    <w:p w:rsidR="00AD77BB" w:rsidRDefault="00B45BA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university administrator asserted that upperclassmen spend more time studying than underclassmen.</w:t>
      </w:r>
    </w:p>
    <w:p w:rsidR="00AD77BB" w:rsidRDefault="00B45BA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this claim against the default that the average number of hours of study per week by the two groups is the same, using the following information based on random samples from each group of students. Test at the 1% level of significance.</w:t>
      </w:r>
    </w:p>
    <w:tbl>
      <w:tblPr>
        <w:tblW w:w="0" w:type="auto"/>
        <w:tblInd w:w="450" w:type="dxa"/>
        <w:tblCellMar>
          <w:left w:w="0" w:type="dxa"/>
          <w:right w:w="0" w:type="dxa"/>
        </w:tblCellMar>
        <w:tblLook w:val="04A0" w:firstRow="1" w:lastRow="0" w:firstColumn="1" w:lastColumn="0" w:noHBand="0" w:noVBand="1"/>
      </w:tblPr>
      <w:tblGrid>
        <w:gridCol w:w="1630"/>
        <w:gridCol w:w="390"/>
        <w:gridCol w:w="570"/>
        <w:gridCol w:w="45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MathJax_Math" w:eastAsia="Times New Roman" w:hAnsi="MathJax_Math" w:cs="Times New Roman"/>
                <w:i/>
                <w:iCs/>
                <w:color w:val="F48800"/>
                <w:sz w:val="15"/>
                <w:szCs w:val="15"/>
              </w:rPr>
              <w:t>x</w:t>
            </w:r>
            <w:r>
              <w:rPr>
                <w:rFonts w:ascii="MathJax_Main" w:eastAsia="Times New Roman" w:hAnsi="MathJax_Main" w:cs="Times New Roman"/>
                <w:color w:val="F48800"/>
                <w:sz w:val="15"/>
                <w:szCs w:val="15"/>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s</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Upperclassmen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Underclassmen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r>
    </w:tbl>
    <w:p w:rsidR="00AD77BB" w:rsidRDefault="00B45BA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observed significance of the test.</w:t>
      </w:r>
    </w:p>
    <w:p w:rsidR="00AD77BB" w:rsidRDefault="00B45BA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kinesiologist claims that the resting heart rate of men aged 18 to 25 who exercise regularly is more than five beats per minute less than that of men who do not exercise regularly. Men in each category were selected at random and their resting heart rates were measured, with the results shown.</w:t>
      </w:r>
    </w:p>
    <w:tbl>
      <w:tblPr>
        <w:tblW w:w="0" w:type="auto"/>
        <w:tblInd w:w="450" w:type="dxa"/>
        <w:tblCellMar>
          <w:left w:w="0" w:type="dxa"/>
          <w:right w:w="0" w:type="dxa"/>
        </w:tblCellMar>
        <w:tblLook w:val="04A0" w:firstRow="1" w:lastRow="0" w:firstColumn="1" w:lastColumn="0" w:noHBand="0" w:noVBand="1"/>
      </w:tblPr>
      <w:tblGrid>
        <w:gridCol w:w="2029"/>
        <w:gridCol w:w="390"/>
        <w:gridCol w:w="390"/>
        <w:gridCol w:w="45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MathJax_Math" w:eastAsia="Times New Roman" w:hAnsi="MathJax_Math" w:cs="Times New Roman"/>
                <w:i/>
                <w:iCs/>
                <w:color w:val="F48800"/>
                <w:sz w:val="15"/>
                <w:szCs w:val="15"/>
              </w:rPr>
              <w:t>x</w:t>
            </w:r>
            <w:r>
              <w:rPr>
                <w:rFonts w:ascii="MathJax_Main" w:eastAsia="Times New Roman" w:hAnsi="MathJax_Main" w:cs="Times New Roman"/>
                <w:color w:val="F48800"/>
                <w:sz w:val="15"/>
                <w:szCs w:val="15"/>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s</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Regular exercise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No regular exercise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r>
    </w:tbl>
    <w:p w:rsidR="00AD77BB" w:rsidRDefault="00B45BA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Perform the relevant test of hypotheses at the 1% level of significance.</w:t>
      </w:r>
    </w:p>
    <w:p w:rsidR="00AD77BB" w:rsidRDefault="00B45BA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observed significance of the test.</w:t>
      </w:r>
    </w:p>
    <w:p w:rsidR="00AD77BB" w:rsidRDefault="00B45BA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Children in two elementary school classrooms were given two versions of the same test, but with the order of questions arranged from easier to more difficult in Version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and in reverse order in Version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Randomly selected students from each class were given Version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and the rest Version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The results are shown in the table.</w:t>
      </w:r>
    </w:p>
    <w:tbl>
      <w:tblPr>
        <w:tblW w:w="0" w:type="auto"/>
        <w:tblInd w:w="450" w:type="dxa"/>
        <w:tblCellMar>
          <w:left w:w="0" w:type="dxa"/>
          <w:right w:w="0" w:type="dxa"/>
        </w:tblCellMar>
        <w:tblLook w:val="04A0" w:firstRow="1" w:lastRow="0" w:firstColumn="1" w:lastColumn="0" w:noHBand="0" w:noVBand="1"/>
      </w:tblPr>
      <w:tblGrid>
        <w:gridCol w:w="1117"/>
        <w:gridCol w:w="390"/>
        <w:gridCol w:w="390"/>
        <w:gridCol w:w="45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MathJax_Math" w:eastAsia="Times New Roman" w:hAnsi="MathJax_Math" w:cs="Times New Roman"/>
                <w:i/>
                <w:iCs/>
                <w:color w:val="F48800"/>
                <w:sz w:val="15"/>
                <w:szCs w:val="15"/>
              </w:rPr>
              <w:t>x</w:t>
            </w:r>
            <w:r>
              <w:rPr>
                <w:rFonts w:ascii="MathJax_Main" w:eastAsia="Times New Roman" w:hAnsi="MathJax_Main" w:cs="Times New Roman"/>
                <w:color w:val="F48800"/>
                <w:sz w:val="15"/>
                <w:szCs w:val="15"/>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s</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Version </w:t>
            </w:r>
            <w:r>
              <w:rPr>
                <w:rFonts w:ascii="Times New Roman" w:eastAsia="Times New Roman" w:hAnsi="Times New Roman" w:cs="Times New Roman"/>
                <w:i/>
                <w:iCs/>
                <w:sz w:val="24"/>
                <w:szCs w:val="24"/>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Version </w:t>
            </w:r>
            <w:r>
              <w:rPr>
                <w:rFonts w:ascii="Times New Roman" w:eastAsia="Times New Roman" w:hAnsi="Times New Roman" w:cs="Times New Roman"/>
                <w:i/>
                <w:iCs/>
                <w:sz w:val="24"/>
                <w:szCs w:val="24"/>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r>
    </w:tbl>
    <w:p w:rsidR="00AD77BB" w:rsidRDefault="00B45BA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the 90% confidence interval for the difference in the means of the populations of all children taking Version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of such a test and of all children taking Version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of such a test.</w:t>
      </w:r>
    </w:p>
    <w:p w:rsidR="00AD77BB" w:rsidRDefault="00B45BA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1% level of significance the hypothesis that the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version of the test is easier than the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version (even though the questions are the same).</w:t>
      </w:r>
    </w:p>
    <w:p w:rsidR="00AD77BB" w:rsidRDefault="00B45BA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observed significance of the test.</w:t>
      </w:r>
    </w:p>
    <w:p w:rsidR="00AD77BB" w:rsidRDefault="00B45BA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Municipal Transit Authority wants to know if, on weekdays, more passengers ride the northbound blue line train towards the city center that departs at 8:15 a.m. or the one that departs at 8:30 a.m. The following sample statistics are assembled by the Transit Authority.</w:t>
      </w:r>
    </w:p>
    <w:tbl>
      <w:tblPr>
        <w:tblW w:w="0" w:type="auto"/>
        <w:tblInd w:w="450" w:type="dxa"/>
        <w:tblCellMar>
          <w:left w:w="0" w:type="dxa"/>
          <w:right w:w="0" w:type="dxa"/>
        </w:tblCellMar>
        <w:tblLook w:val="04A0" w:firstRow="1" w:lastRow="0" w:firstColumn="1" w:lastColumn="0" w:noHBand="0" w:noVBand="1"/>
      </w:tblPr>
      <w:tblGrid>
        <w:gridCol w:w="1550"/>
        <w:gridCol w:w="390"/>
        <w:gridCol w:w="510"/>
        <w:gridCol w:w="39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MathJax_Math" w:eastAsia="Times New Roman" w:hAnsi="MathJax_Math" w:cs="Times New Roman"/>
                <w:i/>
                <w:iCs/>
                <w:color w:val="F48800"/>
                <w:sz w:val="15"/>
                <w:szCs w:val="15"/>
              </w:rPr>
              <w:t>x</w:t>
            </w:r>
            <w:r>
              <w:rPr>
                <w:rFonts w:ascii="MathJax_Main" w:eastAsia="Times New Roman" w:hAnsi="MathJax_Main" w:cs="Times New Roman"/>
                <w:color w:val="F48800"/>
                <w:sz w:val="15"/>
                <w:szCs w:val="15"/>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s</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8:15 a.m. train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8:30 a.m. train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r>
    </w:tbl>
    <w:p w:rsidR="00AD77BB" w:rsidRDefault="00B45BA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the 90% confidence interval for the difference in the mean number of daily travellers on the 8:15 train and the mean number of daily travellers on the 8:30 train.</w:t>
      </w:r>
    </w:p>
    <w:p w:rsidR="00AD77BB" w:rsidRDefault="00B45BA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5% level of significance whether the data provide sufficient evidence to conclude that more passengers ride the 8:30 train.</w:t>
      </w:r>
    </w:p>
    <w:p w:rsidR="00AD77BB" w:rsidRDefault="00B45BA0">
      <w:pPr>
        <w:numPr>
          <w:ilvl w:val="1"/>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observed significance of the test.</w:t>
      </w:r>
    </w:p>
    <w:p w:rsidR="00AD77BB" w:rsidRDefault="00B45BA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comparing the academic performance of college students who are affiliated with fraternities and those male students who are unaffiliated, a random sample of students was drawn from each of the two populations on a university campus. Summary statistics on the student GPAs are given below.</w:t>
      </w:r>
    </w:p>
    <w:tbl>
      <w:tblPr>
        <w:tblW w:w="0" w:type="auto"/>
        <w:tblInd w:w="450" w:type="dxa"/>
        <w:tblCellMar>
          <w:left w:w="0" w:type="dxa"/>
          <w:right w:w="0" w:type="dxa"/>
        </w:tblCellMar>
        <w:tblLook w:val="04A0" w:firstRow="1" w:lastRow="0" w:firstColumn="1" w:lastColumn="0" w:noHBand="0" w:noVBand="1"/>
      </w:tblPr>
      <w:tblGrid>
        <w:gridCol w:w="1310"/>
        <w:gridCol w:w="510"/>
        <w:gridCol w:w="570"/>
        <w:gridCol w:w="57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MathJax_Math" w:eastAsia="Times New Roman" w:hAnsi="MathJax_Math" w:cs="Times New Roman"/>
                <w:i/>
                <w:iCs/>
                <w:color w:val="F48800"/>
                <w:sz w:val="15"/>
                <w:szCs w:val="15"/>
              </w:rPr>
              <w:t>x</w:t>
            </w:r>
            <w:r>
              <w:rPr>
                <w:rFonts w:ascii="MathJax_Main" w:eastAsia="Times New Roman" w:hAnsi="MathJax_Main" w:cs="Times New Roman"/>
                <w:color w:val="F48800"/>
                <w:sz w:val="15"/>
                <w:szCs w:val="15"/>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s</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Fraternity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0.47</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Unaffiliated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0.42</w:t>
            </w:r>
          </w:p>
        </w:tc>
      </w:tr>
    </w:tbl>
    <w:p w:rsidR="00AD77BB" w:rsidRDefault="00B45BA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5% level of significance, whether the data provide sufficient evidence to conclude that there is a difference in average GPA between the population of fraternity students and the population of unaffiliated male students on this university campus.</w:t>
      </w:r>
    </w:p>
    <w:p w:rsidR="00AD77BB" w:rsidRDefault="00B45BA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comparing the academic performance of college students who are affiliated with sororities and those female students who are unaffiliated, a random sample of students was drawn from each of the two populations on a university campus. Summary statistics on the student GPAs are given below.</w:t>
      </w:r>
    </w:p>
    <w:tbl>
      <w:tblPr>
        <w:tblW w:w="0" w:type="auto"/>
        <w:tblInd w:w="450" w:type="dxa"/>
        <w:tblCellMar>
          <w:left w:w="0" w:type="dxa"/>
          <w:right w:w="0" w:type="dxa"/>
        </w:tblCellMar>
        <w:tblLook w:val="04A0" w:firstRow="1" w:lastRow="0" w:firstColumn="1" w:lastColumn="0" w:noHBand="0" w:noVBand="1"/>
      </w:tblPr>
      <w:tblGrid>
        <w:gridCol w:w="1310"/>
        <w:gridCol w:w="510"/>
        <w:gridCol w:w="570"/>
        <w:gridCol w:w="57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MathJax_Math" w:eastAsia="Times New Roman" w:hAnsi="MathJax_Math" w:cs="Times New Roman"/>
                <w:i/>
                <w:iCs/>
                <w:color w:val="F48800"/>
                <w:sz w:val="15"/>
                <w:szCs w:val="15"/>
              </w:rPr>
              <w:t>x</w:t>
            </w:r>
            <w:r>
              <w:rPr>
                <w:rFonts w:ascii="MathJax_Main" w:eastAsia="Times New Roman" w:hAnsi="MathJax_Main" w:cs="Times New Roman"/>
                <w:color w:val="F48800"/>
                <w:sz w:val="15"/>
                <w:szCs w:val="15"/>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s</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Sorority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0.37</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Unaffiliated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0.41</w:t>
            </w:r>
          </w:p>
        </w:tc>
      </w:tr>
    </w:tbl>
    <w:p w:rsidR="00AD77BB" w:rsidRDefault="00B45BA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5% level of significance, whether the data provide sufficient evidence to conclude that there is a difference in average GPA between the population of sorority students and the population of unaffiliated female students on this university campus.</w:t>
      </w:r>
    </w:p>
    <w:p w:rsidR="00AD77BB" w:rsidRDefault="00B45BA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owner of a professional football team believes that the league has become more offense oriented since five years ago. To check his belief, 32 randomly selected games from one year’s schedule were compared to 32 randomly selected games from the schedule five years later. Since more offense produces more points per game, the owner analyzed the following information on points per game (ppg).</w:t>
      </w:r>
    </w:p>
    <w:tbl>
      <w:tblPr>
        <w:tblW w:w="0" w:type="auto"/>
        <w:tblInd w:w="450" w:type="dxa"/>
        <w:tblCellMar>
          <w:left w:w="0" w:type="dxa"/>
          <w:right w:w="0" w:type="dxa"/>
        </w:tblCellMar>
        <w:tblLook w:val="04A0" w:firstRow="1" w:lastRow="0" w:firstColumn="1" w:lastColumn="0" w:noHBand="0" w:noVBand="1"/>
      </w:tblPr>
      <w:tblGrid>
        <w:gridCol w:w="1584"/>
        <w:gridCol w:w="390"/>
        <w:gridCol w:w="690"/>
        <w:gridCol w:w="57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MathJax_Math" w:eastAsia="Times New Roman" w:hAnsi="MathJax_Math" w:cs="Times New Roman"/>
                <w:i/>
                <w:iCs/>
                <w:color w:val="F48800"/>
                <w:sz w:val="15"/>
                <w:szCs w:val="15"/>
              </w:rPr>
              <w:t>x</w:t>
            </w:r>
            <w:r>
              <w:rPr>
                <w:rFonts w:ascii="MathJax_Main" w:eastAsia="Times New Roman" w:hAnsi="MathJax_Main" w:cs="Times New Roman"/>
                <w:color w:val="F48800"/>
                <w:sz w:val="15"/>
                <w:szCs w:val="15"/>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s</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ppg previously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4.17</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ppg recently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4.01</w:t>
            </w:r>
          </w:p>
        </w:tc>
      </w:tr>
    </w:tbl>
    <w:p w:rsidR="00AD77BB" w:rsidRDefault="00B45BA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10% level of significance, whether the data on points per game provide sufficient evidence to conclude that the game has become more offense oriented.</w:t>
      </w:r>
    </w:p>
    <w:p w:rsidR="00AD77BB" w:rsidRDefault="00B45BA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owner of a professional football team believes that the league has become more offense oriented since five years ago. To check his belief, 32 randomly selected games from one year’s schedule were compared to 32 randomly selected games from the schedule five years later. Since more offense produces more offensive yards per game, the owner analyzed the following information on offensive yards per game (oypg).</w:t>
      </w:r>
    </w:p>
    <w:tbl>
      <w:tblPr>
        <w:tblW w:w="0" w:type="auto"/>
        <w:tblInd w:w="450" w:type="dxa"/>
        <w:tblCellMar>
          <w:left w:w="0" w:type="dxa"/>
          <w:right w:w="0" w:type="dxa"/>
        </w:tblCellMar>
        <w:tblLook w:val="04A0" w:firstRow="1" w:lastRow="0" w:firstColumn="1" w:lastColumn="0" w:noHBand="0" w:noVBand="1"/>
      </w:tblPr>
      <w:tblGrid>
        <w:gridCol w:w="1704"/>
        <w:gridCol w:w="390"/>
        <w:gridCol w:w="510"/>
        <w:gridCol w:w="39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MathJax_Math" w:eastAsia="Times New Roman" w:hAnsi="MathJax_Math" w:cs="Times New Roman"/>
                <w:i/>
                <w:iCs/>
                <w:color w:val="F48800"/>
                <w:sz w:val="15"/>
                <w:szCs w:val="15"/>
              </w:rPr>
              <w:t>x</w:t>
            </w:r>
            <w:r>
              <w:rPr>
                <w:rFonts w:ascii="MathJax_Main" w:eastAsia="Times New Roman" w:hAnsi="MathJax_Main" w:cs="Times New Roman"/>
                <w:color w:val="F48800"/>
                <w:sz w:val="15"/>
                <w:szCs w:val="15"/>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s</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oypg previously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oypg recently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r>
    </w:tbl>
    <w:p w:rsidR="00AD77BB" w:rsidRDefault="00B45BA0">
      <w:pPr>
        <w:numPr>
          <w:ilvl w:val="0"/>
          <w:numId w:val="22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10% level of significance, whether the data on offensive yards per game provide sufficient evidence to conclude that the game has become more offense oriented.</w:t>
      </w:r>
    </w:p>
    <w:p w:rsidR="00AD77BB" w:rsidRDefault="00AD77BB">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LARGE DATA SET EXERCISES</w:t>
      </w:r>
    </w:p>
    <w:p w:rsidR="00AD77BB" w:rsidRDefault="00B45BA0">
      <w:pPr>
        <w:numPr>
          <w:ilvl w:val="0"/>
          <w:numId w:val="227"/>
        </w:num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Large Data Sets 1A and 1B list the SAT scores for 1,000 randomly selected students. Denote the population of all male students as Population 1 and the population of all female students as Population 2.</w:t>
      </w:r>
    </w:p>
    <w:p w:rsidR="00AD77BB" w:rsidRDefault="00AD77BB">
      <w:pPr>
        <w:spacing w:after="0" w:line="360" w:lineRule="auto"/>
        <w:ind w:left="446"/>
        <w:textAlignment w:val="baseline"/>
        <w:rPr>
          <w:rFonts w:ascii="Calibri" w:eastAsia="Times New Roman" w:hAnsi="Calibri" w:cs="Times New Roman"/>
          <w:color w:val="333333"/>
          <w:sz w:val="20"/>
          <w:szCs w:val="20"/>
        </w:rPr>
      </w:pPr>
    </w:p>
    <w:p w:rsidR="00AD77BB" w:rsidRDefault="00B45BA0">
      <w:p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lastRenderedPageBreak/>
        <w:t>http://www.1A.xls</w:t>
      </w:r>
    </w:p>
    <w:p w:rsidR="00AD77BB" w:rsidRDefault="00B45BA0">
      <w:p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http://www.1B.xls</w:t>
      </w:r>
    </w:p>
    <w:p w:rsidR="00AD77BB" w:rsidRDefault="00AD77BB">
      <w:pPr>
        <w:spacing w:after="0" w:line="360" w:lineRule="auto"/>
        <w:ind w:left="446"/>
        <w:textAlignment w:val="baseline"/>
        <w:rPr>
          <w:rFonts w:ascii="Calibri" w:eastAsia="Times New Roman" w:hAnsi="Calibri" w:cs="Times New Roman"/>
          <w:color w:val="333333"/>
          <w:sz w:val="20"/>
          <w:szCs w:val="20"/>
        </w:rPr>
      </w:pPr>
    </w:p>
    <w:p w:rsidR="00AD77BB" w:rsidRDefault="00B45BA0">
      <w:pPr>
        <w:numPr>
          <w:ilvl w:val="1"/>
          <w:numId w:val="227"/>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Restricting attention to just the males, find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vertAlign w:val="subscript"/>
        </w:rPr>
        <w:t>1</w:t>
      </w:r>
      <w:r>
        <w:rPr>
          <w:rFonts w:ascii="Calibri" w:eastAsia="Times New Roman" w:hAnsi="Calibri" w:cs="Times New Roman"/>
          <w:color w:val="333333"/>
          <w:sz w:val="20"/>
          <w:szCs w:val="20"/>
        </w:rPr>
        <w:t>,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w:t>
      </w:r>
      <w:r>
        <w:rPr>
          <w:rFonts w:ascii="MathJax_Main" w:eastAsia="Times New Roman" w:hAnsi="MathJax_Main" w:cs="Times New Roman"/>
          <w:color w:val="333333"/>
          <w:sz w:val="12"/>
          <w:szCs w:val="12"/>
        </w:rPr>
        <w:t>1</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vertAlign w:val="subscript"/>
        </w:rPr>
        <w:t>1</w:t>
      </w:r>
      <w:r>
        <w:rPr>
          <w:rFonts w:ascii="Calibri" w:eastAsia="Times New Roman" w:hAnsi="Calibri" w:cs="Times New Roman"/>
          <w:color w:val="333333"/>
          <w:sz w:val="20"/>
          <w:szCs w:val="20"/>
        </w:rPr>
        <w:t>. Restricting attention to just the females, find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vertAlign w:val="subscript"/>
        </w:rPr>
        <w:t>2</w:t>
      </w:r>
      <w:r>
        <w:rPr>
          <w:rFonts w:ascii="Calibri" w:eastAsia="Times New Roman" w:hAnsi="Calibri" w:cs="Times New Roman"/>
          <w:color w:val="333333"/>
          <w:sz w:val="20"/>
          <w:szCs w:val="20"/>
        </w:rPr>
        <w:t>,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w:t>
      </w:r>
      <w:r>
        <w:rPr>
          <w:rFonts w:ascii="MathJax_Main" w:eastAsia="Times New Roman" w:hAnsi="MathJax_Main" w:cs="Times New Roman"/>
          <w:color w:val="333333"/>
          <w:sz w:val="12"/>
          <w:szCs w:val="12"/>
        </w:rPr>
        <w:t>2</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vertAlign w:val="subscript"/>
        </w:rPr>
        <w:t>2</w:t>
      </w:r>
      <w:r>
        <w:rPr>
          <w:rFonts w:ascii="Calibri" w:eastAsia="Times New Roman" w:hAnsi="Calibri" w:cs="Times New Roman"/>
          <w:color w:val="333333"/>
          <w:sz w:val="20"/>
          <w:szCs w:val="20"/>
        </w:rPr>
        <w:t>.</w:t>
      </w:r>
    </w:p>
    <w:p w:rsidR="00AD77BB" w:rsidRDefault="00B45BA0">
      <w:pPr>
        <w:numPr>
          <w:ilvl w:val="1"/>
          <w:numId w:val="227"/>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Let </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rPr>
        <w:t>1</w:t>
      </w:r>
      <w:r>
        <w:rPr>
          <w:rFonts w:ascii="Calibri" w:eastAsia="Times New Roman" w:hAnsi="Calibri" w:cs="Times New Roman"/>
          <w:color w:val="333333"/>
          <w:sz w:val="20"/>
          <w:szCs w:val="20"/>
        </w:rPr>
        <w:t> denote the mean SAT score for all males and </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rPr>
        <w:t>2</w:t>
      </w:r>
      <w:r>
        <w:rPr>
          <w:rFonts w:ascii="Calibri" w:eastAsia="Times New Roman" w:hAnsi="Calibri" w:cs="Times New Roman"/>
          <w:color w:val="333333"/>
          <w:sz w:val="20"/>
          <w:szCs w:val="20"/>
        </w:rPr>
        <w:t> the mean SAT score for all females. Use the results of part (a) to construct a 90% confidence interval for the difference </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rPr>
        <w:t>2</w:t>
      </w:r>
      <w:r>
        <w:rPr>
          <w:rFonts w:ascii="MathJax_Main" w:eastAsia="Times New Roman" w:hAnsi="MathJax_Main" w:cs="Times New Roman"/>
          <w:color w:val="333333"/>
          <w:sz w:val="15"/>
          <w:szCs w:val="15"/>
        </w:rPr>
        <w:t>.</w:t>
      </w:r>
    </w:p>
    <w:p w:rsidR="00AD77BB" w:rsidRDefault="00B45BA0">
      <w:pPr>
        <w:numPr>
          <w:ilvl w:val="1"/>
          <w:numId w:val="227"/>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5% level of significance, the hypothesis that the mean SAT scores among males exceeds that of females.</w:t>
      </w:r>
    </w:p>
    <w:p w:rsidR="00AD77BB" w:rsidRDefault="00B45BA0">
      <w:pPr>
        <w:numPr>
          <w:ilvl w:val="0"/>
          <w:numId w:val="227"/>
        </w:num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Large Data Sets 1A and 1B list the GPAs for 1,000 randomly selected students. Denote the population of all male students as Population 1 and the population of all female students as Population 2.</w:t>
      </w:r>
    </w:p>
    <w:p w:rsidR="00AD77BB" w:rsidRDefault="00AD77BB">
      <w:pPr>
        <w:spacing w:after="0" w:line="360" w:lineRule="auto"/>
        <w:ind w:left="446"/>
        <w:textAlignment w:val="baseline"/>
        <w:rPr>
          <w:rFonts w:ascii="Calibri" w:eastAsia="Times New Roman" w:hAnsi="Calibri" w:cs="Times New Roman"/>
          <w:color w:val="333333"/>
          <w:sz w:val="20"/>
          <w:szCs w:val="20"/>
        </w:rPr>
      </w:pPr>
    </w:p>
    <w:p w:rsidR="00AD77BB" w:rsidRDefault="00B45BA0">
      <w:p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http://www.1A.xls</w:t>
      </w:r>
    </w:p>
    <w:p w:rsidR="00AD77BB" w:rsidRDefault="00B45BA0">
      <w:p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http://www.1B.xls</w:t>
      </w:r>
    </w:p>
    <w:p w:rsidR="00AD77BB" w:rsidRDefault="00AD77BB">
      <w:pPr>
        <w:spacing w:after="0" w:line="360" w:lineRule="auto"/>
        <w:ind w:left="446"/>
        <w:textAlignment w:val="baseline"/>
        <w:rPr>
          <w:rFonts w:ascii="Calibri" w:eastAsia="Times New Roman" w:hAnsi="Calibri" w:cs="Times New Roman"/>
          <w:color w:val="333333"/>
          <w:sz w:val="20"/>
          <w:szCs w:val="20"/>
        </w:rPr>
      </w:pPr>
    </w:p>
    <w:p w:rsidR="00AD77BB" w:rsidRDefault="00B45BA0">
      <w:pPr>
        <w:numPr>
          <w:ilvl w:val="1"/>
          <w:numId w:val="227"/>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Restricting attention to just the males, find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vertAlign w:val="subscript"/>
        </w:rPr>
        <w:t>1</w:t>
      </w:r>
      <w:r>
        <w:rPr>
          <w:rFonts w:ascii="Calibri" w:eastAsia="Times New Roman" w:hAnsi="Calibri" w:cs="Times New Roman"/>
          <w:color w:val="333333"/>
          <w:sz w:val="20"/>
          <w:szCs w:val="20"/>
        </w:rPr>
        <w:t>,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w:t>
      </w:r>
      <w:r>
        <w:rPr>
          <w:rFonts w:ascii="MathJax_Main" w:eastAsia="Times New Roman" w:hAnsi="MathJax_Main" w:cs="Times New Roman"/>
          <w:color w:val="333333"/>
          <w:sz w:val="12"/>
          <w:szCs w:val="12"/>
        </w:rPr>
        <w:t>1</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vertAlign w:val="subscript"/>
        </w:rPr>
        <w:t>1</w:t>
      </w:r>
      <w:r>
        <w:rPr>
          <w:rFonts w:ascii="Calibri" w:eastAsia="Times New Roman" w:hAnsi="Calibri" w:cs="Times New Roman"/>
          <w:color w:val="333333"/>
          <w:sz w:val="20"/>
          <w:szCs w:val="20"/>
        </w:rPr>
        <w:t>. Restricting attention to just the females, find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vertAlign w:val="subscript"/>
        </w:rPr>
        <w:t>2</w:t>
      </w:r>
      <w:r>
        <w:rPr>
          <w:rFonts w:ascii="Calibri" w:eastAsia="Times New Roman" w:hAnsi="Calibri" w:cs="Times New Roman"/>
          <w:color w:val="333333"/>
          <w:sz w:val="20"/>
          <w:szCs w:val="20"/>
        </w:rPr>
        <w:t>,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w:t>
      </w:r>
      <w:r>
        <w:rPr>
          <w:rFonts w:ascii="MathJax_Main" w:eastAsia="Times New Roman" w:hAnsi="MathJax_Main" w:cs="Times New Roman"/>
          <w:color w:val="333333"/>
          <w:sz w:val="12"/>
          <w:szCs w:val="12"/>
        </w:rPr>
        <w:t>2</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vertAlign w:val="subscript"/>
        </w:rPr>
        <w:t>2</w:t>
      </w:r>
      <w:r>
        <w:rPr>
          <w:rFonts w:ascii="Calibri" w:eastAsia="Times New Roman" w:hAnsi="Calibri" w:cs="Times New Roman"/>
          <w:color w:val="333333"/>
          <w:sz w:val="20"/>
          <w:szCs w:val="20"/>
        </w:rPr>
        <w:t>.</w:t>
      </w:r>
    </w:p>
    <w:p w:rsidR="00AD77BB" w:rsidRDefault="00B45BA0">
      <w:pPr>
        <w:numPr>
          <w:ilvl w:val="1"/>
          <w:numId w:val="227"/>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Let </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rPr>
        <w:t>1</w:t>
      </w:r>
      <w:r>
        <w:rPr>
          <w:rFonts w:ascii="Calibri" w:eastAsia="Times New Roman" w:hAnsi="Calibri" w:cs="Times New Roman"/>
          <w:color w:val="333333"/>
          <w:sz w:val="20"/>
          <w:szCs w:val="20"/>
        </w:rPr>
        <w:t> denote the mean GPA for all males and </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rPr>
        <w:t>2</w:t>
      </w:r>
      <w:r>
        <w:rPr>
          <w:rFonts w:ascii="Calibri" w:eastAsia="Times New Roman" w:hAnsi="Calibri" w:cs="Times New Roman"/>
          <w:color w:val="333333"/>
          <w:sz w:val="20"/>
          <w:szCs w:val="20"/>
        </w:rPr>
        <w:t> the mean GPA for all females. Use the results of part (a) to construct a 95% confidence interval for the difference </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rPr>
        <w:t>2</w:t>
      </w:r>
      <w:r>
        <w:rPr>
          <w:rFonts w:ascii="MathJax_Main" w:eastAsia="Times New Roman" w:hAnsi="MathJax_Main" w:cs="Times New Roman"/>
          <w:color w:val="333333"/>
          <w:sz w:val="15"/>
          <w:szCs w:val="15"/>
        </w:rPr>
        <w:t>.</w:t>
      </w:r>
    </w:p>
    <w:p w:rsidR="00AD77BB" w:rsidRDefault="00B45BA0">
      <w:pPr>
        <w:numPr>
          <w:ilvl w:val="1"/>
          <w:numId w:val="227"/>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10% level of significance, the hypothesis that the mean GPAs among males and females differ.</w:t>
      </w:r>
    </w:p>
    <w:p w:rsidR="00AD77BB" w:rsidRDefault="00B45BA0">
      <w:pPr>
        <w:numPr>
          <w:ilvl w:val="0"/>
          <w:numId w:val="227"/>
        </w:num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Large Data Sets 7A and 7B list the survival times for 65 male and 75 female laboratory mice with thymic leukemia. Denote the population of all such male mice as Population 1 and the population of all such female mice as Population 2.</w:t>
      </w:r>
    </w:p>
    <w:p w:rsidR="00AD77BB" w:rsidRDefault="00AD77BB">
      <w:pPr>
        <w:spacing w:after="0" w:line="360" w:lineRule="auto"/>
        <w:ind w:left="446"/>
        <w:textAlignment w:val="baseline"/>
        <w:rPr>
          <w:rFonts w:ascii="Calibri" w:eastAsia="Times New Roman" w:hAnsi="Calibri" w:cs="Times New Roman"/>
          <w:color w:val="333333"/>
          <w:sz w:val="20"/>
          <w:szCs w:val="20"/>
        </w:rPr>
      </w:pPr>
    </w:p>
    <w:p w:rsidR="00AD77BB" w:rsidRDefault="00B45BA0">
      <w:p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http://www.7A.xls</w:t>
      </w:r>
    </w:p>
    <w:p w:rsidR="00AD77BB" w:rsidRDefault="00B45BA0">
      <w:p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http://www.7B.xls</w:t>
      </w:r>
    </w:p>
    <w:p w:rsidR="00AD77BB" w:rsidRDefault="00AD77BB">
      <w:pPr>
        <w:spacing w:after="0" w:line="360" w:lineRule="auto"/>
        <w:ind w:left="446"/>
        <w:textAlignment w:val="baseline"/>
        <w:rPr>
          <w:rFonts w:ascii="Calibri" w:eastAsia="Times New Roman" w:hAnsi="Calibri" w:cs="Times New Roman"/>
          <w:color w:val="333333"/>
          <w:sz w:val="20"/>
          <w:szCs w:val="20"/>
        </w:rPr>
      </w:pPr>
    </w:p>
    <w:p w:rsidR="00AD77BB" w:rsidRDefault="00B45BA0">
      <w:pPr>
        <w:numPr>
          <w:ilvl w:val="1"/>
          <w:numId w:val="227"/>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Restricting attention to just the males, find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vertAlign w:val="subscript"/>
        </w:rPr>
        <w:t>1</w:t>
      </w:r>
      <w:r>
        <w:rPr>
          <w:rFonts w:ascii="Calibri" w:eastAsia="Times New Roman" w:hAnsi="Calibri" w:cs="Times New Roman"/>
          <w:color w:val="333333"/>
          <w:sz w:val="20"/>
          <w:szCs w:val="20"/>
        </w:rPr>
        <w:t>,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w:t>
      </w:r>
      <w:r>
        <w:rPr>
          <w:rFonts w:ascii="MathJax_Main" w:eastAsia="Times New Roman" w:hAnsi="MathJax_Main" w:cs="Times New Roman"/>
          <w:color w:val="333333"/>
          <w:sz w:val="12"/>
          <w:szCs w:val="12"/>
        </w:rPr>
        <w:t>1</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vertAlign w:val="subscript"/>
        </w:rPr>
        <w:t>1</w:t>
      </w:r>
      <w:r>
        <w:rPr>
          <w:rFonts w:ascii="Calibri" w:eastAsia="Times New Roman" w:hAnsi="Calibri" w:cs="Times New Roman"/>
          <w:color w:val="333333"/>
          <w:sz w:val="20"/>
          <w:szCs w:val="20"/>
        </w:rPr>
        <w:t>. Restricting attention to just the females, find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vertAlign w:val="subscript"/>
        </w:rPr>
        <w:t>2</w:t>
      </w:r>
      <w:r>
        <w:rPr>
          <w:rFonts w:ascii="Calibri" w:eastAsia="Times New Roman" w:hAnsi="Calibri" w:cs="Times New Roman"/>
          <w:color w:val="333333"/>
          <w:sz w:val="20"/>
          <w:szCs w:val="20"/>
        </w:rPr>
        <w:t>, </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w:t>
      </w:r>
      <w:r>
        <w:rPr>
          <w:rFonts w:ascii="MathJax_Main" w:eastAsia="Times New Roman" w:hAnsi="MathJax_Main" w:cs="Times New Roman"/>
          <w:color w:val="333333"/>
          <w:sz w:val="12"/>
          <w:szCs w:val="12"/>
        </w:rPr>
        <w:t>2</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s</w:t>
      </w:r>
      <w:r>
        <w:rPr>
          <w:rFonts w:ascii="Calibri" w:eastAsia="Times New Roman" w:hAnsi="Calibri" w:cs="Times New Roman"/>
          <w:color w:val="333333"/>
          <w:sz w:val="20"/>
          <w:szCs w:val="20"/>
          <w:vertAlign w:val="subscript"/>
        </w:rPr>
        <w:t>2</w:t>
      </w:r>
      <w:r>
        <w:rPr>
          <w:rFonts w:ascii="Calibri" w:eastAsia="Times New Roman" w:hAnsi="Calibri" w:cs="Times New Roman"/>
          <w:color w:val="333333"/>
          <w:sz w:val="20"/>
          <w:szCs w:val="20"/>
        </w:rPr>
        <w:t>.</w:t>
      </w:r>
    </w:p>
    <w:p w:rsidR="00AD77BB" w:rsidRDefault="00B45BA0">
      <w:pPr>
        <w:numPr>
          <w:ilvl w:val="1"/>
          <w:numId w:val="227"/>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Let </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rPr>
        <w:t>1</w:t>
      </w:r>
      <w:r>
        <w:rPr>
          <w:rFonts w:ascii="Calibri" w:eastAsia="Times New Roman" w:hAnsi="Calibri" w:cs="Times New Roman"/>
          <w:color w:val="333333"/>
          <w:sz w:val="20"/>
          <w:szCs w:val="20"/>
        </w:rPr>
        <w:t> denote the mean survival for all males and </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rPr>
        <w:t>2</w:t>
      </w:r>
      <w:r>
        <w:rPr>
          <w:rFonts w:ascii="Calibri" w:eastAsia="Times New Roman" w:hAnsi="Calibri" w:cs="Times New Roman"/>
          <w:color w:val="333333"/>
          <w:sz w:val="20"/>
          <w:szCs w:val="20"/>
        </w:rPr>
        <w:t> the mean survival time for all females. Use the results of part (a) to construct a 99% confidence interval for the difference </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rPr>
        <w:t>2</w:t>
      </w:r>
      <w:r>
        <w:rPr>
          <w:rFonts w:ascii="MathJax_Main" w:eastAsia="Times New Roman" w:hAnsi="MathJax_Main" w:cs="Times New Roman"/>
          <w:color w:val="333333"/>
          <w:sz w:val="15"/>
          <w:szCs w:val="15"/>
        </w:rPr>
        <w:t>.</w:t>
      </w:r>
    </w:p>
    <w:p w:rsidR="00AD77BB" w:rsidRDefault="00B45BA0">
      <w:pPr>
        <w:numPr>
          <w:ilvl w:val="1"/>
          <w:numId w:val="227"/>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1% level of significance, the hypothesis that the mean survival time for males exceeds that for females by more than 182 days (half a year).</w:t>
      </w:r>
    </w:p>
    <w:p w:rsidR="00AD77BB" w:rsidRDefault="00B45BA0">
      <w:pPr>
        <w:numPr>
          <w:ilvl w:val="1"/>
          <w:numId w:val="227"/>
        </w:numPr>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observed significance of the test in part (c).</w:t>
      </w:r>
    </w:p>
    <w:p w:rsidR="00AD77BB" w:rsidRDefault="00B45BA0">
      <w:pPr>
        <w:shd w:val="clear" w:color="auto" w:fill="DAEEF3" w:themeFill="accent5" w:themeFillTint="33"/>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09EBADBF" wp14:editId="317538FA">
            <wp:extent cx="5257800" cy="6134100"/>
            <wp:effectExtent l="0" t="0" r="0" b="0"/>
            <wp:docPr id="319"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257800" cy="6134100"/>
                    </a:xfrm>
                    <a:prstGeom prst="rect">
                      <a:avLst/>
                    </a:prstGeom>
                    <a:noFill/>
                    <a:ln>
                      <a:noFill/>
                    </a:ln>
                  </pic:spPr>
                </pic:pic>
              </a:graphicData>
            </a:graphic>
          </wp:inline>
        </w:drawing>
      </w:r>
    </w:p>
    <w:p w:rsidR="00AD77BB" w:rsidRDefault="00B45BA0">
      <w:pPr>
        <w:shd w:val="clear" w:color="auto" w:fill="DAEEF3" w:themeFill="accent5" w:themeFillTint="33"/>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79179852" wp14:editId="193B8943">
            <wp:extent cx="5105400" cy="4876800"/>
            <wp:effectExtent l="0" t="0" r="0" b="0"/>
            <wp:docPr id="320"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105400" cy="4876800"/>
                    </a:xfrm>
                    <a:prstGeom prst="rect">
                      <a:avLst/>
                    </a:prstGeom>
                    <a:noFill/>
                    <a:ln>
                      <a:noFill/>
                    </a:ln>
                  </pic:spPr>
                </pic:pic>
              </a:graphicData>
            </a:graphic>
          </wp:inline>
        </w:drawing>
      </w: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B45BA0">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9.2</w:t>
      </w:r>
      <w:r>
        <w:rPr>
          <w:rFonts w:ascii="Calibri" w:eastAsia="Times New Roman" w:hAnsi="Calibri" w:cs="Times New Roman"/>
          <w:b/>
          <w:bCs/>
          <w:color w:val="333333"/>
          <w:sz w:val="36"/>
          <w:szCs w:val="36"/>
        </w:rPr>
        <w:t> Comparison of Two Population Means: Small, Independent Samples</w:t>
      </w:r>
    </w:p>
    <w:p w:rsidR="00AD77BB" w:rsidRDefault="00B45BA0">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AD77BB" w:rsidRDefault="00B45BA0">
      <w:pPr>
        <w:numPr>
          <w:ilvl w:val="0"/>
          <w:numId w:val="228"/>
        </w:numPr>
        <w:shd w:val="clear" w:color="auto" w:fill="EAE9DC"/>
        <w:spacing w:after="0"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how to construct a confidence interval for the difference in the means of two distinct populations using small, independent samples.</w:t>
      </w:r>
    </w:p>
    <w:p w:rsidR="00AD77BB" w:rsidRDefault="00B45BA0">
      <w:pPr>
        <w:numPr>
          <w:ilvl w:val="0"/>
          <w:numId w:val="228"/>
        </w:numPr>
        <w:shd w:val="clear" w:color="auto" w:fill="EAE9DC"/>
        <w:spacing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how to perform a test of hypotheses concerning the difference between the means of two distinct populations using small, independent samples.</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When one or the other of the sample sizes is small, as is often the case in practice, the Central Limit Theorem does not apply. We must then impose conditions on the population to give statistical validity to the test procedure. We will assume that both populations from which the samples are taken have a normal probability distribution and that their standard deviations are equal.</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Confidence Intervals</w:t>
      </w:r>
    </w:p>
    <w:p w:rsidR="00AD77BB" w:rsidRDefault="00B45BA0">
      <w:pPr>
        <w:shd w:val="clear" w:color="auto" w:fill="FFFFFF"/>
        <w:spacing w:after="0" w:line="360" w:lineRule="auto"/>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When the two populations are normally distributed and have equal standard deviations, the following formula for a confidence interval for </w:t>
      </w:r>
      <w:r>
        <w:rPr>
          <w:rFonts w:ascii="MathJax_Math" w:eastAsia="Times New Roman" w:hAnsi="MathJax_Math" w:cs="Times New Roman"/>
          <w:i/>
          <w:iCs/>
          <w:color w:val="333333"/>
          <w:sz w:val="18"/>
          <w:szCs w:val="18"/>
        </w:rPr>
        <w:t>μ</w:t>
      </w:r>
      <w:r>
        <w:rPr>
          <w:rFonts w:ascii="MathJax_Main" w:eastAsia="Times New Roman" w:hAnsi="MathJax_Main" w:cs="Times New Roman"/>
          <w:color w:val="333333"/>
          <w:sz w:val="14"/>
          <w:szCs w:val="14"/>
          <w:vertAlign w:val="subscript"/>
        </w:rPr>
        <w:t>1</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μ</w:t>
      </w:r>
      <w:r>
        <w:rPr>
          <w:rFonts w:ascii="MathJax_Main" w:eastAsia="Times New Roman" w:hAnsi="MathJax_Main" w:cs="Times New Roman"/>
          <w:color w:val="333333"/>
          <w:sz w:val="14"/>
          <w:szCs w:val="14"/>
          <w:vertAlign w:val="subscript"/>
        </w:rPr>
        <w:t>2</w:t>
      </w:r>
      <w:r>
        <w:rPr>
          <w:rFonts w:ascii="Georgia" w:eastAsia="Times New Roman" w:hAnsi="Georgia" w:cs="Times New Roman"/>
          <w:color w:val="333333"/>
          <w:sz w:val="20"/>
          <w:szCs w:val="20"/>
        </w:rPr>
        <w:t> is valid.</w:t>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drawing>
          <wp:inline distT="0" distB="0" distL="0" distR="0" wp14:anchorId="1C0D9267" wp14:editId="4FB642B2">
            <wp:extent cx="5467350" cy="4133850"/>
            <wp:effectExtent l="0" t="0" r="0" b="0"/>
            <wp:docPr id="321"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467350" cy="4133850"/>
                    </a:xfrm>
                    <a:prstGeom prst="rect">
                      <a:avLst/>
                    </a:prstGeom>
                    <a:noFill/>
                    <a:ln>
                      <a:noFill/>
                    </a:ln>
                  </pic:spPr>
                </pic:pic>
              </a:graphicData>
            </a:graphic>
          </wp:inline>
        </w:drawing>
      </w:r>
    </w:p>
    <w:p w:rsidR="00AD77BB" w:rsidRDefault="00AD77BB">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lastRenderedPageBreak/>
        <w:t>EXAMPLE 4</w:t>
      </w:r>
    </w:p>
    <w:p w:rsidR="00AD77BB" w:rsidRDefault="00B45BA0">
      <w:pPr>
        <w:pStyle w:val="para"/>
        <w:shd w:val="clear" w:color="auto" w:fill="DAEEF3" w:themeFill="accent5" w:themeFillTint="33"/>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A software company markets a new computer game with two experimental packaging designs. Design 1 is sent to 11 stores; their average sales the first month is 52 units with sample standard deviation 12 units. Design 2 is sent to 6 stores; their average sales the first month is 46 units with sample standard deviation 10 units. Construct a point estimate and a 95% confidence interval for the difference in average monthly sales between the two package designs.</w:t>
      </w:r>
    </w:p>
    <w:p w:rsidR="00AD77BB" w:rsidRDefault="00AD77BB">
      <w:pPr>
        <w:pStyle w:val="para"/>
        <w:shd w:val="clear" w:color="auto" w:fill="DAEEF3" w:themeFill="accent5" w:themeFillTint="33"/>
        <w:spacing w:before="150" w:beforeAutospacing="0" w:after="0" w:afterAutospacing="0" w:line="360" w:lineRule="auto"/>
        <w:ind w:left="302" w:right="374"/>
        <w:textAlignment w:val="baseline"/>
        <w:rPr>
          <w:rFonts w:ascii="Calibri" w:hAnsi="Calibri"/>
          <w:color w:val="333333"/>
          <w:sz w:val="21"/>
          <w:szCs w:val="21"/>
        </w:rPr>
      </w:pPr>
    </w:p>
    <w:p w:rsidR="00AD77BB" w:rsidRDefault="00B45BA0">
      <w:pPr>
        <w:pStyle w:val="simpara"/>
        <w:shd w:val="clear" w:color="auto" w:fill="DAEEF3" w:themeFill="accent5" w:themeFillTint="33"/>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Solution:</w:t>
      </w:r>
    </w:p>
    <w:p w:rsidR="00AD77BB" w:rsidRDefault="00B45BA0">
      <w:pPr>
        <w:shd w:val="clear" w:color="auto" w:fill="DAEEF3" w:themeFill="accent5" w:themeFillTint="33"/>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shd w:val="clear" w:color="auto" w:fill="DAEEF3" w:themeFill="accent5" w:themeFillTint="33"/>
        </w:rPr>
        <w:drawing>
          <wp:inline distT="0" distB="0" distL="0" distR="0" wp14:anchorId="1E29993B" wp14:editId="3CE83BDC">
            <wp:extent cx="4705350" cy="5638800"/>
            <wp:effectExtent l="0" t="0" r="0" b="0"/>
            <wp:docPr id="322"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705350" cy="563880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344D2F14" wp14:editId="1013E909">
            <wp:extent cx="5029200" cy="5057775"/>
            <wp:effectExtent l="0" t="0" r="0" b="9525"/>
            <wp:docPr id="323"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029200" cy="505777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66DFBEC8" wp14:editId="30A6E78F">
            <wp:extent cx="5048250" cy="6124575"/>
            <wp:effectExtent l="0" t="0" r="0" b="9525"/>
            <wp:docPr id="324"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048250" cy="612457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0E0E17D1" wp14:editId="4DB46F9D">
            <wp:extent cx="5076825" cy="5762625"/>
            <wp:effectExtent l="0" t="0" r="9525" b="9525"/>
            <wp:docPr id="325"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076825" cy="576262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240" w:right="374"/>
        <w:textAlignment w:val="baseline"/>
        <w:rPr>
          <w:rFonts w:ascii="Calibri" w:hAnsi="Calibri"/>
          <w:color w:val="333333"/>
          <w:sz w:val="20"/>
          <w:szCs w:val="20"/>
          <w:shd w:val="clear" w:color="auto" w:fill="E3EFF7"/>
        </w:rPr>
      </w:pPr>
      <w:r>
        <w:rPr>
          <w:rFonts w:ascii="Calibri" w:hAnsi="Calibri"/>
          <w:color w:val="333333"/>
          <w:sz w:val="20"/>
          <w:szCs w:val="20"/>
          <w:shd w:val="clear" w:color="auto" w:fill="E3EFF7"/>
        </w:rPr>
        <w:t>The data do not provide sufficient evidence, at the 1% level of significance, to conclude that the mean sales per month of the two designs are different.</w:t>
      </w:r>
    </w:p>
    <w:p w:rsidR="00AD77BB" w:rsidRDefault="00AD77BB">
      <w:pPr>
        <w:shd w:val="clear" w:color="auto" w:fill="FFFFFF" w:themeFill="background1"/>
        <w:spacing w:after="0" w:line="360" w:lineRule="auto"/>
        <w:ind w:left="240" w:right="374"/>
        <w:textAlignment w:val="baseline"/>
        <w:rPr>
          <w:rFonts w:ascii="Calibri" w:hAnsi="Calibri"/>
          <w:color w:val="333333"/>
          <w:sz w:val="20"/>
          <w:szCs w:val="20"/>
          <w:shd w:val="clear" w:color="auto" w:fill="E3EFF7"/>
        </w:rPr>
      </w:pP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6</w:t>
      </w:r>
    </w:p>
    <w:p w:rsidR="00AD77BB" w:rsidRDefault="00B45BA0">
      <w:pPr>
        <w:pStyle w:val="para"/>
        <w:shd w:val="clear" w:color="auto" w:fill="E3EFF7"/>
        <w:spacing w:before="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Perform the test of</w:t>
      </w:r>
      <w:r>
        <w:rPr>
          <w:rStyle w:val="apple-converted-space"/>
          <w:rFonts w:ascii="Calibri" w:hAnsi="Calibri"/>
          <w:color w:val="333333"/>
          <w:sz w:val="20"/>
          <w:szCs w:val="20"/>
        </w:rPr>
        <w:t> </w:t>
      </w:r>
      <w:r>
        <w:rPr>
          <w:rFonts w:ascii="Calibri" w:hAnsi="Calibri"/>
          <w:color w:val="2689C6"/>
          <w:sz w:val="20"/>
          <w:szCs w:val="20"/>
        </w:rPr>
        <w:t>Note 9.13 "Example 5"</w:t>
      </w:r>
      <w:r>
        <w:rPr>
          <w:rStyle w:val="apple-converted-space"/>
          <w:rFonts w:ascii="Calibri" w:hAnsi="Calibri"/>
          <w:color w:val="333333"/>
          <w:sz w:val="20"/>
          <w:szCs w:val="20"/>
        </w:rPr>
        <w:t> </w:t>
      </w:r>
      <w:r>
        <w:rPr>
          <w:rFonts w:ascii="Calibri" w:hAnsi="Calibri"/>
          <w:color w:val="333333"/>
          <w:sz w:val="20"/>
          <w:szCs w:val="20"/>
        </w:rPr>
        <w:t>using the</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-value approach.</w:t>
      </w:r>
    </w:p>
    <w:p w:rsidR="00AD77BB" w:rsidRDefault="00B45BA0">
      <w:pPr>
        <w:pStyle w:val="simpara"/>
        <w:shd w:val="clear" w:color="auto" w:fill="E3EFF7"/>
        <w:spacing w:before="15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Solution:</w:t>
      </w:r>
    </w:p>
    <w:p w:rsidR="00AD77BB" w:rsidRDefault="00AD77BB">
      <w:pPr>
        <w:pStyle w:val="simpara"/>
        <w:shd w:val="clear" w:color="auto" w:fill="E3EFF7"/>
        <w:spacing w:before="150" w:beforeAutospacing="0" w:after="0" w:afterAutospacing="0" w:line="360" w:lineRule="auto"/>
        <w:ind w:left="300" w:right="375"/>
        <w:textAlignment w:val="baseline"/>
        <w:rPr>
          <w:rFonts w:ascii="Calibri" w:hAnsi="Calibri"/>
          <w:color w:val="333333"/>
          <w:sz w:val="20"/>
          <w:szCs w:val="20"/>
        </w:rPr>
      </w:pPr>
    </w:p>
    <w:p w:rsidR="00AD77BB" w:rsidRDefault="00B45BA0">
      <w:pPr>
        <w:pStyle w:val="para"/>
        <w:shd w:val="clear" w:color="auto" w:fill="E3EFF7"/>
        <w:spacing w:before="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The first three steps are identical to those in</w:t>
      </w:r>
      <w:r>
        <w:rPr>
          <w:rStyle w:val="apple-converted-space"/>
          <w:rFonts w:ascii="Calibri" w:hAnsi="Calibri"/>
          <w:color w:val="333333"/>
          <w:sz w:val="20"/>
          <w:szCs w:val="20"/>
        </w:rPr>
        <w:t> </w:t>
      </w:r>
      <w:r>
        <w:rPr>
          <w:rFonts w:ascii="Calibri" w:hAnsi="Calibri"/>
          <w:color w:val="2689C6"/>
          <w:sz w:val="20"/>
          <w:szCs w:val="20"/>
        </w:rPr>
        <w:t>Note 9.13 "Example 5"</w:t>
      </w:r>
      <w:r>
        <w:rPr>
          <w:rFonts w:ascii="Calibri" w:hAnsi="Calibri"/>
          <w:color w:val="333333"/>
          <w:sz w:val="20"/>
          <w:szCs w:val="20"/>
        </w:rPr>
        <w:t>.</w:t>
      </w:r>
    </w:p>
    <w:p w:rsidR="00AD77BB" w:rsidRDefault="00B45BA0">
      <w:pPr>
        <w:pStyle w:val="para"/>
        <w:numPr>
          <w:ilvl w:val="0"/>
          <w:numId w:val="229"/>
        </w:numPr>
        <w:shd w:val="clear" w:color="auto" w:fill="E3EFF7"/>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lastRenderedPageBreak/>
        <w:t>Step 4. Because the test is two-tailed the observed significance or</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-value of the test is the double of the area of the right tail of Student’s</w:t>
      </w:r>
      <w:r>
        <w:rPr>
          <w:rStyle w:val="Emphasis"/>
          <w:rFonts w:ascii="Calibri" w:hAnsi="Calibri"/>
          <w:color w:val="333333"/>
          <w:sz w:val="20"/>
          <w:szCs w:val="20"/>
        </w:rPr>
        <w:t>t</w:t>
      </w:r>
      <w:r>
        <w:rPr>
          <w:rFonts w:ascii="Calibri" w:hAnsi="Calibri"/>
          <w:color w:val="333333"/>
          <w:sz w:val="20"/>
          <w:szCs w:val="20"/>
        </w:rPr>
        <w:t>-distribution, with 15 degrees of freedom, that is cut off by the test statistic</w:t>
      </w:r>
      <w:r>
        <w:rPr>
          <w:rStyle w:val="apple-converted-space"/>
          <w:rFonts w:ascii="Calibri" w:hAnsi="Calibri"/>
          <w:color w:val="333333"/>
          <w:sz w:val="20"/>
          <w:szCs w:val="20"/>
        </w:rPr>
        <w:t> </w:t>
      </w:r>
      <w:r>
        <w:rPr>
          <w:rStyle w:val="Emphasis"/>
          <w:rFonts w:ascii="Calibri" w:hAnsi="Calibri"/>
          <w:color w:val="333333"/>
          <w:sz w:val="20"/>
          <w:szCs w:val="20"/>
        </w:rPr>
        <w:t>T</w:t>
      </w:r>
      <w:r>
        <w:rPr>
          <w:rStyle w:val="apple-converted-space"/>
          <w:rFonts w:ascii="Calibri" w:hAnsi="Calibri"/>
          <w:color w:val="333333"/>
          <w:sz w:val="20"/>
          <w:szCs w:val="20"/>
        </w:rPr>
        <w:t> </w:t>
      </w:r>
      <w:r>
        <w:rPr>
          <w:rFonts w:ascii="Calibri" w:hAnsi="Calibri"/>
          <w:color w:val="333333"/>
          <w:sz w:val="20"/>
          <w:szCs w:val="20"/>
        </w:rPr>
        <w:t>= 1.040. We can only approximate this number. Looking in the row of</w:t>
      </w:r>
      <w:r>
        <w:rPr>
          <w:rStyle w:val="apple-converted-space"/>
          <w:rFonts w:ascii="Calibri" w:hAnsi="Calibri"/>
          <w:color w:val="333333"/>
          <w:sz w:val="20"/>
          <w:szCs w:val="20"/>
        </w:rPr>
        <w:t> </w:t>
      </w:r>
      <w:r>
        <w:rPr>
          <w:rFonts w:ascii="Calibri" w:hAnsi="Calibri"/>
          <w:color w:val="2689C6"/>
          <w:sz w:val="20"/>
          <w:szCs w:val="20"/>
        </w:rPr>
        <w:t>Figure 12.3 "Critical Values of "</w:t>
      </w:r>
      <w:r>
        <w:rPr>
          <w:rStyle w:val="apple-converted-space"/>
          <w:rFonts w:ascii="Calibri" w:hAnsi="Calibri"/>
          <w:color w:val="333333"/>
          <w:sz w:val="20"/>
          <w:szCs w:val="20"/>
        </w:rPr>
        <w:t> </w:t>
      </w:r>
      <w:r>
        <w:rPr>
          <w:rFonts w:ascii="Calibri" w:hAnsi="Calibri"/>
          <w:color w:val="333333"/>
          <w:sz w:val="20"/>
          <w:szCs w:val="20"/>
        </w:rPr>
        <w:t>headed</w:t>
      </w:r>
      <w:r>
        <w:rPr>
          <w:rStyle w:val="apple-converted-space"/>
          <w:rFonts w:ascii="Calibri" w:hAnsi="Calibri"/>
          <w:color w:val="333333"/>
          <w:sz w:val="20"/>
          <w:szCs w:val="20"/>
        </w:rPr>
        <w:t> </w:t>
      </w:r>
      <w:r>
        <w:rPr>
          <w:rStyle w:val="mi"/>
          <w:rFonts w:ascii="MathJax_Math" w:hAnsi="MathJax_Math"/>
          <w:i/>
          <w:iCs/>
          <w:color w:val="333333"/>
          <w:sz w:val="15"/>
          <w:szCs w:val="15"/>
        </w:rPr>
        <w:t>df</w:t>
      </w:r>
      <w:r>
        <w:rPr>
          <w:rStyle w:val="mo"/>
          <w:rFonts w:ascii="MathJax_Main" w:hAnsi="MathJax_Main"/>
          <w:color w:val="333333"/>
          <w:sz w:val="15"/>
          <w:szCs w:val="15"/>
        </w:rPr>
        <w:t>=</w:t>
      </w:r>
      <w:r>
        <w:rPr>
          <w:rStyle w:val="mn"/>
          <w:rFonts w:ascii="MathJax_Main" w:hAnsi="MathJax_Main"/>
          <w:color w:val="333333"/>
          <w:sz w:val="15"/>
          <w:szCs w:val="15"/>
        </w:rPr>
        <w:t>15</w:t>
      </w:r>
      <w:r>
        <w:rPr>
          <w:rFonts w:ascii="Calibri" w:hAnsi="Calibri"/>
          <w:color w:val="333333"/>
          <w:sz w:val="20"/>
          <w:szCs w:val="20"/>
        </w:rPr>
        <w:t>, the number 1.040 is between the numbers 0.866 and 1.341, corresponding to</w:t>
      </w:r>
      <w:r>
        <w:rPr>
          <w:rStyle w:val="Emphasis"/>
          <w:rFonts w:ascii="Calibri" w:hAnsi="Calibri"/>
          <w:color w:val="333333"/>
          <w:sz w:val="20"/>
          <w:szCs w:val="20"/>
        </w:rPr>
        <w:t>t</w:t>
      </w:r>
      <w:r>
        <w:rPr>
          <w:rFonts w:ascii="Calibri" w:hAnsi="Calibri"/>
          <w:color w:val="333333"/>
          <w:sz w:val="15"/>
          <w:szCs w:val="15"/>
          <w:vertAlign w:val="subscript"/>
        </w:rPr>
        <w:t>0.200</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Emphasis"/>
          <w:rFonts w:ascii="Calibri" w:hAnsi="Calibri"/>
          <w:color w:val="333333"/>
          <w:sz w:val="20"/>
          <w:szCs w:val="20"/>
        </w:rPr>
        <w:t>t</w:t>
      </w:r>
      <w:r>
        <w:rPr>
          <w:rFonts w:ascii="Calibri" w:hAnsi="Calibri"/>
          <w:color w:val="333333"/>
          <w:sz w:val="15"/>
          <w:szCs w:val="15"/>
          <w:vertAlign w:val="subscript"/>
        </w:rPr>
        <w:t>0.100</w:t>
      </w:r>
      <w:r>
        <w:rPr>
          <w:rFonts w:ascii="Calibri" w:hAnsi="Calibri"/>
          <w:color w:val="333333"/>
          <w:sz w:val="20"/>
          <w:szCs w:val="20"/>
        </w:rPr>
        <w:t>.</w:t>
      </w:r>
    </w:p>
    <w:p w:rsidR="00AD77BB" w:rsidRDefault="00AD77BB">
      <w:pPr>
        <w:pStyle w:val="para"/>
        <w:shd w:val="clear" w:color="auto" w:fill="E3EFF7"/>
        <w:spacing w:before="0" w:beforeAutospacing="0" w:after="0" w:afterAutospacing="0" w:line="360" w:lineRule="auto"/>
        <w:ind w:left="600" w:right="750"/>
        <w:textAlignment w:val="baseline"/>
        <w:rPr>
          <w:rFonts w:ascii="Calibri" w:hAnsi="Calibri"/>
          <w:color w:val="333333"/>
          <w:sz w:val="20"/>
          <w:szCs w:val="20"/>
        </w:rPr>
      </w:pPr>
    </w:p>
    <w:p w:rsidR="00AD77BB" w:rsidRDefault="00B45BA0">
      <w:pPr>
        <w:pStyle w:val="para"/>
        <w:shd w:val="clear" w:color="auto" w:fill="E3EFF7"/>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The area cut off by</w:t>
      </w:r>
      <w:r>
        <w:rPr>
          <w:rStyle w:val="apple-converted-space"/>
          <w:rFonts w:ascii="Calibri" w:hAnsi="Calibri"/>
          <w:color w:val="333333"/>
          <w:sz w:val="20"/>
          <w:szCs w:val="20"/>
        </w:rPr>
        <w:t> </w:t>
      </w:r>
      <w:r>
        <w:rPr>
          <w:rStyle w:val="Emphasis"/>
          <w:rFonts w:ascii="Calibri" w:hAnsi="Calibri"/>
          <w:color w:val="333333"/>
          <w:sz w:val="20"/>
          <w:szCs w:val="20"/>
        </w:rPr>
        <w:t>t</w:t>
      </w:r>
      <w:r>
        <w:rPr>
          <w:rStyle w:val="apple-converted-space"/>
          <w:rFonts w:ascii="Calibri" w:hAnsi="Calibri"/>
          <w:color w:val="333333"/>
          <w:sz w:val="20"/>
          <w:szCs w:val="20"/>
        </w:rPr>
        <w:t> </w:t>
      </w:r>
      <w:r>
        <w:rPr>
          <w:rFonts w:ascii="Calibri" w:hAnsi="Calibri"/>
          <w:color w:val="333333"/>
          <w:sz w:val="20"/>
          <w:szCs w:val="20"/>
        </w:rPr>
        <w:t>= 0.866 is 0.200 and the area cut off by</w:t>
      </w:r>
      <w:r>
        <w:rPr>
          <w:rStyle w:val="apple-converted-space"/>
          <w:rFonts w:ascii="Calibri" w:hAnsi="Calibri"/>
          <w:color w:val="333333"/>
          <w:sz w:val="20"/>
          <w:szCs w:val="20"/>
        </w:rPr>
        <w:t> </w:t>
      </w:r>
      <w:r>
        <w:rPr>
          <w:rStyle w:val="Emphasis"/>
          <w:rFonts w:ascii="Calibri" w:hAnsi="Calibri"/>
          <w:color w:val="333333"/>
          <w:sz w:val="20"/>
          <w:szCs w:val="20"/>
        </w:rPr>
        <w:t>t</w:t>
      </w:r>
      <w:r>
        <w:rPr>
          <w:rStyle w:val="apple-converted-space"/>
          <w:rFonts w:ascii="Calibri" w:hAnsi="Calibri"/>
          <w:color w:val="333333"/>
          <w:sz w:val="20"/>
          <w:szCs w:val="20"/>
        </w:rPr>
        <w:t> </w:t>
      </w:r>
      <w:r>
        <w:rPr>
          <w:rFonts w:ascii="Calibri" w:hAnsi="Calibri"/>
          <w:color w:val="333333"/>
          <w:sz w:val="20"/>
          <w:szCs w:val="20"/>
        </w:rPr>
        <w:t>= 1.341 is 0.100. Since 1.040 is between 0.866 and 1.341 the area it cuts off is between 0.200 and 0.100. Thus the</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-value (since the area must be doubled) is between 0.400 and 0.200.</w:t>
      </w:r>
    </w:p>
    <w:p w:rsidR="00AD77BB" w:rsidRDefault="00AD77BB">
      <w:pPr>
        <w:pStyle w:val="para"/>
        <w:shd w:val="clear" w:color="auto" w:fill="E3EFF7"/>
        <w:spacing w:before="0" w:beforeAutospacing="0" w:after="0" w:afterAutospacing="0" w:line="360" w:lineRule="auto"/>
        <w:ind w:right="750"/>
        <w:textAlignment w:val="baseline"/>
        <w:rPr>
          <w:rFonts w:ascii="Calibri" w:hAnsi="Calibri"/>
          <w:color w:val="333333"/>
          <w:sz w:val="20"/>
          <w:szCs w:val="20"/>
        </w:rPr>
      </w:pPr>
    </w:p>
    <w:p w:rsidR="00AD77BB" w:rsidRDefault="00B45BA0">
      <w:pPr>
        <w:pStyle w:val="para"/>
        <w:numPr>
          <w:ilvl w:val="0"/>
          <w:numId w:val="229"/>
        </w:numPr>
        <w:shd w:val="clear" w:color="auto" w:fill="E3EFF7"/>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Step 5. Since</w:t>
      </w:r>
      <w:r>
        <w:rPr>
          <w:rStyle w:val="apple-converted-space"/>
          <w:rFonts w:ascii="Calibri" w:hAnsi="Calibri"/>
          <w:color w:val="333333"/>
          <w:sz w:val="20"/>
          <w:szCs w:val="20"/>
        </w:rPr>
        <w:t> </w:t>
      </w:r>
      <w:r>
        <w:rPr>
          <w:rStyle w:val="mi"/>
          <w:rFonts w:ascii="MathJax_Math" w:hAnsi="MathJax_Math"/>
          <w:i/>
          <w:iCs/>
          <w:color w:val="333333"/>
          <w:sz w:val="15"/>
          <w:szCs w:val="15"/>
        </w:rPr>
        <w:t>p</w:t>
      </w:r>
      <w:r>
        <w:rPr>
          <w:rStyle w:val="mo"/>
          <w:rFonts w:ascii="MathJax_Main" w:hAnsi="MathJax_Main"/>
          <w:color w:val="333333"/>
          <w:sz w:val="15"/>
          <w:szCs w:val="15"/>
        </w:rPr>
        <w:t>&gt;</w:t>
      </w:r>
      <w:r>
        <w:rPr>
          <w:rStyle w:val="mn"/>
          <w:rFonts w:ascii="MathJax_Main" w:hAnsi="MathJax_Main"/>
          <w:color w:val="333333"/>
          <w:sz w:val="15"/>
          <w:szCs w:val="15"/>
        </w:rPr>
        <w:t>0.200</w:t>
      </w:r>
      <w:r>
        <w:rPr>
          <w:rStyle w:val="mo"/>
          <w:rFonts w:ascii="MathJax_Main" w:hAnsi="MathJax_Main"/>
          <w:color w:val="333333"/>
          <w:sz w:val="15"/>
          <w:szCs w:val="15"/>
        </w:rPr>
        <w:t>&gt;</w:t>
      </w:r>
      <w:r>
        <w:rPr>
          <w:rStyle w:val="mn"/>
          <w:rFonts w:ascii="MathJax_Main" w:hAnsi="MathJax_Main"/>
          <w:color w:val="333333"/>
          <w:sz w:val="15"/>
          <w:szCs w:val="15"/>
        </w:rPr>
        <w:t>0.01</w:t>
      </w:r>
      <w:r>
        <w:rPr>
          <w:rFonts w:ascii="Calibri" w:hAnsi="Calibri"/>
          <w:color w:val="333333"/>
          <w:sz w:val="20"/>
          <w:szCs w:val="20"/>
        </w:rPr>
        <w:t>,</w:t>
      </w:r>
      <w:r>
        <w:rPr>
          <w:rStyle w:val="apple-converted-space"/>
          <w:rFonts w:ascii="Calibri" w:hAnsi="Calibri"/>
          <w:color w:val="333333"/>
          <w:sz w:val="20"/>
          <w:szCs w:val="20"/>
        </w:rPr>
        <w:t> </w:t>
      </w:r>
      <w:r>
        <w:rPr>
          <w:rStyle w:val="mi"/>
          <w:rFonts w:ascii="MathJax_Math" w:hAnsi="MathJax_Math"/>
          <w:i/>
          <w:iCs/>
          <w:color w:val="333333"/>
          <w:sz w:val="15"/>
          <w:szCs w:val="15"/>
        </w:rPr>
        <w:t>p</w:t>
      </w:r>
      <w:r>
        <w:rPr>
          <w:rStyle w:val="mo"/>
          <w:rFonts w:ascii="MathJax_Main" w:hAnsi="MathJax_Main"/>
          <w:color w:val="333333"/>
          <w:sz w:val="15"/>
          <w:szCs w:val="15"/>
        </w:rPr>
        <w:t>&gt;</w:t>
      </w:r>
      <w:r>
        <w:rPr>
          <w:rStyle w:val="mi"/>
          <w:rFonts w:ascii="MathJax_Math" w:hAnsi="MathJax_Math"/>
          <w:i/>
          <w:iCs/>
          <w:color w:val="333333"/>
          <w:sz w:val="15"/>
          <w:szCs w:val="15"/>
        </w:rPr>
        <w:t>α</w:t>
      </w:r>
      <w:r>
        <w:rPr>
          <w:rFonts w:ascii="Calibri" w:hAnsi="Calibri"/>
          <w:color w:val="333333"/>
          <w:sz w:val="20"/>
          <w:szCs w:val="20"/>
        </w:rPr>
        <w:t>, so the decision is not to reject the null hypothesis:</w:t>
      </w:r>
    </w:p>
    <w:p w:rsidR="00AD77BB" w:rsidRDefault="00AD77BB">
      <w:pPr>
        <w:pStyle w:val="para"/>
        <w:shd w:val="clear" w:color="auto" w:fill="E3EFF7"/>
        <w:spacing w:before="150" w:beforeAutospacing="0" w:after="0" w:afterAutospacing="0" w:line="360" w:lineRule="auto"/>
        <w:ind w:left="600" w:right="750"/>
        <w:textAlignment w:val="baseline"/>
        <w:rPr>
          <w:rFonts w:ascii="Calibri" w:hAnsi="Calibri"/>
          <w:color w:val="333333"/>
          <w:sz w:val="20"/>
          <w:szCs w:val="20"/>
        </w:rPr>
      </w:pPr>
    </w:p>
    <w:p w:rsidR="00AD77BB" w:rsidRDefault="00B45BA0">
      <w:pPr>
        <w:pStyle w:val="para"/>
        <w:shd w:val="clear" w:color="auto" w:fill="E3EFF7"/>
        <w:spacing w:before="15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The data do not provide sufficient evidence, at the 1% level of significance, to conclude that the mean sales per month of the two designs are different.</w:t>
      </w:r>
    </w:p>
    <w:p w:rsidR="00AD77BB" w:rsidRDefault="00B45BA0">
      <w:pPr>
        <w:pStyle w:val="Heading3"/>
        <w:shd w:val="clear" w:color="auto" w:fill="39892F"/>
        <w:spacing w:before="0" w:beforeAutospacing="0" w:after="150" w:afterAutospacing="0" w:line="360" w:lineRule="auto"/>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AD77BB" w:rsidRDefault="00B45BA0">
      <w:pPr>
        <w:numPr>
          <w:ilvl w:val="0"/>
          <w:numId w:val="230"/>
        </w:numPr>
        <w:shd w:val="clear" w:color="auto" w:fill="ECF9EA"/>
        <w:spacing w:after="0" w:line="360" w:lineRule="auto"/>
        <w:ind w:left="360" w:right="375"/>
        <w:textAlignment w:val="baseline"/>
        <w:rPr>
          <w:rFonts w:ascii="Calibri" w:hAnsi="Calibri"/>
          <w:color w:val="333333"/>
          <w:sz w:val="20"/>
          <w:szCs w:val="20"/>
        </w:rPr>
      </w:pPr>
      <w:r>
        <w:rPr>
          <w:rFonts w:ascii="Calibri" w:hAnsi="Calibri"/>
          <w:color w:val="333333"/>
          <w:sz w:val="20"/>
          <w:szCs w:val="20"/>
        </w:rPr>
        <w:t>In the context of estimating or testing hypotheses concerning two population means, “small” samples means that</w:t>
      </w:r>
      <w:r>
        <w:rPr>
          <w:rStyle w:val="apple-converted-space"/>
          <w:rFonts w:ascii="Calibri" w:hAnsi="Calibri"/>
          <w:color w:val="333333"/>
          <w:sz w:val="20"/>
          <w:szCs w:val="20"/>
        </w:rPr>
        <w:t> </w:t>
      </w:r>
      <w:r>
        <w:rPr>
          <w:rStyle w:val="Emphasis"/>
          <w:rFonts w:ascii="Calibri" w:hAnsi="Calibri"/>
          <w:color w:val="333333"/>
          <w:sz w:val="20"/>
          <w:szCs w:val="20"/>
        </w:rPr>
        <w:t>at least one</w:t>
      </w:r>
      <w:r>
        <w:rPr>
          <w:rStyle w:val="apple-converted-space"/>
          <w:rFonts w:ascii="Calibri" w:hAnsi="Calibri"/>
          <w:color w:val="333333"/>
          <w:sz w:val="20"/>
          <w:szCs w:val="20"/>
        </w:rPr>
        <w:t> </w:t>
      </w:r>
      <w:r>
        <w:rPr>
          <w:rFonts w:ascii="Calibri" w:hAnsi="Calibri"/>
          <w:color w:val="333333"/>
          <w:sz w:val="20"/>
          <w:szCs w:val="20"/>
        </w:rPr>
        <w:t>sample is small. In particular, even if one sample is of size 30 or more, if the other is of size less than 30 the formulas of this section must be used.</w:t>
      </w:r>
    </w:p>
    <w:p w:rsidR="00AD77BB" w:rsidRDefault="00B45BA0">
      <w:pPr>
        <w:numPr>
          <w:ilvl w:val="0"/>
          <w:numId w:val="230"/>
        </w:numPr>
        <w:shd w:val="clear" w:color="auto" w:fill="ECF9EA"/>
        <w:spacing w:after="0" w:line="360" w:lineRule="auto"/>
        <w:ind w:left="360" w:right="375"/>
        <w:textAlignment w:val="baseline"/>
        <w:rPr>
          <w:rFonts w:ascii="Calibri" w:hAnsi="Calibri"/>
          <w:color w:val="333333"/>
          <w:sz w:val="20"/>
          <w:szCs w:val="20"/>
        </w:rPr>
      </w:pPr>
      <w:r>
        <w:rPr>
          <w:rFonts w:ascii="Calibri" w:hAnsi="Calibri"/>
          <w:color w:val="333333"/>
          <w:sz w:val="20"/>
          <w:szCs w:val="20"/>
        </w:rPr>
        <w:t>A confidence interval for the difference in two population means is computed using a formula in the same fashion as was done for a single population mean.</w:t>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1E2AA6D7" wp14:editId="654F408C">
            <wp:extent cx="5219700" cy="6276975"/>
            <wp:effectExtent l="0" t="0" r="0" b="9525"/>
            <wp:docPr id="326"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219700" cy="627697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240" w:right="374"/>
        <w:textAlignment w:val="baseline"/>
        <w:rPr>
          <w:rFonts w:ascii="Calibri" w:eastAsia="Times New Roman" w:hAnsi="Calibri" w:cs="Times New Roman"/>
          <w:b/>
          <w:color w:val="FF0000"/>
          <w:sz w:val="20"/>
          <w:szCs w:val="20"/>
        </w:rPr>
      </w:pPr>
      <w:r>
        <w:rPr>
          <w:rFonts w:ascii="Calibri" w:eastAsia="Times New Roman" w:hAnsi="Calibri" w:cs="Times New Roman"/>
          <w:b/>
          <w:noProof/>
          <w:color w:val="FF0000"/>
          <w:sz w:val="20"/>
          <w:szCs w:val="20"/>
        </w:rPr>
        <w:lastRenderedPageBreak/>
        <w:drawing>
          <wp:inline distT="0" distB="0" distL="0" distR="0" wp14:anchorId="2C6C2EC6" wp14:editId="4D4B3BB1">
            <wp:extent cx="5286375" cy="6877050"/>
            <wp:effectExtent l="0" t="0" r="9525" b="0"/>
            <wp:docPr id="327"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286375" cy="6877050"/>
                    </a:xfrm>
                    <a:prstGeom prst="rect">
                      <a:avLst/>
                    </a:prstGeom>
                    <a:noFill/>
                    <a:ln>
                      <a:noFill/>
                    </a:ln>
                  </pic:spPr>
                </pic:pic>
              </a:graphicData>
            </a:graphic>
          </wp:inline>
        </w:drawing>
      </w:r>
    </w:p>
    <w:p w:rsidR="00AD77BB" w:rsidRDefault="00B45BA0">
      <w:pPr>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A3DE65E" wp14:editId="13BB81A9">
            <wp:extent cx="5086350" cy="7048500"/>
            <wp:effectExtent l="0" t="0" r="0" b="0"/>
            <wp:docPr id="328"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086350" cy="7048500"/>
                    </a:xfrm>
                    <a:prstGeom prst="rect">
                      <a:avLst/>
                    </a:prstGeom>
                    <a:noFill/>
                    <a:ln>
                      <a:noFill/>
                    </a:ln>
                  </pic:spPr>
                </pic:pic>
              </a:graphicData>
            </a:graphic>
          </wp:inline>
        </w:drawing>
      </w:r>
    </w:p>
    <w:p w:rsidR="00AD77BB" w:rsidRDefault="00B45BA0">
      <w:pPr>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B69FE3F" wp14:editId="4C4B8629">
            <wp:extent cx="5029200" cy="6810375"/>
            <wp:effectExtent l="0" t="0" r="0" b="9525"/>
            <wp:docPr id="329"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029200" cy="6810375"/>
                    </a:xfrm>
                    <a:prstGeom prst="rect">
                      <a:avLst/>
                    </a:prstGeom>
                    <a:noFill/>
                    <a:ln>
                      <a:noFill/>
                    </a:ln>
                  </pic:spPr>
                </pic:pic>
              </a:graphicData>
            </a:graphic>
          </wp:inline>
        </w:drawing>
      </w:r>
    </w:p>
    <w:p w:rsidR="00AD77BB" w:rsidRDefault="00B45BA0">
      <w:pPr>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866B37B" wp14:editId="67002E54">
            <wp:extent cx="5200650" cy="7048500"/>
            <wp:effectExtent l="0" t="0" r="0" b="0"/>
            <wp:docPr id="330"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200650" cy="7048500"/>
                    </a:xfrm>
                    <a:prstGeom prst="rect">
                      <a:avLst/>
                    </a:prstGeom>
                    <a:noFill/>
                    <a:ln>
                      <a:noFill/>
                    </a:ln>
                  </pic:spPr>
                </pic:pic>
              </a:graphicData>
            </a:graphic>
          </wp:inline>
        </w:drawing>
      </w:r>
    </w:p>
    <w:p w:rsidR="00AD77BB" w:rsidRDefault="00B45BA0">
      <w:pPr>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CFE32A5" wp14:editId="0EE9AD86">
            <wp:extent cx="5181600" cy="7048500"/>
            <wp:effectExtent l="0" t="0" r="0" b="0"/>
            <wp:docPr id="331"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181600" cy="7048500"/>
                    </a:xfrm>
                    <a:prstGeom prst="rect">
                      <a:avLst/>
                    </a:prstGeom>
                    <a:noFill/>
                    <a:ln>
                      <a:noFill/>
                    </a:ln>
                  </pic:spPr>
                </pic:pic>
              </a:graphicData>
            </a:graphic>
          </wp:inline>
        </w:drawing>
      </w:r>
    </w:p>
    <w:p w:rsidR="00AD77BB" w:rsidRDefault="00B45BA0">
      <w:pPr>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5B2AF65" wp14:editId="22FF74A2">
            <wp:extent cx="5210175" cy="5876925"/>
            <wp:effectExtent l="0" t="0" r="9525" b="9525"/>
            <wp:docPr id="332"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210175" cy="5876925"/>
                    </a:xfrm>
                    <a:prstGeom prst="rect">
                      <a:avLst/>
                    </a:prstGeom>
                    <a:noFill/>
                    <a:ln>
                      <a:noFill/>
                    </a:ln>
                  </pic:spPr>
                </pic:pic>
              </a:graphicData>
            </a:graphic>
          </wp:inline>
        </w:drawing>
      </w:r>
    </w:p>
    <w:p w:rsidR="00AD77BB" w:rsidRDefault="00B45BA0">
      <w:pPr>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D2A3482" wp14:editId="172D27E9">
            <wp:extent cx="5133975" cy="5457825"/>
            <wp:effectExtent l="0" t="0" r="9525" b="9525"/>
            <wp:docPr id="333"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133975" cy="5457825"/>
                    </a:xfrm>
                    <a:prstGeom prst="rect">
                      <a:avLst/>
                    </a:prstGeom>
                    <a:noFill/>
                    <a:ln>
                      <a:noFill/>
                    </a:ln>
                  </pic:spPr>
                </pic:pic>
              </a:graphicData>
            </a:graphic>
          </wp:inline>
        </w:drawing>
      </w:r>
    </w:p>
    <w:p w:rsidR="00AD77BB" w:rsidRDefault="00B45BA0">
      <w:pPr>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A60D077" wp14:editId="2F2A2F43">
            <wp:extent cx="5200650" cy="5353050"/>
            <wp:effectExtent l="0" t="0" r="0" b="0"/>
            <wp:docPr id="334"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200650" cy="5353050"/>
                    </a:xfrm>
                    <a:prstGeom prst="rect">
                      <a:avLst/>
                    </a:prstGeom>
                    <a:noFill/>
                    <a:ln>
                      <a:noFill/>
                    </a:ln>
                  </pic:spPr>
                </pic:pic>
              </a:graphicData>
            </a:graphic>
          </wp:inline>
        </w:drawing>
      </w:r>
    </w:p>
    <w:p w:rsidR="00AD77BB" w:rsidRDefault="00B45BA0">
      <w:pPr>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063E281" wp14:editId="12F51514">
            <wp:extent cx="5200650" cy="6067425"/>
            <wp:effectExtent l="0" t="0" r="0" b="9525"/>
            <wp:docPr id="335"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200650" cy="6067425"/>
                    </a:xfrm>
                    <a:prstGeom prst="rect">
                      <a:avLst/>
                    </a:prstGeom>
                    <a:noFill/>
                    <a:ln>
                      <a:noFill/>
                    </a:ln>
                  </pic:spPr>
                </pic:pic>
              </a:graphicData>
            </a:graphic>
          </wp:inline>
        </w:drawing>
      </w:r>
    </w:p>
    <w:p w:rsidR="00AD77BB" w:rsidRDefault="00B45BA0">
      <w:pPr>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F366C2B" wp14:editId="45E095E7">
            <wp:extent cx="5114925" cy="3524250"/>
            <wp:effectExtent l="0" t="0" r="9525" b="0"/>
            <wp:docPr id="336"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114925" cy="3524250"/>
                    </a:xfrm>
                    <a:prstGeom prst="rect">
                      <a:avLst/>
                    </a:prstGeom>
                    <a:noFill/>
                    <a:ln>
                      <a:noFill/>
                    </a:ln>
                  </pic:spPr>
                </pic:pic>
              </a:graphicData>
            </a:graphic>
          </wp:inline>
        </w:drawing>
      </w:r>
    </w:p>
    <w:p w:rsidR="00AD77BB" w:rsidRDefault="00AD77BB">
      <w:pPr>
        <w:shd w:val="clear" w:color="auto" w:fill="FFFFFF"/>
        <w:spacing w:after="0" w:line="439" w:lineRule="atLeast"/>
        <w:textAlignment w:val="baseline"/>
        <w:outlineLvl w:val="1"/>
        <w:rPr>
          <w:rFonts w:ascii="Calibri" w:eastAsia="Times New Roman" w:hAnsi="Calibri" w:cs="Times New Roman"/>
          <w:b/>
          <w:bCs/>
          <w:color w:val="333333"/>
          <w:sz w:val="35"/>
          <w:szCs w:val="35"/>
        </w:rPr>
      </w:pPr>
    </w:p>
    <w:p w:rsidR="00AD77BB" w:rsidRDefault="00B45BA0">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t>9.3</w:t>
      </w:r>
      <w:r>
        <w:rPr>
          <w:rFonts w:ascii="Calibri" w:eastAsia="Times New Roman" w:hAnsi="Calibri" w:cs="Times New Roman"/>
          <w:b/>
          <w:bCs/>
          <w:color w:val="333333"/>
          <w:sz w:val="36"/>
          <w:szCs w:val="36"/>
        </w:rPr>
        <w:t> Comparison of Two Population Means: Paired Samples</w:t>
      </w:r>
    </w:p>
    <w:p w:rsidR="00AD77BB" w:rsidRDefault="00B45BA0">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AD77BB" w:rsidRDefault="00B45BA0">
      <w:pPr>
        <w:numPr>
          <w:ilvl w:val="0"/>
          <w:numId w:val="231"/>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the distinction between independent samples and paired samples.</w:t>
      </w:r>
    </w:p>
    <w:p w:rsidR="00AD77BB" w:rsidRDefault="00B45BA0">
      <w:pPr>
        <w:numPr>
          <w:ilvl w:val="0"/>
          <w:numId w:val="231"/>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how to construct a confidence interval for the difference in the means of two distinct populations using paired samples.</w:t>
      </w:r>
    </w:p>
    <w:p w:rsidR="00AD77BB" w:rsidRDefault="00B45BA0">
      <w:pPr>
        <w:numPr>
          <w:ilvl w:val="0"/>
          <w:numId w:val="231"/>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how to perform a test of hypotheses concerning the difference in the means of two distinct populations using paired samples.</w:t>
      </w:r>
    </w:p>
    <w:p w:rsidR="00AD77BB" w:rsidRDefault="00B45BA0">
      <w:pPr>
        <w:shd w:val="clear" w:color="auto" w:fill="FFFFFF" w:themeFill="background1"/>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 xml:space="preserve">Suppose chemical engineers wish to compare the fuel economy obtained by two different formulations of gasoline. Since fuel economy varies widely from car to car, if the mean fuel economy of two independent samples of vehicles run on the two types of fuel were compared, even if one formulation were better than the other the large variability from vehicle to vehicle might make any difference arising from difference in fuel difficult to detect. Just imagine one random sample having many more large vehicles than the other. Instead of independent random samples, it would make more sense to select pairs of cars of the same make and model and driven under similar circumstances, and compare the fuel economy of the two cars in each pair. Thus the data would look something like </w:t>
      </w:r>
      <w:r>
        <w:rPr>
          <w:rFonts w:ascii="Georgia" w:eastAsia="Times New Roman" w:hAnsi="Georgia" w:cs="Times New Roman"/>
          <w:color w:val="2689C6"/>
          <w:sz w:val="21"/>
          <w:szCs w:val="21"/>
        </w:rPr>
        <w:t>Table 9.1 "Fuel Economy of Pairs of Vehicles"</w:t>
      </w:r>
      <w:r>
        <w:rPr>
          <w:rFonts w:ascii="Georgia" w:eastAsia="Times New Roman" w:hAnsi="Georgia" w:cs="Times New Roman"/>
          <w:color w:val="333333"/>
          <w:sz w:val="21"/>
          <w:szCs w:val="21"/>
        </w:rPr>
        <w:t xml:space="preserve">, where the first car in each pair is </w:t>
      </w:r>
      <w:r>
        <w:rPr>
          <w:rFonts w:ascii="Georgia" w:eastAsia="Times New Roman" w:hAnsi="Georgia" w:cs="Times New Roman"/>
          <w:color w:val="333333"/>
          <w:sz w:val="21"/>
          <w:szCs w:val="21"/>
        </w:rPr>
        <w:lastRenderedPageBreak/>
        <w:t>operated on one formulation of the fuel (call it Type 1 gasoline) and the second car is operated on the second (call it Type 2 gasoline).</w:t>
      </w:r>
    </w:p>
    <w:p w:rsidR="00AD77BB" w:rsidRDefault="00B45BA0">
      <w:pPr>
        <w:shd w:val="clear" w:color="auto" w:fill="FFFFFF"/>
        <w:spacing w:line="360" w:lineRule="auto"/>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9.1 Fuel Economy of Pairs of Vehicles</w:t>
      </w:r>
    </w:p>
    <w:tbl>
      <w:tblPr>
        <w:tblW w:w="0" w:type="auto"/>
        <w:tblCellMar>
          <w:left w:w="0" w:type="dxa"/>
          <w:right w:w="0" w:type="dxa"/>
        </w:tblCellMar>
        <w:tblLook w:val="04A0" w:firstRow="1" w:lastRow="0" w:firstColumn="1" w:lastColumn="0" w:noHBand="0" w:noVBand="1"/>
      </w:tblPr>
      <w:tblGrid>
        <w:gridCol w:w="1679"/>
        <w:gridCol w:w="658"/>
        <w:gridCol w:w="658"/>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Make and Model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Car 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Car 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Buick LaCrosse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17.0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Dodge Viper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12.9</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Honda CR-Z</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35.3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35.4</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Hummer H 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13.2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Lexus RX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32.7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32.5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Mazda CX-9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18.1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Saab 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22.5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22.5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Toyota Corolla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26.8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26.7</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Volvo XC 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15.0</w:t>
            </w:r>
          </w:p>
        </w:tc>
      </w:tr>
    </w:tbl>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first column of numbers form a sample from Population 1, the population of all cars operated on Type 1 gasoline; the second column of numbers form a sample from Population 2, the population of all cars operated on Type 2 gasoline. It would be incorrect to analyze the data using the formulas from the previous section, however, since the samples were not drawn independently. What </w:t>
      </w:r>
      <w:r>
        <w:rPr>
          <w:rFonts w:ascii="Georgia" w:eastAsia="Times New Roman" w:hAnsi="Georgia" w:cs="Times New Roman"/>
          <w:i/>
          <w:iCs/>
          <w:color w:val="333333"/>
          <w:sz w:val="20"/>
          <w:szCs w:val="20"/>
        </w:rPr>
        <w:t>is</w:t>
      </w:r>
      <w:r>
        <w:rPr>
          <w:rFonts w:ascii="Georgia" w:eastAsia="Times New Roman" w:hAnsi="Georgia" w:cs="Times New Roman"/>
          <w:color w:val="333333"/>
          <w:sz w:val="21"/>
          <w:szCs w:val="21"/>
        </w:rPr>
        <w:t> correct is to compute the difference in the numbers in each pair (subtracting in the same order each time) to obtain the third column of numbers as shown in </w:t>
      </w:r>
      <w:r>
        <w:rPr>
          <w:rFonts w:ascii="Georgia" w:eastAsia="Times New Roman" w:hAnsi="Georgia" w:cs="Times New Roman"/>
          <w:color w:val="2689C6"/>
          <w:sz w:val="21"/>
          <w:szCs w:val="21"/>
        </w:rPr>
        <w:t>Table 9.2 "Fuel Economy of Pairs of Vehicles"</w:t>
      </w:r>
      <w:r>
        <w:rPr>
          <w:rFonts w:ascii="Georgia" w:eastAsia="Times New Roman" w:hAnsi="Georgia" w:cs="Times New Roman"/>
          <w:color w:val="333333"/>
          <w:sz w:val="21"/>
          <w:szCs w:val="21"/>
        </w:rPr>
        <w:t> and treat the differences as the data. At this point, the new sample of differences </w:t>
      </w:r>
      <w:r>
        <w:rPr>
          <w:rFonts w:ascii="MathJax_Math" w:eastAsia="Times New Roman" w:hAnsi="MathJax_Math" w:cs="Times New Roman"/>
          <w:i/>
          <w:iCs/>
          <w:color w:val="333333"/>
          <w:sz w:val="18"/>
          <w:szCs w:val="18"/>
        </w:rPr>
        <w:t>d</w:t>
      </w:r>
      <w:r>
        <w:rPr>
          <w:rFonts w:ascii="MathJax_Main" w:eastAsia="Times New Roman" w:hAnsi="MathJax_Main" w:cs="Times New Roman"/>
          <w:color w:val="333333"/>
          <w:sz w:val="14"/>
          <w:szCs w:val="14"/>
        </w:rPr>
        <w:t>1</w:t>
      </w:r>
      <w:r>
        <w:rPr>
          <w:rFonts w:ascii="MathJax_Main" w:eastAsia="Times New Roman" w:hAnsi="MathJax_Main" w:cs="Times New Roman"/>
          <w:color w:val="333333"/>
          <w:sz w:val="18"/>
          <w:szCs w:val="18"/>
        </w:rPr>
        <w:t>=0.0,…,</w:t>
      </w:r>
      <w:r>
        <w:rPr>
          <w:rFonts w:ascii="MathJax_Math" w:eastAsia="Times New Roman" w:hAnsi="MathJax_Math" w:cs="Times New Roman"/>
          <w:i/>
          <w:iCs/>
          <w:color w:val="333333"/>
          <w:sz w:val="18"/>
          <w:szCs w:val="18"/>
        </w:rPr>
        <w:t>d</w:t>
      </w:r>
      <w:r>
        <w:rPr>
          <w:rFonts w:ascii="MathJax_Main" w:eastAsia="Times New Roman" w:hAnsi="MathJax_Main" w:cs="Times New Roman"/>
          <w:color w:val="333333"/>
          <w:sz w:val="14"/>
          <w:szCs w:val="14"/>
        </w:rPr>
        <w:t>9</w:t>
      </w:r>
      <w:r>
        <w:rPr>
          <w:rFonts w:ascii="MathJax_Main" w:eastAsia="Times New Roman" w:hAnsi="MathJax_Main" w:cs="Times New Roman"/>
          <w:color w:val="333333"/>
          <w:sz w:val="18"/>
          <w:szCs w:val="18"/>
        </w:rPr>
        <w:t>=0.1</w:t>
      </w:r>
      <w:r>
        <w:rPr>
          <w:rFonts w:ascii="Georgia" w:eastAsia="Times New Roman" w:hAnsi="Georgia" w:cs="Times New Roman"/>
          <w:color w:val="333333"/>
          <w:sz w:val="21"/>
          <w:szCs w:val="21"/>
        </w:rPr>
        <w:t> in the third column of </w:t>
      </w:r>
      <w:r>
        <w:rPr>
          <w:rFonts w:ascii="Georgia" w:eastAsia="Times New Roman" w:hAnsi="Georgia" w:cs="Times New Roman"/>
          <w:color w:val="2689C6"/>
          <w:sz w:val="21"/>
          <w:szCs w:val="21"/>
        </w:rPr>
        <w:t>Table 9.2 "Fuel Economy of Pairs of Vehicles"</w:t>
      </w:r>
      <w:r>
        <w:rPr>
          <w:rFonts w:ascii="Georgia" w:eastAsia="Times New Roman" w:hAnsi="Georgia" w:cs="Times New Roman"/>
          <w:color w:val="333333"/>
          <w:sz w:val="21"/>
          <w:szCs w:val="21"/>
        </w:rPr>
        <w:t> may be considered as a random sample of size </w:t>
      </w:r>
      <w:r>
        <w:rPr>
          <w:rFonts w:ascii="Georgia" w:eastAsia="Times New Roman" w:hAnsi="Georgia" w:cs="Times New Roman"/>
          <w:i/>
          <w:iCs/>
          <w:color w:val="333333"/>
          <w:sz w:val="20"/>
          <w:szCs w:val="20"/>
        </w:rPr>
        <w:t>n</w:t>
      </w:r>
      <w:r>
        <w:rPr>
          <w:rFonts w:ascii="Georgia" w:eastAsia="Times New Roman" w:hAnsi="Georgia" w:cs="Times New Roman"/>
          <w:color w:val="333333"/>
          <w:sz w:val="21"/>
          <w:szCs w:val="21"/>
        </w:rPr>
        <w:t> = 9 selected from a population with mean </w:t>
      </w:r>
      <w:r>
        <w:rPr>
          <w:rFonts w:ascii="MathJax_Math" w:eastAsia="Times New Roman" w:hAnsi="MathJax_Math" w:cs="Times New Roman"/>
          <w:i/>
          <w:iCs/>
          <w:color w:val="333333"/>
          <w:sz w:val="18"/>
          <w:szCs w:val="18"/>
        </w:rPr>
        <w:t>μ</w:t>
      </w:r>
      <w:r>
        <w:rPr>
          <w:rFonts w:ascii="MathJax_Math" w:eastAsia="Times New Roman" w:hAnsi="MathJax_Math" w:cs="Times New Roman"/>
          <w:i/>
          <w:iCs/>
          <w:color w:val="333333"/>
          <w:sz w:val="14"/>
          <w:szCs w:val="14"/>
        </w:rPr>
        <w:t>d</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μ</w:t>
      </w:r>
      <w:r>
        <w:rPr>
          <w:rFonts w:ascii="MathJax_Main" w:eastAsia="Times New Roman" w:hAnsi="MathJax_Main" w:cs="Times New Roman"/>
          <w:color w:val="333333"/>
          <w:sz w:val="14"/>
          <w:szCs w:val="14"/>
        </w:rPr>
        <w:t>1</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μ</w:t>
      </w:r>
      <w:r>
        <w:rPr>
          <w:rFonts w:ascii="MathJax_Main" w:eastAsia="Times New Roman" w:hAnsi="MathJax_Main" w:cs="Times New Roman"/>
          <w:color w:val="333333"/>
          <w:sz w:val="14"/>
          <w:szCs w:val="14"/>
        </w:rPr>
        <w:t>2</w:t>
      </w:r>
      <w:r>
        <w:rPr>
          <w:rFonts w:ascii="MathJax_Main" w:eastAsia="Times New Roman" w:hAnsi="MathJax_Main" w:cs="Times New Roman"/>
          <w:color w:val="333333"/>
          <w:sz w:val="18"/>
          <w:szCs w:val="18"/>
        </w:rPr>
        <w:t>.</w:t>
      </w:r>
      <w:r>
        <w:rPr>
          <w:rFonts w:ascii="Georgia" w:eastAsia="Times New Roman" w:hAnsi="Georgia" w:cs="Times New Roman"/>
          <w:color w:val="333333"/>
          <w:sz w:val="21"/>
          <w:szCs w:val="21"/>
        </w:rPr>
        <w:t> This approach essentially transforms the paired two-sample problem into a one-sample problem as discussed in the previous two chapters.</w:t>
      </w:r>
    </w:p>
    <w:p w:rsidR="00AD77BB" w:rsidRDefault="00B45BA0">
      <w:pPr>
        <w:shd w:val="clear" w:color="auto" w:fill="FFFFFF"/>
        <w:spacing w:line="360" w:lineRule="auto"/>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9.2 Fuel Economy of Pairs of Vehicles</w:t>
      </w:r>
    </w:p>
    <w:tbl>
      <w:tblPr>
        <w:tblW w:w="0" w:type="auto"/>
        <w:tblCellMar>
          <w:left w:w="0" w:type="dxa"/>
          <w:right w:w="0" w:type="dxa"/>
        </w:tblCellMar>
        <w:tblLook w:val="04A0" w:firstRow="1" w:lastRow="0" w:firstColumn="1" w:lastColumn="0" w:noHBand="0" w:noVBand="1"/>
      </w:tblPr>
      <w:tblGrid>
        <w:gridCol w:w="1679"/>
        <w:gridCol w:w="658"/>
        <w:gridCol w:w="658"/>
        <w:gridCol w:w="1083"/>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Make and Model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Car 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Car 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Difference</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Buick LaCrosse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0.0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Dodge Viper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0.3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lastRenderedPageBreak/>
              <w:t>Honda CR-Z</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35.3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35.4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−0.1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Hummer H 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0.4</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Lexus RX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32.7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32.5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0.2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Mazda CX-9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0.3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Saab 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22.5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22.5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0.0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Toyota Corolla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26.8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26.7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0.1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Volvo XC 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0.1</w:t>
            </w:r>
          </w:p>
        </w:tc>
      </w:tr>
    </w:tbl>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Note carefully that although it does not matter what order the subtraction is done, it must be done in the </w:t>
      </w:r>
      <w:r>
        <w:rPr>
          <w:rFonts w:ascii="Georgia" w:eastAsia="Times New Roman" w:hAnsi="Georgia" w:cs="Times New Roman"/>
          <w:i/>
          <w:iCs/>
          <w:color w:val="333333"/>
          <w:sz w:val="20"/>
          <w:szCs w:val="20"/>
        </w:rPr>
        <w:t>same</w:t>
      </w:r>
      <w:r>
        <w:rPr>
          <w:rFonts w:ascii="Georgia" w:eastAsia="Times New Roman" w:hAnsi="Georgia" w:cs="Times New Roman"/>
          <w:color w:val="333333"/>
          <w:sz w:val="21"/>
          <w:szCs w:val="21"/>
        </w:rPr>
        <w:t> order for all pairs. This is why there are both positive and negative quantities in the third column of numbers in </w:t>
      </w:r>
      <w:r>
        <w:rPr>
          <w:rFonts w:ascii="Georgia" w:eastAsia="Times New Roman" w:hAnsi="Georgia" w:cs="Times New Roman"/>
          <w:color w:val="2689C6"/>
          <w:sz w:val="21"/>
          <w:szCs w:val="21"/>
        </w:rPr>
        <w:t>Table 9.2 "Fuel Economy of Pairs of Vehicles"</w:t>
      </w:r>
      <w:r>
        <w:rPr>
          <w:rFonts w:ascii="Georgia" w:eastAsia="Times New Roman" w:hAnsi="Georgia" w:cs="Times New Roman"/>
          <w:color w:val="333333"/>
          <w:sz w:val="21"/>
          <w:szCs w:val="21"/>
        </w:rPr>
        <w:t>.</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Confidence Intervals</w:t>
      </w:r>
    </w:p>
    <w:p w:rsidR="00AD77BB" w:rsidRDefault="00B45BA0">
      <w:pPr>
        <w:shd w:val="clear" w:color="auto" w:fill="FFFFFF"/>
        <w:spacing w:after="0" w:line="360" w:lineRule="auto"/>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When the population of differences is normally distributed the following formula for a confidence interval for </w:t>
      </w:r>
      <w:r>
        <w:rPr>
          <w:rFonts w:ascii="MathJax_Math" w:eastAsia="Times New Roman" w:hAnsi="MathJax_Math" w:cs="Times New Roman"/>
          <w:b/>
          <w:i/>
          <w:iCs/>
          <w:color w:val="333333"/>
          <w:sz w:val="18"/>
          <w:szCs w:val="18"/>
        </w:rPr>
        <w:t>μ</w:t>
      </w:r>
      <w:r>
        <w:rPr>
          <w:rFonts w:ascii="MathJax_Math" w:eastAsia="Times New Roman" w:hAnsi="MathJax_Math" w:cs="Times New Roman"/>
          <w:b/>
          <w:i/>
          <w:iCs/>
          <w:color w:val="333333"/>
          <w:sz w:val="14"/>
          <w:szCs w:val="14"/>
          <w:vertAlign w:val="subscript"/>
        </w:rPr>
        <w:t>d</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μ</w:t>
      </w:r>
      <w:r>
        <w:rPr>
          <w:rFonts w:ascii="MathJax_Main" w:eastAsia="Times New Roman" w:hAnsi="MathJax_Main" w:cs="Times New Roman"/>
          <w:b/>
          <w:color w:val="333333"/>
          <w:sz w:val="14"/>
          <w:szCs w:val="14"/>
          <w:vertAlign w:val="subscript"/>
        </w:rPr>
        <w:t>1</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μ</w:t>
      </w:r>
      <w:r>
        <w:rPr>
          <w:rFonts w:ascii="MathJax_Main" w:eastAsia="Times New Roman" w:hAnsi="MathJax_Main" w:cs="Times New Roman"/>
          <w:b/>
          <w:color w:val="333333"/>
          <w:sz w:val="14"/>
          <w:szCs w:val="14"/>
          <w:vertAlign w:val="subscript"/>
        </w:rPr>
        <w:t>2</w:t>
      </w:r>
      <w:r>
        <w:rPr>
          <w:rFonts w:ascii="Georgia" w:eastAsia="Times New Roman" w:hAnsi="Georgia" w:cs="Times New Roman"/>
          <w:color w:val="333333"/>
          <w:sz w:val="20"/>
          <w:szCs w:val="20"/>
        </w:rPr>
        <w:t> is valid.</w:t>
      </w:r>
    </w:p>
    <w:p w:rsidR="00AD77BB" w:rsidRDefault="00B45BA0">
      <w:pPr>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53E39AA1" wp14:editId="5DAFF8EA">
            <wp:extent cx="4800600" cy="2800350"/>
            <wp:effectExtent l="0" t="0" r="0" b="0"/>
            <wp:docPr id="337"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800600" cy="2800350"/>
                    </a:xfrm>
                    <a:prstGeom prst="rect">
                      <a:avLst/>
                    </a:prstGeom>
                    <a:noFill/>
                    <a:ln>
                      <a:noFill/>
                    </a:ln>
                  </pic:spPr>
                </pic:pic>
              </a:graphicData>
            </a:graphic>
          </wp:inline>
        </w:drawing>
      </w:r>
    </w:p>
    <w:p w:rsidR="00AD77BB" w:rsidRDefault="00AD77BB">
      <w:pPr>
        <w:spacing w:after="0" w:line="439" w:lineRule="atLeast"/>
        <w:ind w:left="450"/>
        <w:textAlignment w:val="baseline"/>
        <w:rPr>
          <w:rFonts w:ascii="Calibri" w:eastAsia="Times New Roman" w:hAnsi="Calibri" w:cs="Times New Roman"/>
          <w:color w:val="333333"/>
          <w:sz w:val="20"/>
          <w:szCs w:val="20"/>
        </w:rPr>
      </w:pPr>
    </w:p>
    <w:p w:rsidR="00AD77BB" w:rsidRDefault="00AD77BB">
      <w:pPr>
        <w:spacing w:after="0" w:line="439" w:lineRule="atLeast"/>
        <w:ind w:left="450"/>
        <w:textAlignment w:val="baseline"/>
        <w:rPr>
          <w:rFonts w:ascii="Calibri" w:eastAsia="Times New Roman" w:hAnsi="Calibri" w:cs="Times New Roman"/>
          <w:color w:val="333333"/>
          <w:sz w:val="20"/>
          <w:szCs w:val="20"/>
        </w:rPr>
      </w:pPr>
    </w:p>
    <w:p w:rsidR="00AD77BB" w:rsidRDefault="00AD77BB">
      <w:pPr>
        <w:spacing w:after="0" w:line="439" w:lineRule="atLeast"/>
        <w:ind w:left="450"/>
        <w:textAlignment w:val="baseline"/>
        <w:rPr>
          <w:rFonts w:ascii="Calibri" w:eastAsia="Times New Roman" w:hAnsi="Calibri" w:cs="Times New Roman"/>
          <w:color w:val="333333"/>
          <w:sz w:val="20"/>
          <w:szCs w:val="20"/>
        </w:rPr>
      </w:pPr>
    </w:p>
    <w:p w:rsidR="00AD77BB" w:rsidRDefault="00AD77BB">
      <w:pPr>
        <w:spacing w:after="0" w:line="439" w:lineRule="atLeast"/>
        <w:ind w:left="450"/>
        <w:textAlignment w:val="baseline"/>
        <w:rPr>
          <w:rFonts w:ascii="Calibri" w:eastAsia="Times New Roman" w:hAnsi="Calibri" w:cs="Times New Roman"/>
          <w:color w:val="333333"/>
          <w:sz w:val="20"/>
          <w:szCs w:val="20"/>
        </w:rPr>
      </w:pP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7</w:t>
      </w:r>
    </w:p>
    <w:p w:rsidR="00AD77BB" w:rsidRDefault="00B45BA0">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Using the data in</w:t>
      </w:r>
      <w:r>
        <w:rPr>
          <w:rStyle w:val="apple-converted-space"/>
          <w:rFonts w:ascii="Calibri" w:hAnsi="Calibri"/>
          <w:color w:val="333333"/>
          <w:sz w:val="21"/>
          <w:szCs w:val="21"/>
        </w:rPr>
        <w:t> </w:t>
      </w:r>
      <w:r>
        <w:rPr>
          <w:rFonts w:ascii="Calibri" w:hAnsi="Calibri"/>
          <w:color w:val="2689C6"/>
          <w:sz w:val="21"/>
          <w:szCs w:val="21"/>
        </w:rPr>
        <w:t>Table 9.1 "Fuel Economy of Pairs of Vehicles"</w:t>
      </w:r>
      <w:r>
        <w:rPr>
          <w:rStyle w:val="apple-converted-space"/>
          <w:rFonts w:ascii="Calibri" w:hAnsi="Calibri"/>
          <w:color w:val="333333"/>
          <w:sz w:val="21"/>
          <w:szCs w:val="21"/>
        </w:rPr>
        <w:t> </w:t>
      </w:r>
      <w:r>
        <w:rPr>
          <w:rFonts w:ascii="Calibri" w:hAnsi="Calibri"/>
          <w:color w:val="333333"/>
          <w:sz w:val="21"/>
          <w:szCs w:val="21"/>
        </w:rPr>
        <w:t>construct a point estimate and a 95% confidence interval for the difference in average fuel economy between cars operated on Type 1 gasoline and cars operated on Type 2 gasoline.</w:t>
      </w:r>
    </w:p>
    <w:p w:rsidR="00AD77BB" w:rsidRDefault="00AD77BB">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p>
    <w:p w:rsidR="00AD77BB" w:rsidRDefault="00B45BA0">
      <w:pPr>
        <w:pStyle w:val="simpara"/>
        <w:shd w:val="clear" w:color="auto" w:fill="DAEEF3" w:themeFill="accent5" w:themeFillTint="33"/>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Solution:</w:t>
      </w:r>
    </w:p>
    <w:p w:rsidR="00AD77BB" w:rsidRDefault="00AD77BB">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p>
    <w:p w:rsidR="00AD77BB" w:rsidRDefault="00B45BA0">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We have referred to the data in</w:t>
      </w:r>
      <w:r>
        <w:rPr>
          <w:rStyle w:val="apple-converted-space"/>
          <w:rFonts w:ascii="Calibri" w:hAnsi="Calibri"/>
          <w:color w:val="333333"/>
          <w:sz w:val="21"/>
          <w:szCs w:val="21"/>
        </w:rPr>
        <w:t> </w:t>
      </w:r>
      <w:r>
        <w:rPr>
          <w:rFonts w:ascii="Calibri" w:hAnsi="Calibri"/>
          <w:color w:val="2689C6"/>
          <w:sz w:val="21"/>
          <w:szCs w:val="21"/>
        </w:rPr>
        <w:t>Table 9.1 "Fuel Economy of Pairs of Vehicles"</w:t>
      </w:r>
      <w:r>
        <w:rPr>
          <w:rFonts w:ascii="Calibri" w:hAnsi="Calibri"/>
          <w:color w:val="333333"/>
          <w:sz w:val="21"/>
          <w:szCs w:val="21"/>
        </w:rPr>
        <w:t>because that is the way that the data are typically presented, but we emphasize that with paired sampling one immediately computes the differences, as given in</w:t>
      </w:r>
      <w:r>
        <w:rPr>
          <w:rFonts w:ascii="Calibri" w:hAnsi="Calibri"/>
          <w:color w:val="2689C6"/>
          <w:sz w:val="21"/>
          <w:szCs w:val="21"/>
        </w:rPr>
        <w:t>Table 9.2 "Fuel Economy of Pairs of Vehicles"</w:t>
      </w:r>
      <w:r>
        <w:rPr>
          <w:rFonts w:ascii="Calibri" w:hAnsi="Calibri"/>
          <w:color w:val="333333"/>
          <w:sz w:val="21"/>
          <w:szCs w:val="21"/>
        </w:rPr>
        <w:t>, and uses the differences as the data.</w:t>
      </w:r>
    </w:p>
    <w:p w:rsidR="00AD77BB" w:rsidRDefault="00B45BA0">
      <w:pPr>
        <w:pStyle w:val="para"/>
        <w:shd w:val="clear" w:color="auto" w:fill="DAEEF3" w:themeFill="accent5" w:themeFillTint="33"/>
        <w:spacing w:before="15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The mean and standard deviation of the differences are</w:t>
      </w:r>
    </w:p>
    <w:p w:rsidR="00AD77BB" w:rsidRDefault="00B45BA0">
      <w:p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42ED0E76" wp14:editId="1B509C76">
            <wp:extent cx="4391025" cy="4714875"/>
            <wp:effectExtent l="0" t="0" r="9525" b="9525"/>
            <wp:docPr id="338"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391025" cy="4714875"/>
                    </a:xfrm>
                    <a:prstGeom prst="rect">
                      <a:avLst/>
                    </a:prstGeom>
                    <a:noFill/>
                    <a:ln>
                      <a:noFill/>
                    </a:ln>
                  </pic:spPr>
                </pic:pic>
              </a:graphicData>
            </a:graphic>
          </wp:inline>
        </w:drawing>
      </w:r>
    </w:p>
    <w:p w:rsidR="00AD77BB" w:rsidRDefault="00B45BA0">
      <w:pPr>
        <w:shd w:val="clear" w:color="auto" w:fill="FFFFFF"/>
        <w:spacing w:after="0" w:line="439" w:lineRule="atLeast"/>
        <w:textAlignment w:val="baseline"/>
        <w:outlineLvl w:val="1"/>
        <w:rPr>
          <w:rFonts w:ascii="Calibri" w:eastAsia="Times New Roman" w:hAnsi="Calibri" w:cs="Times New Roman"/>
          <w:b/>
          <w:bCs/>
          <w:color w:val="333333"/>
          <w:sz w:val="29"/>
          <w:szCs w:val="29"/>
        </w:rPr>
      </w:pPr>
      <w:r>
        <w:rPr>
          <w:rFonts w:ascii="Calibri" w:eastAsia="Times New Roman" w:hAnsi="Calibri" w:cs="Times New Roman"/>
          <w:b/>
          <w:bCs/>
          <w:color w:val="333333"/>
          <w:sz w:val="29"/>
          <w:szCs w:val="29"/>
        </w:rPr>
        <w:lastRenderedPageBreak/>
        <w:t>Hypothesis Testing</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Testing hypotheses concerning the difference of two population means using paired difference samples is done precisely as it is done for independent samples, although now the null and alternative hypotheses are expressed in terms of </w:t>
      </w:r>
      <w:r>
        <w:rPr>
          <w:rFonts w:ascii="MathJax_Math" w:eastAsia="Times New Roman" w:hAnsi="MathJax_Math" w:cs="Times New Roman"/>
          <w:b/>
          <w:i/>
          <w:iCs/>
          <w:color w:val="333333"/>
          <w:sz w:val="18"/>
          <w:szCs w:val="18"/>
        </w:rPr>
        <w:t>μ</w:t>
      </w:r>
      <w:r>
        <w:rPr>
          <w:rFonts w:ascii="MathJax_Math" w:eastAsia="Times New Roman" w:hAnsi="MathJax_Math" w:cs="Times New Roman"/>
          <w:b/>
          <w:i/>
          <w:iCs/>
          <w:color w:val="333333"/>
          <w:sz w:val="14"/>
          <w:szCs w:val="14"/>
          <w:vertAlign w:val="subscript"/>
        </w:rPr>
        <w:t>d</w:t>
      </w:r>
      <w:r>
        <w:rPr>
          <w:rFonts w:ascii="Georgia" w:eastAsia="Times New Roman" w:hAnsi="Georgia" w:cs="Times New Roman"/>
          <w:b/>
          <w:i/>
          <w:color w:val="333333"/>
          <w:sz w:val="21"/>
          <w:szCs w:val="21"/>
          <w:vertAlign w:val="subscript"/>
        </w:rPr>
        <w:t> </w:t>
      </w:r>
      <w:r>
        <w:rPr>
          <w:rFonts w:ascii="Georgia" w:eastAsia="Times New Roman" w:hAnsi="Georgia" w:cs="Times New Roman"/>
          <w:color w:val="333333"/>
          <w:sz w:val="21"/>
          <w:szCs w:val="21"/>
        </w:rPr>
        <w:t>instead of </w:t>
      </w:r>
      <w:r>
        <w:rPr>
          <w:rFonts w:ascii="MathJax_Math" w:eastAsia="Times New Roman" w:hAnsi="MathJax_Math" w:cs="Times New Roman"/>
          <w:b/>
          <w:i/>
          <w:iCs/>
          <w:color w:val="333333"/>
          <w:sz w:val="18"/>
          <w:szCs w:val="18"/>
        </w:rPr>
        <w:t>μ</w:t>
      </w:r>
      <w:r>
        <w:rPr>
          <w:rFonts w:ascii="MathJax_Main" w:eastAsia="Times New Roman" w:hAnsi="MathJax_Main" w:cs="Times New Roman"/>
          <w:b/>
          <w:color w:val="333333"/>
          <w:sz w:val="14"/>
          <w:szCs w:val="14"/>
          <w:vertAlign w:val="subscript"/>
        </w:rPr>
        <w:t>1</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μ</w:t>
      </w:r>
      <w:r>
        <w:rPr>
          <w:rFonts w:ascii="MathJax_Main" w:eastAsia="Times New Roman" w:hAnsi="MathJax_Main" w:cs="Times New Roman"/>
          <w:b/>
          <w:color w:val="333333"/>
          <w:sz w:val="14"/>
          <w:szCs w:val="14"/>
          <w:vertAlign w:val="subscript"/>
        </w:rPr>
        <w:t>2</w:t>
      </w:r>
      <w:r>
        <w:rPr>
          <w:rFonts w:ascii="MathJax_Main" w:eastAsia="Times New Roman" w:hAnsi="MathJax_Main" w:cs="Times New Roman"/>
          <w:b/>
          <w:color w:val="333333"/>
          <w:sz w:val="18"/>
          <w:szCs w:val="18"/>
        </w:rPr>
        <w:t>.</w:t>
      </w:r>
      <w:r>
        <w:rPr>
          <w:rFonts w:ascii="Georgia" w:eastAsia="Times New Roman" w:hAnsi="Georgia" w:cs="Times New Roman"/>
          <w:color w:val="333333"/>
          <w:sz w:val="21"/>
          <w:szCs w:val="21"/>
        </w:rPr>
        <w:t> Thus the null hypothesis will always be written</w:t>
      </w:r>
    </w:p>
    <w:p w:rsidR="00AD77BB" w:rsidRDefault="00B45BA0">
      <w:pPr>
        <w:spacing w:line="360" w:lineRule="auto"/>
        <w:jc w:val="center"/>
        <w:textAlignment w:val="baseline"/>
        <w:rPr>
          <w:rFonts w:ascii="Calibri" w:eastAsia="Times New Roman" w:hAnsi="Calibri" w:cs="Times New Roman"/>
          <w:b/>
          <w:color w:val="555555"/>
          <w:sz w:val="23"/>
          <w:szCs w:val="23"/>
          <w:shd w:val="clear" w:color="auto" w:fill="FFFFFF"/>
        </w:rPr>
      </w:pPr>
      <w:r>
        <w:rPr>
          <w:rFonts w:ascii="MathJax_Math" w:eastAsia="Times New Roman" w:hAnsi="MathJax_Math" w:cs="Times New Roman"/>
          <w:b/>
          <w:i/>
          <w:iCs/>
          <w:color w:val="555555"/>
          <w:sz w:val="18"/>
          <w:szCs w:val="18"/>
          <w:shd w:val="clear" w:color="auto" w:fill="FFFFFF"/>
        </w:rPr>
        <w:t>H</w:t>
      </w:r>
      <w:r>
        <w:rPr>
          <w:rFonts w:ascii="MathJax_Main" w:eastAsia="Times New Roman" w:hAnsi="MathJax_Main" w:cs="Times New Roman"/>
          <w:b/>
          <w:color w:val="555555"/>
          <w:sz w:val="14"/>
          <w:szCs w:val="14"/>
          <w:shd w:val="clear" w:color="auto" w:fill="FFFFFF"/>
          <w:vertAlign w:val="subscript"/>
        </w:rPr>
        <w:t>0</w:t>
      </w:r>
      <w:r>
        <w:rPr>
          <w:rFonts w:ascii="MathJax_Main" w:eastAsia="Times New Roman" w:hAnsi="MathJax_Main" w:cs="Times New Roman"/>
          <w:b/>
          <w:color w:val="555555"/>
          <w:sz w:val="18"/>
          <w:szCs w:val="18"/>
          <w:shd w:val="clear" w:color="auto" w:fill="FFFFFF"/>
        </w:rPr>
        <w:t>:</w:t>
      </w:r>
      <w:r>
        <w:rPr>
          <w:rFonts w:ascii="MathJax_Math" w:eastAsia="Times New Roman" w:hAnsi="MathJax_Math" w:cs="Times New Roman"/>
          <w:b/>
          <w:i/>
          <w:iCs/>
          <w:color w:val="555555"/>
          <w:sz w:val="18"/>
          <w:szCs w:val="18"/>
          <w:shd w:val="clear" w:color="auto" w:fill="FFFFFF"/>
        </w:rPr>
        <w:t>μ</w:t>
      </w:r>
      <w:r>
        <w:rPr>
          <w:rFonts w:ascii="MathJax_Math" w:eastAsia="Times New Roman" w:hAnsi="MathJax_Math" w:cs="Times New Roman"/>
          <w:b/>
          <w:i/>
          <w:iCs/>
          <w:color w:val="555555"/>
          <w:sz w:val="14"/>
          <w:szCs w:val="14"/>
          <w:shd w:val="clear" w:color="auto" w:fill="FFFFFF"/>
          <w:vertAlign w:val="subscript"/>
        </w:rPr>
        <w:t>d</w:t>
      </w:r>
      <w:r>
        <w:rPr>
          <w:rFonts w:ascii="MathJax_Main" w:eastAsia="Times New Roman" w:hAnsi="MathJax_Main" w:cs="Times New Roman"/>
          <w:b/>
          <w:color w:val="555555"/>
          <w:sz w:val="18"/>
          <w:szCs w:val="18"/>
          <w:shd w:val="clear" w:color="auto" w:fill="FFFFFF"/>
        </w:rPr>
        <w:t>=</w:t>
      </w:r>
      <w:r>
        <w:rPr>
          <w:rFonts w:ascii="MathJax_Math" w:eastAsia="Times New Roman" w:hAnsi="MathJax_Math" w:cs="Times New Roman"/>
          <w:b/>
          <w:i/>
          <w:iCs/>
          <w:color w:val="555555"/>
          <w:sz w:val="18"/>
          <w:szCs w:val="18"/>
          <w:shd w:val="clear" w:color="auto" w:fill="FFFFFF"/>
        </w:rPr>
        <w:t>D</w:t>
      </w:r>
      <w:r>
        <w:rPr>
          <w:rFonts w:ascii="MathJax_Main" w:eastAsia="Times New Roman" w:hAnsi="MathJax_Main" w:cs="Times New Roman"/>
          <w:b/>
          <w:color w:val="555555"/>
          <w:sz w:val="14"/>
          <w:szCs w:val="14"/>
          <w:shd w:val="clear" w:color="auto" w:fill="FFFFFF"/>
          <w:vertAlign w:val="subscript"/>
        </w:rPr>
        <w:t>0</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three forms of the alternative hypothesis, with the terminology for each case, are:</w:t>
      </w:r>
    </w:p>
    <w:tbl>
      <w:tblPr>
        <w:tblW w:w="0" w:type="auto"/>
        <w:tblCellMar>
          <w:left w:w="0" w:type="dxa"/>
          <w:right w:w="0" w:type="dxa"/>
        </w:tblCellMar>
        <w:tblLook w:val="04A0" w:firstRow="1" w:lastRow="0" w:firstColumn="1" w:lastColumn="0" w:noHBand="0" w:noVBand="1"/>
      </w:tblPr>
      <w:tblGrid>
        <w:gridCol w:w="1132"/>
        <w:gridCol w:w="1305"/>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Form of </w:t>
            </w:r>
            <w:r>
              <w:rPr>
                <w:rFonts w:ascii="MathJax_Math" w:eastAsia="Times New Roman" w:hAnsi="MathJax_Math" w:cs="Times New Roman"/>
                <w:i/>
                <w:iCs/>
                <w:color w:val="F48800"/>
                <w:sz w:val="18"/>
                <w:szCs w:val="18"/>
              </w:rPr>
              <w:t>H</w:t>
            </w:r>
            <w:r>
              <w:rPr>
                <w:rFonts w:ascii="MathJax_Math" w:eastAsia="Times New Roman" w:hAnsi="MathJax_Math" w:cs="Times New Roman"/>
                <w:i/>
                <w:iCs/>
                <w:color w:val="F48800"/>
                <w:sz w:val="14"/>
                <w:szCs w:val="14"/>
              </w:rPr>
              <w:t>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Terminology</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MathJax_Math" w:eastAsia="Times New Roman" w:hAnsi="MathJax_Math" w:cs="Times New Roman"/>
                <w:i/>
                <w:iCs/>
                <w:sz w:val="18"/>
                <w:szCs w:val="18"/>
              </w:rPr>
              <w:t>H</w:t>
            </w:r>
            <w:r>
              <w:rPr>
                <w:rFonts w:ascii="MathJax_Math" w:eastAsia="Times New Roman" w:hAnsi="MathJax_Math" w:cs="Times New Roman"/>
                <w:i/>
                <w:iCs/>
                <w:sz w:val="14"/>
                <w:szCs w:val="14"/>
              </w:rPr>
              <w:t>a</w:t>
            </w:r>
            <w:r>
              <w:rPr>
                <w:rFonts w:ascii="MathJax_Main" w:eastAsia="Times New Roman" w:hAnsi="MathJax_Main" w:cs="Times New Roman"/>
                <w:sz w:val="18"/>
                <w:szCs w:val="18"/>
              </w:rPr>
              <w:t>:</w:t>
            </w:r>
            <w:r>
              <w:rPr>
                <w:rFonts w:ascii="MathJax_Math" w:eastAsia="Times New Roman" w:hAnsi="MathJax_Math" w:cs="Times New Roman"/>
                <w:i/>
                <w:iCs/>
                <w:sz w:val="18"/>
                <w:szCs w:val="18"/>
              </w:rPr>
              <w:t>μ</w:t>
            </w:r>
            <w:r>
              <w:rPr>
                <w:rFonts w:ascii="MathJax_Math" w:eastAsia="Times New Roman" w:hAnsi="MathJax_Math" w:cs="Times New Roman"/>
                <w:i/>
                <w:iCs/>
                <w:sz w:val="14"/>
                <w:szCs w:val="14"/>
              </w:rPr>
              <w:t>d</w:t>
            </w:r>
            <w:r>
              <w:rPr>
                <w:rFonts w:ascii="MathJax_Main" w:eastAsia="Times New Roman" w:hAnsi="MathJax_Main" w:cs="Times New Roman"/>
                <w:sz w:val="18"/>
                <w:szCs w:val="18"/>
              </w:rPr>
              <w:t>&lt;</w:t>
            </w:r>
            <w:r>
              <w:rPr>
                <w:rFonts w:ascii="MathJax_Math" w:eastAsia="Times New Roman" w:hAnsi="MathJax_Math" w:cs="Times New Roman"/>
                <w:i/>
                <w:iCs/>
                <w:sz w:val="18"/>
                <w:szCs w:val="18"/>
              </w:rPr>
              <w:t>D</w:t>
            </w:r>
            <w:r>
              <w:rPr>
                <w:rFonts w:ascii="MathJax_Main" w:eastAsia="Times New Roman" w:hAnsi="MathJax_Main" w:cs="Times New Roman"/>
                <w:sz w:val="14"/>
                <w:szCs w:val="14"/>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Left-tailed</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MathJax_Math" w:eastAsia="Times New Roman" w:hAnsi="MathJax_Math" w:cs="Times New Roman"/>
                <w:i/>
                <w:iCs/>
                <w:sz w:val="18"/>
                <w:szCs w:val="18"/>
              </w:rPr>
              <w:t>H</w:t>
            </w:r>
            <w:r>
              <w:rPr>
                <w:rFonts w:ascii="MathJax_Math" w:eastAsia="Times New Roman" w:hAnsi="MathJax_Math" w:cs="Times New Roman"/>
                <w:i/>
                <w:iCs/>
                <w:sz w:val="14"/>
                <w:szCs w:val="14"/>
              </w:rPr>
              <w:t>a</w:t>
            </w:r>
            <w:r>
              <w:rPr>
                <w:rFonts w:ascii="MathJax_Main" w:eastAsia="Times New Roman" w:hAnsi="MathJax_Main" w:cs="Times New Roman"/>
                <w:sz w:val="18"/>
                <w:szCs w:val="18"/>
              </w:rPr>
              <w:t>:</w:t>
            </w:r>
            <w:r>
              <w:rPr>
                <w:rFonts w:ascii="MathJax_Math" w:eastAsia="Times New Roman" w:hAnsi="MathJax_Math" w:cs="Times New Roman"/>
                <w:i/>
                <w:iCs/>
                <w:sz w:val="18"/>
                <w:szCs w:val="18"/>
              </w:rPr>
              <w:t>μ</w:t>
            </w:r>
            <w:r>
              <w:rPr>
                <w:rFonts w:ascii="MathJax_Math" w:eastAsia="Times New Roman" w:hAnsi="MathJax_Math" w:cs="Times New Roman"/>
                <w:i/>
                <w:iCs/>
                <w:sz w:val="14"/>
                <w:szCs w:val="14"/>
              </w:rPr>
              <w:t>d</w:t>
            </w:r>
            <w:r>
              <w:rPr>
                <w:rFonts w:ascii="MathJax_Main" w:eastAsia="Times New Roman" w:hAnsi="MathJax_Main" w:cs="Times New Roman"/>
                <w:sz w:val="18"/>
                <w:szCs w:val="18"/>
              </w:rPr>
              <w:t>&gt;</w:t>
            </w:r>
            <w:r>
              <w:rPr>
                <w:rFonts w:ascii="MathJax_Math" w:eastAsia="Times New Roman" w:hAnsi="MathJax_Math" w:cs="Times New Roman"/>
                <w:i/>
                <w:iCs/>
                <w:sz w:val="18"/>
                <w:szCs w:val="18"/>
              </w:rPr>
              <w:t>D</w:t>
            </w:r>
            <w:r>
              <w:rPr>
                <w:rFonts w:ascii="MathJax_Main" w:eastAsia="Times New Roman" w:hAnsi="MathJax_Main" w:cs="Times New Roman"/>
                <w:sz w:val="14"/>
                <w:szCs w:val="14"/>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Right-tailed</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MathJax_Math" w:eastAsia="Times New Roman" w:hAnsi="MathJax_Math" w:cs="Times New Roman"/>
                <w:i/>
                <w:iCs/>
                <w:sz w:val="18"/>
                <w:szCs w:val="18"/>
              </w:rPr>
              <w:t>H</w:t>
            </w:r>
            <w:r>
              <w:rPr>
                <w:rFonts w:ascii="MathJax_Math" w:eastAsia="Times New Roman" w:hAnsi="MathJax_Math" w:cs="Times New Roman"/>
                <w:i/>
                <w:iCs/>
                <w:sz w:val="14"/>
                <w:szCs w:val="14"/>
              </w:rPr>
              <w:t>a</w:t>
            </w:r>
            <w:r>
              <w:rPr>
                <w:rFonts w:ascii="MathJax_Main" w:eastAsia="Times New Roman" w:hAnsi="MathJax_Main" w:cs="Times New Roman"/>
                <w:sz w:val="18"/>
                <w:szCs w:val="18"/>
              </w:rPr>
              <w:t>:</w:t>
            </w:r>
            <w:r>
              <w:rPr>
                <w:rFonts w:ascii="MathJax_Math" w:eastAsia="Times New Roman" w:hAnsi="MathJax_Math" w:cs="Times New Roman"/>
                <w:i/>
                <w:iCs/>
                <w:sz w:val="18"/>
                <w:szCs w:val="18"/>
              </w:rPr>
              <w:t>μ</w:t>
            </w:r>
            <w:r>
              <w:rPr>
                <w:rFonts w:ascii="MathJax_Math" w:eastAsia="Times New Roman" w:hAnsi="MathJax_Math" w:cs="Times New Roman"/>
                <w:i/>
                <w:iCs/>
                <w:sz w:val="14"/>
                <w:szCs w:val="14"/>
              </w:rPr>
              <w:t>d</w:t>
            </w:r>
            <w:r>
              <w:rPr>
                <w:rFonts w:ascii="MathJax_Main" w:eastAsia="Times New Roman" w:hAnsi="MathJax_Main" w:cs="Times New Roman"/>
                <w:sz w:val="18"/>
                <w:szCs w:val="18"/>
              </w:rPr>
              <w:t>≠</w:t>
            </w:r>
            <w:r>
              <w:rPr>
                <w:rFonts w:ascii="MathJax_Math" w:eastAsia="Times New Roman" w:hAnsi="MathJax_Math" w:cs="Times New Roman"/>
                <w:i/>
                <w:iCs/>
                <w:sz w:val="18"/>
                <w:szCs w:val="18"/>
              </w:rPr>
              <w:t>D</w:t>
            </w:r>
            <w:r>
              <w:rPr>
                <w:rFonts w:ascii="MathJax_Main" w:eastAsia="Times New Roman" w:hAnsi="MathJax_Main" w:cs="Times New Roman"/>
                <w:sz w:val="14"/>
                <w:szCs w:val="14"/>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Two-tailed</w:t>
            </w:r>
          </w:p>
        </w:tc>
      </w:tr>
    </w:tbl>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same conditions on the population of differences that was required for constructing a confidence interval for the difference of the means must also be met when hypotheses are tested. Here is the standardized test statistic that is used in the test.</w:t>
      </w:r>
    </w:p>
    <w:p w:rsidR="00AD77BB" w:rsidRDefault="00B45BA0">
      <w:pPr>
        <w:shd w:val="clear" w:color="auto" w:fill="FFFFFF" w:themeFill="background1"/>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7E8F1B4D" wp14:editId="53176144">
            <wp:extent cx="5219700" cy="3505200"/>
            <wp:effectExtent l="0" t="0" r="0" b="0"/>
            <wp:docPr id="339"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219700" cy="3505200"/>
                    </a:xfrm>
                    <a:prstGeom prst="rect">
                      <a:avLst/>
                    </a:prstGeom>
                    <a:noFill/>
                    <a:ln>
                      <a:noFill/>
                    </a:ln>
                  </pic:spPr>
                </pic:pic>
              </a:graphicData>
            </a:graphic>
          </wp:inline>
        </w:drawing>
      </w:r>
    </w:p>
    <w:p w:rsidR="00AD77BB" w:rsidRDefault="00AD77BB">
      <w:pPr>
        <w:shd w:val="clear" w:color="auto" w:fill="FFFFFF" w:themeFill="background1"/>
        <w:spacing w:after="0" w:line="439" w:lineRule="atLeast"/>
        <w:ind w:left="450"/>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439" w:lineRule="atLeast"/>
        <w:ind w:left="450"/>
        <w:textAlignment w:val="baseline"/>
        <w:rPr>
          <w:rFonts w:ascii="Calibri" w:eastAsia="Times New Roman" w:hAnsi="Calibri" w:cs="Times New Roman"/>
          <w:color w:val="333333"/>
          <w:sz w:val="20"/>
          <w:szCs w:val="20"/>
        </w:rPr>
      </w:pP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lastRenderedPageBreak/>
        <w:t>EXAMPLE 8</w:t>
      </w:r>
    </w:p>
    <w:p w:rsidR="00AD77BB" w:rsidRDefault="00B45BA0">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Using the data of</w:t>
      </w:r>
      <w:r>
        <w:rPr>
          <w:rStyle w:val="apple-converted-space"/>
          <w:rFonts w:ascii="Calibri" w:hAnsi="Calibri"/>
          <w:color w:val="333333"/>
          <w:sz w:val="21"/>
          <w:szCs w:val="21"/>
        </w:rPr>
        <w:t> </w:t>
      </w:r>
      <w:r>
        <w:rPr>
          <w:rFonts w:ascii="Calibri" w:hAnsi="Calibri"/>
          <w:color w:val="2689C6"/>
          <w:sz w:val="21"/>
          <w:szCs w:val="21"/>
        </w:rPr>
        <w:t>Table 9.2 "Fuel Economy of Pairs of Vehicles"</w:t>
      </w:r>
      <w:r>
        <w:rPr>
          <w:rStyle w:val="apple-converted-space"/>
          <w:rFonts w:ascii="Calibri" w:hAnsi="Calibri"/>
          <w:color w:val="333333"/>
          <w:sz w:val="21"/>
          <w:szCs w:val="21"/>
        </w:rPr>
        <w:t> </w:t>
      </w:r>
      <w:r>
        <w:rPr>
          <w:rFonts w:ascii="Calibri" w:hAnsi="Calibri"/>
          <w:color w:val="333333"/>
          <w:sz w:val="21"/>
          <w:szCs w:val="21"/>
        </w:rPr>
        <w:t>test the hypothesis that mean fuel economy for Type 1 gasoline is greater than that for Type 2 gasoline against the null hypothesis that the two formulations of gasoline yield the same mean fuel economy. Test at the 5% level of significance using the critical value approach.</w:t>
      </w:r>
    </w:p>
    <w:p w:rsidR="00AD77BB" w:rsidRDefault="00B45BA0">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Solution:</w:t>
      </w:r>
    </w:p>
    <w:p w:rsidR="00AD77BB" w:rsidRDefault="00B45BA0">
      <w:pPr>
        <w:pStyle w:val="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The only part of the table that we use is the third column, the differences.</w:t>
      </w:r>
    </w:p>
    <w:p w:rsidR="00AD77BB" w:rsidRDefault="00B45BA0">
      <w:pPr>
        <w:pStyle w:val="para"/>
        <w:numPr>
          <w:ilvl w:val="0"/>
          <w:numId w:val="232"/>
        </w:numPr>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Step 1. Since the differences were computed in the order</w:t>
      </w:r>
      <w:r>
        <w:rPr>
          <w:rStyle w:val="apple-converted-space"/>
          <w:rFonts w:ascii="Calibri" w:hAnsi="Calibri"/>
          <w:color w:val="333333"/>
          <w:sz w:val="20"/>
          <w:szCs w:val="20"/>
        </w:rPr>
        <w:t> </w:t>
      </w:r>
      <w:r>
        <w:rPr>
          <w:rStyle w:val="mtext"/>
          <w:rFonts w:ascii="MathJax_Main" w:hAnsi="MathJax_Main"/>
          <w:color w:val="333333"/>
          <w:sz w:val="15"/>
          <w:szCs w:val="15"/>
        </w:rPr>
        <w:t> </w:t>
      </w:r>
      <w:r>
        <w:rPr>
          <w:rStyle w:val="mtext"/>
          <w:rFonts w:ascii="MathJax_Main" w:hAnsi="MathJax_Main"/>
          <w:b/>
          <w:color w:val="333333"/>
          <w:sz w:val="15"/>
          <w:szCs w:val="15"/>
        </w:rPr>
        <w:t>Type 1 mpg</w:t>
      </w:r>
      <w:r>
        <w:rPr>
          <w:rStyle w:val="mo"/>
          <w:rFonts w:ascii="MathJax_Main" w:hAnsi="MathJax_Main"/>
          <w:b/>
          <w:color w:val="333333"/>
          <w:sz w:val="15"/>
          <w:szCs w:val="15"/>
        </w:rPr>
        <w:t>−</w:t>
      </w:r>
      <w:r>
        <w:rPr>
          <w:rStyle w:val="mtext"/>
          <w:rFonts w:ascii="MathJax_Main" w:hAnsi="MathJax_Main"/>
          <w:b/>
          <w:color w:val="333333"/>
          <w:sz w:val="15"/>
          <w:szCs w:val="15"/>
        </w:rPr>
        <w:t> Type 2 mpg</w:t>
      </w:r>
      <w:r>
        <w:rPr>
          <w:rFonts w:ascii="Calibri" w:hAnsi="Calibri"/>
          <w:color w:val="333333"/>
          <w:sz w:val="20"/>
          <w:szCs w:val="20"/>
        </w:rPr>
        <w:t>, better fuel economy with Type 1 fuel corresponds to</w:t>
      </w:r>
      <w:r>
        <w:rPr>
          <w:rStyle w:val="apple-converted-space"/>
          <w:rFonts w:ascii="Calibri" w:hAnsi="Calibri"/>
          <w:color w:val="333333"/>
          <w:sz w:val="20"/>
          <w:szCs w:val="20"/>
        </w:rPr>
        <w:t> </w:t>
      </w:r>
      <w:r>
        <w:rPr>
          <w:rStyle w:val="mi"/>
          <w:rFonts w:ascii="MathJax_Math" w:hAnsi="MathJax_Math"/>
          <w:b/>
          <w:i/>
          <w:iCs/>
          <w:color w:val="333333"/>
          <w:sz w:val="15"/>
          <w:szCs w:val="15"/>
        </w:rPr>
        <w:t>μ</w:t>
      </w:r>
      <w:r>
        <w:rPr>
          <w:rStyle w:val="mi"/>
          <w:rFonts w:ascii="MathJax_Math" w:hAnsi="MathJax_Math"/>
          <w:b/>
          <w:i/>
          <w:iCs/>
          <w:color w:val="333333"/>
          <w:sz w:val="12"/>
          <w:szCs w:val="12"/>
          <w:vertAlign w:val="subscript"/>
        </w:rPr>
        <w:t>d</w:t>
      </w:r>
      <w:r>
        <w:rPr>
          <w:rStyle w:val="mo"/>
          <w:rFonts w:ascii="MathJax_Main" w:hAnsi="MathJax_Main"/>
          <w:b/>
          <w:color w:val="333333"/>
          <w:sz w:val="15"/>
          <w:szCs w:val="15"/>
        </w:rPr>
        <w:t>=</w:t>
      </w:r>
      <w:r>
        <w:rPr>
          <w:rStyle w:val="mi"/>
          <w:rFonts w:ascii="MathJax_Math" w:hAnsi="MathJax_Math"/>
          <w:b/>
          <w:i/>
          <w:iCs/>
          <w:color w:val="333333"/>
          <w:sz w:val="15"/>
          <w:szCs w:val="15"/>
        </w:rPr>
        <w:t>μ</w:t>
      </w:r>
      <w:r>
        <w:rPr>
          <w:rStyle w:val="mn"/>
          <w:rFonts w:ascii="MathJax_Main" w:hAnsi="MathJax_Main"/>
          <w:b/>
          <w:color w:val="333333"/>
          <w:sz w:val="12"/>
          <w:szCs w:val="12"/>
          <w:vertAlign w:val="subscript"/>
        </w:rPr>
        <w:t>1</w:t>
      </w:r>
      <w:r>
        <w:rPr>
          <w:rStyle w:val="mo"/>
          <w:rFonts w:ascii="MathJax_Main" w:hAnsi="MathJax_Main"/>
          <w:b/>
          <w:color w:val="333333"/>
          <w:sz w:val="15"/>
          <w:szCs w:val="15"/>
        </w:rPr>
        <w:t>−</w:t>
      </w:r>
      <w:r>
        <w:rPr>
          <w:rStyle w:val="mi"/>
          <w:rFonts w:ascii="MathJax_Math" w:hAnsi="MathJax_Math"/>
          <w:b/>
          <w:i/>
          <w:iCs/>
          <w:color w:val="333333"/>
          <w:sz w:val="15"/>
          <w:szCs w:val="15"/>
        </w:rPr>
        <w:t>μ</w:t>
      </w:r>
      <w:r>
        <w:rPr>
          <w:rStyle w:val="mn"/>
          <w:rFonts w:ascii="MathJax_Main" w:hAnsi="MathJax_Main"/>
          <w:b/>
          <w:color w:val="333333"/>
          <w:sz w:val="12"/>
          <w:szCs w:val="12"/>
          <w:vertAlign w:val="subscript"/>
        </w:rPr>
        <w:t>2</w:t>
      </w:r>
      <w:r>
        <w:rPr>
          <w:rStyle w:val="mo"/>
          <w:rFonts w:ascii="MathJax_Main" w:hAnsi="MathJax_Main"/>
          <w:b/>
          <w:color w:val="333333"/>
          <w:sz w:val="15"/>
          <w:szCs w:val="15"/>
        </w:rPr>
        <w:t>&gt;</w:t>
      </w:r>
      <w:r>
        <w:rPr>
          <w:rStyle w:val="mn"/>
          <w:rFonts w:ascii="MathJax_Main" w:hAnsi="MathJax_Main"/>
          <w:b/>
          <w:color w:val="333333"/>
          <w:sz w:val="15"/>
          <w:szCs w:val="15"/>
        </w:rPr>
        <w:t>0</w:t>
      </w:r>
      <w:r>
        <w:rPr>
          <w:rStyle w:val="mo"/>
          <w:rFonts w:ascii="MathJax_Main" w:hAnsi="MathJax_Main"/>
          <w:color w:val="333333"/>
          <w:sz w:val="15"/>
          <w:szCs w:val="15"/>
        </w:rPr>
        <w:t>.</w:t>
      </w:r>
      <w:r>
        <w:rPr>
          <w:rStyle w:val="apple-converted-space"/>
          <w:rFonts w:ascii="Calibri" w:hAnsi="Calibri"/>
          <w:color w:val="333333"/>
          <w:sz w:val="20"/>
          <w:szCs w:val="20"/>
        </w:rPr>
        <w:t> </w:t>
      </w:r>
      <w:r>
        <w:rPr>
          <w:rFonts w:ascii="Calibri" w:hAnsi="Calibri"/>
          <w:color w:val="333333"/>
          <w:sz w:val="20"/>
          <w:szCs w:val="20"/>
        </w:rPr>
        <w:t>Thus the test is</w:t>
      </w:r>
    </w:p>
    <w:p w:rsidR="00AD77BB" w:rsidRDefault="00AD77BB">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p>
    <w:p w:rsidR="00AD77BB" w:rsidRDefault="00B45BA0">
      <w:pPr>
        <w:shd w:val="clear" w:color="auto" w:fill="DAEEF3" w:themeFill="accent5" w:themeFillTint="33"/>
        <w:spacing w:line="360" w:lineRule="auto"/>
        <w:ind w:left="300" w:right="375"/>
        <w:jc w:val="center"/>
        <w:textAlignment w:val="baseline"/>
        <w:rPr>
          <w:rStyle w:val="mtext"/>
          <w:rFonts w:ascii="MathJax_Main" w:hAnsi="MathJax_Main"/>
          <w:b/>
          <w:sz w:val="15"/>
          <w:szCs w:val="15"/>
        </w:rPr>
      </w:pPr>
      <w:r>
        <w:rPr>
          <w:rStyle w:val="mi"/>
          <w:rFonts w:ascii="MathJax_Math" w:hAnsi="MathJax_Math"/>
          <w:b/>
          <w:i/>
          <w:iCs/>
          <w:color w:val="333333"/>
          <w:sz w:val="15"/>
          <w:szCs w:val="15"/>
        </w:rPr>
        <w:t>H</w:t>
      </w:r>
      <w:r>
        <w:rPr>
          <w:rStyle w:val="mn"/>
          <w:rFonts w:ascii="MathJax_Main" w:hAnsi="MathJax_Main"/>
          <w:b/>
          <w:color w:val="333333"/>
          <w:sz w:val="12"/>
          <w:szCs w:val="12"/>
          <w:vertAlign w:val="subscript"/>
        </w:rPr>
        <w:t>0</w:t>
      </w:r>
      <w:r>
        <w:rPr>
          <w:rStyle w:val="mo"/>
          <w:rFonts w:ascii="MathJax_Main" w:hAnsi="MathJax_Main"/>
          <w:b/>
          <w:color w:val="333333"/>
          <w:sz w:val="15"/>
          <w:szCs w:val="15"/>
        </w:rPr>
        <w:t>:</w:t>
      </w:r>
      <w:r>
        <w:rPr>
          <w:rStyle w:val="mi"/>
          <w:rFonts w:ascii="MathJax_Math" w:hAnsi="MathJax_Math"/>
          <w:b/>
          <w:i/>
          <w:iCs/>
          <w:color w:val="333333"/>
          <w:sz w:val="15"/>
          <w:szCs w:val="15"/>
        </w:rPr>
        <w:t>μ</w:t>
      </w:r>
      <w:r>
        <w:rPr>
          <w:rStyle w:val="mi"/>
          <w:rFonts w:ascii="MathJax_Math" w:hAnsi="MathJax_Math"/>
          <w:b/>
          <w:i/>
          <w:iCs/>
          <w:color w:val="333333"/>
          <w:sz w:val="12"/>
          <w:szCs w:val="12"/>
          <w:vertAlign w:val="subscript"/>
        </w:rPr>
        <w:t>d</w:t>
      </w:r>
      <w:r>
        <w:rPr>
          <w:rStyle w:val="mtext"/>
          <w:rFonts w:ascii="MathJax_Main" w:hAnsi="MathJax_Main"/>
          <w:b/>
          <w:color w:val="333333"/>
          <w:sz w:val="15"/>
          <w:szCs w:val="15"/>
        </w:rPr>
        <w:t> </w:t>
      </w:r>
      <w:r>
        <w:rPr>
          <w:rStyle w:val="mtext"/>
          <w:rFonts w:ascii="MathJax_Main" w:hAnsi="MathJax_Main"/>
          <w:b/>
          <w:color w:val="333333"/>
          <w:sz w:val="15"/>
          <w:szCs w:val="15"/>
        </w:rPr>
        <w:t>= 0</w:t>
      </w:r>
    </w:p>
    <w:p w:rsidR="00AD77BB" w:rsidRDefault="00B45BA0">
      <w:pPr>
        <w:shd w:val="clear" w:color="auto" w:fill="DAEEF3" w:themeFill="accent5" w:themeFillTint="33"/>
        <w:spacing w:line="360" w:lineRule="auto"/>
        <w:ind w:left="300" w:right="375"/>
        <w:jc w:val="center"/>
        <w:textAlignment w:val="baseline"/>
        <w:rPr>
          <w:rFonts w:ascii="Calibri" w:hAnsi="Calibri"/>
          <w:sz w:val="20"/>
          <w:szCs w:val="20"/>
        </w:rPr>
      </w:pPr>
      <w:r>
        <w:rPr>
          <w:rStyle w:val="mtext"/>
          <w:rFonts w:ascii="MathJax_Main" w:hAnsi="MathJax_Main"/>
          <w:b/>
          <w:color w:val="333333"/>
          <w:sz w:val="15"/>
          <w:szCs w:val="15"/>
        </w:rPr>
        <w:t>vs. </w:t>
      </w:r>
      <w:r>
        <w:rPr>
          <w:rStyle w:val="mi"/>
          <w:rFonts w:ascii="MathJax_Math" w:hAnsi="MathJax_Math"/>
          <w:b/>
          <w:i/>
          <w:iCs/>
          <w:color w:val="333333"/>
          <w:sz w:val="15"/>
          <w:szCs w:val="15"/>
        </w:rPr>
        <w:t>H</w:t>
      </w:r>
      <w:r>
        <w:rPr>
          <w:rStyle w:val="mi"/>
          <w:rFonts w:ascii="MathJax_Math" w:hAnsi="MathJax_Math"/>
          <w:b/>
          <w:i/>
          <w:iCs/>
          <w:color w:val="333333"/>
          <w:sz w:val="12"/>
          <w:szCs w:val="12"/>
          <w:vertAlign w:val="subscript"/>
        </w:rPr>
        <w:t>a</w:t>
      </w:r>
      <w:r>
        <w:rPr>
          <w:rStyle w:val="mo"/>
          <w:rFonts w:ascii="MathJax_Main" w:hAnsi="MathJax_Main"/>
          <w:b/>
          <w:color w:val="333333"/>
          <w:sz w:val="15"/>
          <w:szCs w:val="15"/>
        </w:rPr>
        <w:t>:</w:t>
      </w:r>
      <w:r>
        <w:rPr>
          <w:rStyle w:val="mi"/>
          <w:rFonts w:ascii="MathJax_Math" w:hAnsi="MathJax_Math"/>
          <w:b/>
          <w:i/>
          <w:iCs/>
          <w:color w:val="333333"/>
          <w:sz w:val="15"/>
          <w:szCs w:val="15"/>
        </w:rPr>
        <w:t>μ</w:t>
      </w:r>
      <w:r>
        <w:rPr>
          <w:rStyle w:val="mi"/>
          <w:rFonts w:ascii="MathJax_Math" w:hAnsi="MathJax_Math"/>
          <w:b/>
          <w:i/>
          <w:iCs/>
          <w:color w:val="333333"/>
          <w:sz w:val="12"/>
          <w:szCs w:val="12"/>
          <w:vertAlign w:val="subscript"/>
        </w:rPr>
        <w:t>d</w:t>
      </w:r>
      <w:r>
        <w:rPr>
          <w:rStyle w:val="mo"/>
          <w:rFonts w:ascii="MathJax_Main" w:hAnsi="MathJax_Main"/>
          <w:b/>
          <w:color w:val="333333"/>
          <w:sz w:val="15"/>
          <w:szCs w:val="15"/>
        </w:rPr>
        <w:t>&gt;</w:t>
      </w:r>
      <w:r>
        <w:rPr>
          <w:rStyle w:val="mn"/>
          <w:rFonts w:ascii="MathJax_Main" w:hAnsi="MathJax_Main"/>
          <w:b/>
          <w:color w:val="333333"/>
          <w:sz w:val="15"/>
          <w:szCs w:val="15"/>
        </w:rPr>
        <w:t xml:space="preserve">0 </w:t>
      </w:r>
      <w:r>
        <w:rPr>
          <w:rStyle w:val="mi"/>
          <w:rFonts w:ascii="MathJax_Main" w:hAnsi="MathJax_Main"/>
          <w:b/>
          <w:i/>
          <w:iCs/>
          <w:color w:val="333333"/>
          <w:sz w:val="15"/>
          <w:szCs w:val="15"/>
        </w:rPr>
        <w:t>@</w:t>
      </w:r>
      <w:r>
        <w:rPr>
          <w:rStyle w:val="mtext"/>
          <w:rFonts w:ascii="MathJax_Main" w:hAnsi="MathJax_Main"/>
          <w:b/>
          <w:color w:val="333333"/>
          <w:sz w:val="15"/>
          <w:szCs w:val="15"/>
        </w:rPr>
        <w:t> </w:t>
      </w:r>
      <w:r>
        <w:rPr>
          <w:rStyle w:val="mi"/>
          <w:rFonts w:ascii="MathJax_Math" w:hAnsi="MathJax_Math"/>
          <w:b/>
          <w:i/>
          <w:iCs/>
          <w:color w:val="333333"/>
          <w:sz w:val="15"/>
          <w:szCs w:val="15"/>
        </w:rPr>
        <w:t>α</w:t>
      </w:r>
      <w:r>
        <w:rPr>
          <w:rStyle w:val="mo"/>
          <w:rFonts w:ascii="MathJax_Main" w:hAnsi="MathJax_Main"/>
          <w:b/>
          <w:color w:val="333333"/>
          <w:sz w:val="15"/>
          <w:szCs w:val="15"/>
        </w:rPr>
        <w:t>=</w:t>
      </w:r>
      <w:r>
        <w:rPr>
          <w:rStyle w:val="mn"/>
          <w:rFonts w:ascii="MathJax_Main" w:hAnsi="MathJax_Main"/>
          <w:b/>
          <w:color w:val="333333"/>
          <w:sz w:val="15"/>
          <w:szCs w:val="15"/>
        </w:rPr>
        <w:t>0.05</w:t>
      </w:r>
    </w:p>
    <w:p w:rsidR="00AD77BB" w:rsidRDefault="00B45BA0">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(If the differences had been computed in the opposite order then the alternative hypotheses would have been</w:t>
      </w:r>
      <w:r>
        <w:rPr>
          <w:rStyle w:val="apple-converted-space"/>
          <w:rFonts w:ascii="Calibri" w:hAnsi="Calibri"/>
          <w:color w:val="333333"/>
          <w:sz w:val="20"/>
          <w:szCs w:val="20"/>
        </w:rPr>
        <w:t> </w:t>
      </w:r>
      <w:r>
        <w:rPr>
          <w:rStyle w:val="mi"/>
          <w:rFonts w:ascii="MathJax_Math" w:hAnsi="MathJax_Math"/>
          <w:b/>
          <w:i/>
          <w:iCs/>
          <w:color w:val="333333"/>
          <w:sz w:val="15"/>
          <w:szCs w:val="15"/>
        </w:rPr>
        <w:t>H</w:t>
      </w:r>
      <w:r>
        <w:rPr>
          <w:rStyle w:val="mi"/>
          <w:rFonts w:ascii="MathJax_Math" w:hAnsi="MathJax_Math"/>
          <w:b/>
          <w:i/>
          <w:iCs/>
          <w:color w:val="333333"/>
          <w:sz w:val="12"/>
          <w:szCs w:val="12"/>
          <w:vertAlign w:val="subscript"/>
        </w:rPr>
        <w:t>a</w:t>
      </w:r>
      <w:r>
        <w:rPr>
          <w:rStyle w:val="mo"/>
          <w:rFonts w:ascii="MathJax_Main" w:hAnsi="MathJax_Main"/>
          <w:b/>
          <w:color w:val="333333"/>
          <w:sz w:val="15"/>
          <w:szCs w:val="15"/>
        </w:rPr>
        <w:t>:</w:t>
      </w:r>
      <w:r>
        <w:rPr>
          <w:rStyle w:val="mi"/>
          <w:rFonts w:ascii="MathJax_Math" w:hAnsi="MathJax_Math"/>
          <w:b/>
          <w:i/>
          <w:iCs/>
          <w:color w:val="333333"/>
          <w:sz w:val="15"/>
          <w:szCs w:val="15"/>
        </w:rPr>
        <w:t>μ</w:t>
      </w:r>
      <w:r>
        <w:rPr>
          <w:rStyle w:val="mi"/>
          <w:rFonts w:ascii="MathJax_Math" w:hAnsi="MathJax_Math"/>
          <w:b/>
          <w:i/>
          <w:iCs/>
          <w:color w:val="333333"/>
          <w:sz w:val="12"/>
          <w:szCs w:val="12"/>
          <w:vertAlign w:val="subscript"/>
        </w:rPr>
        <w:t>d</w:t>
      </w:r>
      <w:r>
        <w:rPr>
          <w:rStyle w:val="mo"/>
          <w:rFonts w:ascii="MathJax_Main" w:hAnsi="MathJax_Main"/>
          <w:b/>
          <w:color w:val="333333"/>
          <w:sz w:val="15"/>
          <w:szCs w:val="15"/>
        </w:rPr>
        <w:t>&lt;</w:t>
      </w:r>
      <w:r>
        <w:rPr>
          <w:rStyle w:val="mn"/>
          <w:rFonts w:ascii="MathJax_Main" w:hAnsi="MathJax_Main"/>
          <w:b/>
          <w:color w:val="333333"/>
          <w:sz w:val="15"/>
          <w:szCs w:val="15"/>
        </w:rPr>
        <w:t>0</w:t>
      </w:r>
      <w:r>
        <w:rPr>
          <w:rStyle w:val="mo"/>
          <w:rFonts w:ascii="MathJax_Main" w:hAnsi="MathJax_Main"/>
          <w:b/>
          <w:color w:val="333333"/>
          <w:sz w:val="15"/>
          <w:szCs w:val="15"/>
        </w:rPr>
        <w:t>.</w:t>
      </w:r>
      <w:r>
        <w:rPr>
          <w:rFonts w:ascii="Calibri" w:hAnsi="Calibri"/>
          <w:b/>
          <w:color w:val="333333"/>
          <w:sz w:val="20"/>
          <w:szCs w:val="20"/>
        </w:rPr>
        <w:t>)</w:t>
      </w:r>
    </w:p>
    <w:p w:rsidR="00AD77BB" w:rsidRDefault="00B45BA0">
      <w:pPr>
        <w:shd w:val="clear" w:color="auto" w:fill="FFFFFF" w:themeFill="background1"/>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42FB5721" wp14:editId="3F4A5645">
            <wp:extent cx="4876800" cy="4429125"/>
            <wp:effectExtent l="0" t="0" r="0" b="9525"/>
            <wp:docPr id="340"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876800" cy="4429125"/>
                    </a:xfrm>
                    <a:prstGeom prst="rect">
                      <a:avLst/>
                    </a:prstGeom>
                    <a:noFill/>
                    <a:ln>
                      <a:noFill/>
                    </a:ln>
                  </pic:spPr>
                </pic:pic>
              </a:graphicData>
            </a:graphic>
          </wp:inline>
        </w:drawing>
      </w:r>
    </w:p>
    <w:p w:rsidR="00AD77BB" w:rsidRDefault="00B45BA0">
      <w:pPr>
        <w:shd w:val="clear" w:color="auto" w:fill="E3EFF7"/>
        <w:spacing w:after="0" w:line="439" w:lineRule="atLeast"/>
        <w:ind w:left="300" w:right="375"/>
        <w:textAlignment w:val="baseline"/>
        <w:rPr>
          <w:rFonts w:ascii="Calibri" w:eastAsia="Times New Roman" w:hAnsi="Calibri" w:cs="Times New Roman"/>
          <w:i/>
          <w:iCs/>
          <w:color w:val="BB9966"/>
        </w:rPr>
      </w:pPr>
      <w:r>
        <w:rPr>
          <w:rFonts w:ascii="Calibri" w:eastAsia="Times New Roman" w:hAnsi="Calibri" w:cs="Times New Roman"/>
          <w:i/>
          <w:iCs/>
          <w:color w:val="000000"/>
          <w:sz w:val="18"/>
          <w:szCs w:val="18"/>
        </w:rPr>
        <w:lastRenderedPageBreak/>
        <w:t>Figure 9.5</w:t>
      </w:r>
      <w:r>
        <w:rPr>
          <w:rFonts w:ascii="Calibri" w:eastAsia="Times New Roman" w:hAnsi="Calibri" w:cs="Times New Roman"/>
          <w:i/>
          <w:iCs/>
          <w:color w:val="BB9966"/>
        </w:rPr>
        <w:t>Rejection Region and Test Statistic for </w:t>
      </w:r>
      <w:r>
        <w:rPr>
          <w:rFonts w:ascii="Calibri" w:eastAsia="Times New Roman" w:hAnsi="Calibri" w:cs="Times New Roman"/>
          <w:i/>
          <w:iCs/>
          <w:color w:val="2689C6"/>
        </w:rPr>
        <w:t>Note 9.20 "Example 8"</w:t>
      </w:r>
    </w:p>
    <w:p w:rsidR="00AD77BB" w:rsidRDefault="00B45BA0">
      <w:pPr>
        <w:shd w:val="clear" w:color="auto" w:fill="E3EFF7"/>
        <w:spacing w:line="366" w:lineRule="atLeast"/>
        <w:textAlignment w:val="baseline"/>
        <w:rPr>
          <w:rFonts w:ascii="Calibri" w:eastAsia="Times New Roman" w:hAnsi="Calibri" w:cs="Times New Roman"/>
          <w:color w:val="333333"/>
          <w:sz w:val="27"/>
          <w:szCs w:val="27"/>
        </w:rPr>
      </w:pPr>
      <w:r>
        <w:rPr>
          <w:rFonts w:ascii="Calibri" w:eastAsia="Times New Roman" w:hAnsi="Calibri" w:cs="Times New Roman"/>
          <w:noProof/>
          <w:color w:val="2689C6"/>
          <w:sz w:val="27"/>
          <w:szCs w:val="27"/>
        </w:rPr>
        <w:drawing>
          <wp:inline distT="0" distB="0" distL="0" distR="0" wp14:anchorId="21DC6145" wp14:editId="1E8C637E">
            <wp:extent cx="4495800" cy="2905125"/>
            <wp:effectExtent l="0" t="0" r="0" b="9525"/>
            <wp:docPr id="341" name="Picture 358" descr="http://images.flatworldknowledge.com/shafer/shafer-fig09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images.flatworldknowledge.com/shafer/shafer-fig09_005.jp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495800" cy="2905125"/>
                    </a:xfrm>
                    <a:prstGeom prst="rect">
                      <a:avLst/>
                    </a:prstGeom>
                    <a:noFill/>
                    <a:ln>
                      <a:noFill/>
                    </a:ln>
                  </pic:spPr>
                </pic:pic>
              </a:graphicData>
            </a:graphic>
          </wp:inline>
        </w:drawing>
      </w:r>
    </w:p>
    <w:p w:rsidR="00AD77BB" w:rsidRDefault="00AD77BB">
      <w:pPr>
        <w:shd w:val="clear" w:color="auto" w:fill="E3EFF7"/>
        <w:spacing w:before="150" w:after="0" w:line="360" w:lineRule="auto"/>
        <w:ind w:left="302" w:right="374"/>
        <w:textAlignment w:val="baseline"/>
        <w:rPr>
          <w:rFonts w:ascii="Calibri" w:eastAsia="Times New Roman" w:hAnsi="Calibri" w:cs="Times New Roman"/>
          <w:color w:val="333333"/>
          <w:sz w:val="20"/>
          <w:szCs w:val="20"/>
        </w:rPr>
      </w:pPr>
    </w:p>
    <w:p w:rsidR="00AD77BB" w:rsidRDefault="00B45BA0">
      <w:pPr>
        <w:shd w:val="clear" w:color="auto" w:fill="E3EFF7"/>
        <w:spacing w:before="150" w:after="0" w:line="360" w:lineRule="auto"/>
        <w:ind w:left="302"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data provide sufficient evidence, at the 5% level of significance, to conclude that the mean fuel economy provided by Type 1 gasoline is greater than that for Type 2 gasoline.</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9</w:t>
      </w:r>
    </w:p>
    <w:p w:rsidR="00AD77BB" w:rsidRDefault="00B45BA0">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Perform the test of</w:t>
      </w:r>
      <w:r>
        <w:rPr>
          <w:rStyle w:val="apple-converted-space"/>
          <w:rFonts w:ascii="Calibri" w:hAnsi="Calibri"/>
          <w:color w:val="333333"/>
          <w:sz w:val="21"/>
          <w:szCs w:val="21"/>
        </w:rPr>
        <w:t> </w:t>
      </w:r>
      <w:r>
        <w:rPr>
          <w:rFonts w:ascii="Calibri" w:hAnsi="Calibri"/>
          <w:color w:val="2689C6"/>
          <w:sz w:val="21"/>
          <w:szCs w:val="21"/>
        </w:rPr>
        <w:t>Note 9.20 "Example 8"</w:t>
      </w:r>
      <w:r>
        <w:rPr>
          <w:rStyle w:val="apple-converted-space"/>
          <w:rFonts w:ascii="Calibri" w:hAnsi="Calibri"/>
          <w:color w:val="333333"/>
          <w:sz w:val="21"/>
          <w:szCs w:val="21"/>
        </w:rPr>
        <w:t> </w:t>
      </w:r>
      <w:r>
        <w:rPr>
          <w:rFonts w:ascii="Calibri" w:hAnsi="Calibri"/>
          <w:color w:val="333333"/>
          <w:sz w:val="21"/>
          <w:szCs w:val="21"/>
        </w:rPr>
        <w:t>using the</w:t>
      </w:r>
      <w:r>
        <w:rPr>
          <w:rStyle w:val="apple-converted-space"/>
          <w:rFonts w:ascii="Calibri" w:hAnsi="Calibri"/>
          <w:color w:val="333333"/>
          <w:sz w:val="21"/>
          <w:szCs w:val="21"/>
        </w:rPr>
        <w:t> </w:t>
      </w:r>
      <w:r>
        <w:rPr>
          <w:rStyle w:val="Emphasis"/>
          <w:rFonts w:ascii="Calibri" w:hAnsi="Calibri"/>
          <w:color w:val="333333"/>
          <w:sz w:val="20"/>
          <w:szCs w:val="20"/>
        </w:rPr>
        <w:t>p</w:t>
      </w:r>
      <w:r>
        <w:rPr>
          <w:rFonts w:ascii="Calibri" w:hAnsi="Calibri"/>
          <w:color w:val="333333"/>
          <w:sz w:val="21"/>
          <w:szCs w:val="21"/>
        </w:rPr>
        <w:t>-value approach.</w:t>
      </w:r>
    </w:p>
    <w:p w:rsidR="00AD77BB" w:rsidRDefault="00B45BA0">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Solution:</w:t>
      </w:r>
    </w:p>
    <w:p w:rsidR="00AD77BB" w:rsidRDefault="00AD77BB">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p>
    <w:p w:rsidR="00AD77BB" w:rsidRDefault="00B45BA0">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The first three steps are identical to those in</w:t>
      </w:r>
      <w:r>
        <w:rPr>
          <w:rStyle w:val="apple-converted-space"/>
          <w:rFonts w:ascii="Calibri" w:hAnsi="Calibri"/>
          <w:color w:val="333333"/>
          <w:sz w:val="21"/>
          <w:szCs w:val="21"/>
        </w:rPr>
        <w:t> </w:t>
      </w:r>
      <w:r>
        <w:rPr>
          <w:rFonts w:ascii="Calibri" w:hAnsi="Calibri"/>
          <w:color w:val="2689C6"/>
          <w:sz w:val="21"/>
          <w:szCs w:val="21"/>
        </w:rPr>
        <w:t>Note 9.20 "Example 8"</w:t>
      </w:r>
      <w:r>
        <w:rPr>
          <w:rFonts w:ascii="Calibri" w:hAnsi="Calibri"/>
          <w:color w:val="333333"/>
          <w:sz w:val="21"/>
          <w:szCs w:val="21"/>
        </w:rPr>
        <w:t>.</w:t>
      </w:r>
    </w:p>
    <w:p w:rsidR="00AD77BB" w:rsidRDefault="00B45BA0">
      <w:pPr>
        <w:pStyle w:val="para"/>
        <w:numPr>
          <w:ilvl w:val="0"/>
          <w:numId w:val="233"/>
        </w:numPr>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Step 4. Because the test is one-tailed the observed significance or</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-value of the test is just the area of the right tail of Student’s</w:t>
      </w:r>
      <w:r>
        <w:rPr>
          <w:rStyle w:val="apple-converted-space"/>
          <w:rFonts w:ascii="Calibri" w:hAnsi="Calibri"/>
          <w:color w:val="333333"/>
          <w:sz w:val="20"/>
          <w:szCs w:val="20"/>
        </w:rPr>
        <w:t> </w:t>
      </w:r>
      <w:r>
        <w:rPr>
          <w:rStyle w:val="Emphasis"/>
          <w:rFonts w:ascii="Calibri" w:hAnsi="Calibri"/>
          <w:color w:val="333333"/>
          <w:sz w:val="20"/>
          <w:szCs w:val="20"/>
        </w:rPr>
        <w:t>t</w:t>
      </w:r>
      <w:r>
        <w:rPr>
          <w:rFonts w:ascii="Calibri" w:hAnsi="Calibri"/>
          <w:color w:val="333333"/>
          <w:sz w:val="20"/>
          <w:szCs w:val="20"/>
        </w:rPr>
        <w:t>-distribution, with 8 degrees of freedom, that is cut off by the test statistic</w:t>
      </w:r>
      <w:r>
        <w:rPr>
          <w:rStyle w:val="apple-converted-space"/>
          <w:rFonts w:ascii="Calibri" w:hAnsi="Calibri"/>
          <w:color w:val="333333"/>
          <w:sz w:val="20"/>
          <w:szCs w:val="20"/>
        </w:rPr>
        <w:t> </w:t>
      </w:r>
      <w:r>
        <w:rPr>
          <w:rStyle w:val="Emphasis"/>
          <w:rFonts w:ascii="Calibri" w:hAnsi="Calibri"/>
          <w:color w:val="333333"/>
          <w:sz w:val="20"/>
          <w:szCs w:val="20"/>
        </w:rPr>
        <w:t>T</w:t>
      </w:r>
      <w:r>
        <w:rPr>
          <w:rStyle w:val="apple-converted-space"/>
          <w:rFonts w:ascii="Calibri" w:hAnsi="Calibri"/>
          <w:color w:val="333333"/>
          <w:sz w:val="20"/>
          <w:szCs w:val="20"/>
        </w:rPr>
        <w:t> </w:t>
      </w:r>
      <w:r>
        <w:rPr>
          <w:rFonts w:ascii="Calibri" w:hAnsi="Calibri"/>
          <w:color w:val="333333"/>
          <w:sz w:val="20"/>
          <w:szCs w:val="20"/>
        </w:rPr>
        <w:t>= 2.600. We can only approximate this number. Looking in the row of</w:t>
      </w:r>
      <w:r>
        <w:rPr>
          <w:rStyle w:val="apple-converted-space"/>
          <w:rFonts w:ascii="Calibri" w:hAnsi="Calibri"/>
          <w:color w:val="333333"/>
          <w:sz w:val="20"/>
          <w:szCs w:val="20"/>
        </w:rPr>
        <w:t> </w:t>
      </w:r>
      <w:r>
        <w:rPr>
          <w:rFonts w:ascii="Calibri" w:hAnsi="Calibri"/>
          <w:color w:val="2689C6"/>
          <w:sz w:val="20"/>
          <w:szCs w:val="20"/>
        </w:rPr>
        <w:t>Figure 12.3 "Critical Values of "</w:t>
      </w:r>
      <w:r>
        <w:rPr>
          <w:rStyle w:val="apple-converted-space"/>
          <w:rFonts w:ascii="Calibri" w:hAnsi="Calibri"/>
          <w:color w:val="333333"/>
          <w:sz w:val="20"/>
          <w:szCs w:val="20"/>
        </w:rPr>
        <w:t> </w:t>
      </w:r>
      <w:r>
        <w:rPr>
          <w:rFonts w:ascii="Calibri" w:hAnsi="Calibri"/>
          <w:color w:val="333333"/>
          <w:sz w:val="20"/>
          <w:szCs w:val="20"/>
        </w:rPr>
        <w:t>headed</w:t>
      </w:r>
      <w:r>
        <w:rPr>
          <w:rStyle w:val="apple-converted-space"/>
          <w:rFonts w:ascii="Calibri" w:hAnsi="Calibri"/>
          <w:color w:val="333333"/>
          <w:sz w:val="20"/>
          <w:szCs w:val="20"/>
        </w:rPr>
        <w:t> </w:t>
      </w:r>
      <w:r>
        <w:rPr>
          <w:rStyle w:val="mi"/>
          <w:rFonts w:ascii="MathJax_Math" w:hAnsi="MathJax_Math"/>
          <w:i/>
          <w:iCs/>
          <w:color w:val="333333"/>
          <w:sz w:val="15"/>
          <w:szCs w:val="15"/>
        </w:rPr>
        <w:t>df</w:t>
      </w:r>
      <w:r>
        <w:rPr>
          <w:rStyle w:val="mo"/>
          <w:rFonts w:ascii="MathJax_Main" w:hAnsi="MathJax_Main"/>
          <w:color w:val="333333"/>
          <w:sz w:val="15"/>
          <w:szCs w:val="15"/>
        </w:rPr>
        <w:t>=</w:t>
      </w:r>
      <w:r>
        <w:rPr>
          <w:rStyle w:val="mn"/>
          <w:rFonts w:ascii="MathJax_Main" w:hAnsi="MathJax_Main"/>
          <w:color w:val="333333"/>
          <w:sz w:val="15"/>
          <w:szCs w:val="15"/>
        </w:rPr>
        <w:t>8</w:t>
      </w:r>
      <w:r>
        <w:rPr>
          <w:rFonts w:ascii="Calibri" w:hAnsi="Calibri"/>
          <w:color w:val="333333"/>
          <w:sz w:val="20"/>
          <w:szCs w:val="20"/>
        </w:rPr>
        <w:t>, the number 2.600 is between the numbers 2.306 and 2.896, corresponding to</w:t>
      </w:r>
      <w:r>
        <w:rPr>
          <w:rStyle w:val="Emphasis"/>
          <w:rFonts w:ascii="Calibri" w:hAnsi="Calibri"/>
          <w:color w:val="333333"/>
          <w:sz w:val="20"/>
          <w:szCs w:val="20"/>
        </w:rPr>
        <w:t>t</w:t>
      </w:r>
      <w:r>
        <w:rPr>
          <w:rFonts w:ascii="Calibri" w:hAnsi="Calibri"/>
          <w:color w:val="333333"/>
          <w:sz w:val="15"/>
          <w:szCs w:val="15"/>
          <w:vertAlign w:val="subscript"/>
        </w:rPr>
        <w:t>0.025</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Emphasis"/>
          <w:rFonts w:ascii="Calibri" w:hAnsi="Calibri"/>
          <w:color w:val="333333"/>
          <w:sz w:val="20"/>
          <w:szCs w:val="20"/>
        </w:rPr>
        <w:t>t</w:t>
      </w:r>
      <w:r>
        <w:rPr>
          <w:rFonts w:ascii="Calibri" w:hAnsi="Calibri"/>
          <w:color w:val="333333"/>
          <w:sz w:val="15"/>
          <w:szCs w:val="15"/>
          <w:vertAlign w:val="subscript"/>
        </w:rPr>
        <w:t>0.010</w:t>
      </w:r>
      <w:r>
        <w:rPr>
          <w:rFonts w:ascii="Calibri" w:hAnsi="Calibri"/>
          <w:color w:val="333333"/>
          <w:sz w:val="20"/>
          <w:szCs w:val="20"/>
        </w:rPr>
        <w:t>.</w:t>
      </w:r>
    </w:p>
    <w:p w:rsidR="00AD77BB" w:rsidRDefault="00AD77BB">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p>
    <w:p w:rsidR="00AD77BB" w:rsidRDefault="00B45BA0">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The area cut off by</w:t>
      </w:r>
      <w:r>
        <w:rPr>
          <w:rStyle w:val="apple-converted-space"/>
          <w:rFonts w:ascii="Calibri" w:hAnsi="Calibri"/>
          <w:color w:val="333333"/>
          <w:sz w:val="20"/>
          <w:szCs w:val="20"/>
        </w:rPr>
        <w:t> </w:t>
      </w:r>
      <w:r>
        <w:rPr>
          <w:rStyle w:val="Emphasis"/>
          <w:rFonts w:ascii="Calibri" w:hAnsi="Calibri"/>
          <w:color w:val="333333"/>
          <w:sz w:val="20"/>
          <w:szCs w:val="20"/>
        </w:rPr>
        <w:t>t</w:t>
      </w:r>
      <w:r>
        <w:rPr>
          <w:rStyle w:val="apple-converted-space"/>
          <w:rFonts w:ascii="Calibri" w:hAnsi="Calibri"/>
          <w:color w:val="333333"/>
          <w:sz w:val="20"/>
          <w:szCs w:val="20"/>
        </w:rPr>
        <w:t> </w:t>
      </w:r>
      <w:r>
        <w:rPr>
          <w:rFonts w:ascii="Calibri" w:hAnsi="Calibri"/>
          <w:color w:val="333333"/>
          <w:sz w:val="20"/>
          <w:szCs w:val="20"/>
        </w:rPr>
        <w:t>= 2.306 is 0.025 and the area cut off by</w:t>
      </w:r>
      <w:r>
        <w:rPr>
          <w:rStyle w:val="apple-converted-space"/>
          <w:rFonts w:ascii="Calibri" w:hAnsi="Calibri"/>
          <w:color w:val="333333"/>
          <w:sz w:val="20"/>
          <w:szCs w:val="20"/>
        </w:rPr>
        <w:t> </w:t>
      </w:r>
      <w:r>
        <w:rPr>
          <w:rStyle w:val="Emphasis"/>
          <w:rFonts w:ascii="Calibri" w:hAnsi="Calibri"/>
          <w:color w:val="333333"/>
          <w:sz w:val="20"/>
          <w:szCs w:val="20"/>
        </w:rPr>
        <w:t>t</w:t>
      </w:r>
      <w:r>
        <w:rPr>
          <w:rStyle w:val="apple-converted-space"/>
          <w:rFonts w:ascii="Calibri" w:hAnsi="Calibri"/>
          <w:color w:val="333333"/>
          <w:sz w:val="20"/>
          <w:szCs w:val="20"/>
        </w:rPr>
        <w:t> </w:t>
      </w:r>
      <w:r>
        <w:rPr>
          <w:rFonts w:ascii="Calibri" w:hAnsi="Calibri"/>
          <w:color w:val="333333"/>
          <w:sz w:val="20"/>
          <w:szCs w:val="20"/>
        </w:rPr>
        <w:t>= 2.896 is 0.010. Since 2.600 is between 2.306 and 2.896 the area it cuts off is between 0.025 and 0.010. Thus the</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-value is between 0.025 and 0.010. In particular it is less than 0.025. See</w:t>
      </w:r>
      <w:r>
        <w:rPr>
          <w:rStyle w:val="apple-converted-space"/>
          <w:rFonts w:ascii="Calibri" w:hAnsi="Calibri"/>
          <w:color w:val="333333"/>
          <w:sz w:val="20"/>
          <w:szCs w:val="20"/>
        </w:rPr>
        <w:t> </w:t>
      </w:r>
      <w:r>
        <w:rPr>
          <w:rFonts w:ascii="Calibri" w:hAnsi="Calibri"/>
          <w:color w:val="2689C6"/>
          <w:sz w:val="20"/>
          <w:szCs w:val="20"/>
        </w:rPr>
        <w:t>Figure 9.6</w:t>
      </w:r>
      <w:r>
        <w:rPr>
          <w:rFonts w:ascii="Calibri" w:hAnsi="Calibri"/>
          <w:color w:val="333333"/>
          <w:sz w:val="20"/>
          <w:szCs w:val="20"/>
        </w:rPr>
        <w:t>.</w:t>
      </w:r>
    </w:p>
    <w:p w:rsidR="00AD77BB" w:rsidRDefault="00AD77BB">
      <w:pPr>
        <w:pStyle w:val="Title8"/>
        <w:shd w:val="clear" w:color="auto" w:fill="E3EFF7"/>
        <w:spacing w:before="0" w:beforeAutospacing="0" w:after="0" w:afterAutospacing="0" w:line="439" w:lineRule="atLeast"/>
        <w:ind w:left="300" w:right="375"/>
        <w:textAlignment w:val="baseline"/>
        <w:rPr>
          <w:rStyle w:val="title-prefix"/>
          <w:i/>
          <w:iCs/>
          <w:color w:val="000000"/>
        </w:rPr>
      </w:pPr>
    </w:p>
    <w:p w:rsidR="00AD77BB" w:rsidRDefault="00AD77BB">
      <w:pPr>
        <w:pStyle w:val="Title8"/>
        <w:shd w:val="clear" w:color="auto" w:fill="E3EFF7"/>
        <w:spacing w:before="0" w:beforeAutospacing="0" w:after="0" w:afterAutospacing="0" w:line="439" w:lineRule="atLeast"/>
        <w:ind w:left="300" w:right="375"/>
        <w:textAlignment w:val="baseline"/>
        <w:rPr>
          <w:rStyle w:val="title-prefix"/>
          <w:rFonts w:ascii="Calibri" w:hAnsi="Calibri"/>
          <w:i/>
          <w:iCs/>
          <w:color w:val="000000"/>
          <w:sz w:val="20"/>
          <w:szCs w:val="20"/>
        </w:rPr>
      </w:pPr>
    </w:p>
    <w:p w:rsidR="00AD77BB" w:rsidRDefault="00B45BA0">
      <w:pPr>
        <w:pStyle w:val="Title8"/>
        <w:shd w:val="clear" w:color="auto" w:fill="E3EFF7"/>
        <w:spacing w:before="0" w:beforeAutospacing="0" w:after="0" w:afterAutospacing="0" w:line="439" w:lineRule="atLeast"/>
        <w:ind w:left="300" w:right="375"/>
        <w:textAlignment w:val="baseline"/>
        <w:rPr>
          <w:color w:val="BB9966"/>
          <w:sz w:val="19"/>
          <w:szCs w:val="19"/>
        </w:rPr>
      </w:pPr>
      <w:r>
        <w:rPr>
          <w:rStyle w:val="title-prefix"/>
          <w:rFonts w:ascii="Calibri" w:hAnsi="Calibri"/>
          <w:i/>
          <w:iCs/>
          <w:color w:val="000000"/>
          <w:sz w:val="20"/>
          <w:szCs w:val="20"/>
        </w:rPr>
        <w:t>Figure 9.6</w:t>
      </w:r>
      <w:r>
        <w:rPr>
          <w:rStyle w:val="Emphasis"/>
          <w:rFonts w:ascii="Calibri" w:hAnsi="Calibri"/>
          <w:color w:val="BB9966"/>
          <w:sz w:val="20"/>
          <w:szCs w:val="20"/>
        </w:rPr>
        <w:t>P</w:t>
      </w:r>
      <w:r>
        <w:rPr>
          <w:rFonts w:ascii="Calibri" w:hAnsi="Calibri"/>
          <w:i/>
          <w:iCs/>
          <w:color w:val="BB9966"/>
          <w:sz w:val="19"/>
          <w:szCs w:val="19"/>
        </w:rPr>
        <w:t>-Value for</w:t>
      </w:r>
      <w:r>
        <w:rPr>
          <w:rStyle w:val="apple-converted-space"/>
          <w:rFonts w:ascii="Calibri" w:hAnsi="Calibri"/>
          <w:i/>
          <w:iCs/>
          <w:color w:val="BB9966"/>
          <w:sz w:val="19"/>
          <w:szCs w:val="19"/>
        </w:rPr>
        <w:t> </w:t>
      </w:r>
      <w:r>
        <w:rPr>
          <w:rFonts w:ascii="Calibri" w:eastAsiaTheme="majorEastAsia" w:hAnsi="Calibri"/>
          <w:i/>
          <w:iCs/>
          <w:color w:val="2689C6"/>
          <w:sz w:val="19"/>
          <w:szCs w:val="19"/>
        </w:rPr>
        <w:t>Note 9.21 "Example 9"</w:t>
      </w:r>
    </w:p>
    <w:p w:rsidR="00AD77BB" w:rsidRDefault="00B45BA0">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noProof/>
          <w:color w:val="2689C6"/>
          <w:sz w:val="26"/>
          <w:szCs w:val="26"/>
          <w:shd w:val="clear" w:color="auto" w:fill="E3EFF7"/>
        </w:rPr>
        <w:drawing>
          <wp:inline distT="0" distB="0" distL="0" distR="0" wp14:anchorId="0AD1A0EF" wp14:editId="2717A13B">
            <wp:extent cx="4076700" cy="2085975"/>
            <wp:effectExtent l="0" t="0" r="0" b="9525"/>
            <wp:docPr id="342" name="Picture 359" descr="http://images.flatworldknowledge.com/shafer/shafer-fig09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images.flatworldknowledge.com/shafer/shafer-fig09_006.jp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076700" cy="2085975"/>
                    </a:xfrm>
                    <a:prstGeom prst="rect">
                      <a:avLst/>
                    </a:prstGeom>
                    <a:noFill/>
                    <a:ln>
                      <a:noFill/>
                    </a:ln>
                  </pic:spPr>
                </pic:pic>
              </a:graphicData>
            </a:graphic>
          </wp:inline>
        </w:drawing>
      </w:r>
    </w:p>
    <w:p w:rsidR="00AD77BB" w:rsidRDefault="00AD77BB">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p>
    <w:p w:rsidR="00AD77BB" w:rsidRDefault="00B45BA0">
      <w:pPr>
        <w:pStyle w:val="ListParagraph"/>
        <w:numPr>
          <w:ilvl w:val="0"/>
          <w:numId w:val="234"/>
        </w:numPr>
        <w:shd w:val="clear" w:color="auto" w:fill="E3EFF7"/>
        <w:spacing w:after="0" w:line="366"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Step 5. Since 0.025 &lt; 0.05,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&lt;</w:t>
      </w:r>
      <w:r>
        <w:rPr>
          <w:rFonts w:ascii="MathJax_Math" w:eastAsia="Times New Roman" w:hAnsi="MathJax_Math" w:cs="Times New Roman"/>
          <w:b/>
          <w:i/>
          <w:iCs/>
          <w:color w:val="333333"/>
          <w:sz w:val="15"/>
          <w:szCs w:val="15"/>
        </w:rPr>
        <w:t>α</w:t>
      </w:r>
      <w:r>
        <w:rPr>
          <w:rFonts w:ascii="Calibri" w:eastAsia="Times New Roman" w:hAnsi="Calibri" w:cs="Times New Roman"/>
          <w:color w:val="333333"/>
          <w:sz w:val="20"/>
          <w:szCs w:val="20"/>
        </w:rPr>
        <w:t> so the decision is to reject the null hypothesis:</w:t>
      </w:r>
    </w:p>
    <w:p w:rsidR="00AD77BB" w:rsidRDefault="00AD77BB">
      <w:pPr>
        <w:shd w:val="clear" w:color="auto" w:fill="E3EFF7"/>
        <w:spacing w:before="150" w:after="0" w:line="366" w:lineRule="atLeast"/>
        <w:ind w:left="300" w:right="375"/>
        <w:textAlignment w:val="baseline"/>
        <w:rPr>
          <w:rFonts w:ascii="Calibri" w:eastAsia="Times New Roman" w:hAnsi="Calibri" w:cs="Times New Roman"/>
          <w:color w:val="333333"/>
          <w:sz w:val="20"/>
          <w:szCs w:val="20"/>
        </w:rPr>
      </w:pPr>
    </w:p>
    <w:p w:rsidR="00AD77BB" w:rsidRDefault="00B45BA0">
      <w:pPr>
        <w:shd w:val="clear" w:color="auto" w:fill="E3EFF7"/>
        <w:spacing w:before="150" w:after="0" w:line="366"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data provide sufficient evidence, at the 5% level of significance, to conclude that the mean fuel economy provided by Type 1 gasoline is greater than that for Type 2 gasoline.</w:t>
      </w:r>
    </w:p>
    <w:p w:rsidR="00AD77BB" w:rsidRDefault="00AD77BB">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paired two-sample experiment is a very powerful study design. It bypasses many unwanted sources of “statistical noise” that might otherwise influence the outcome of the experiment, and focuses on the possible difference that might arise from the one factor of interest.</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If the sample is large (meaning that </w:t>
      </w:r>
      <w:r>
        <w:rPr>
          <w:rFonts w:ascii="Georgia" w:eastAsia="Times New Roman" w:hAnsi="Georgia" w:cs="Times New Roman"/>
          <w:i/>
          <w:iCs/>
          <w:color w:val="333333"/>
          <w:sz w:val="20"/>
          <w:szCs w:val="20"/>
        </w:rPr>
        <w:t>n</w:t>
      </w:r>
      <w:r>
        <w:rPr>
          <w:rFonts w:ascii="Georgia" w:eastAsia="Times New Roman" w:hAnsi="Georgia" w:cs="Times New Roman"/>
          <w:color w:val="333333"/>
          <w:sz w:val="21"/>
          <w:szCs w:val="21"/>
        </w:rPr>
        <w:t> ≥ 30) then in the formula for the confidence interval we may replace </w:t>
      </w:r>
      <w:r>
        <w:rPr>
          <w:rFonts w:ascii="MathJax_Math" w:eastAsia="Times New Roman" w:hAnsi="MathJax_Math" w:cs="Times New Roman"/>
          <w:i/>
          <w:iCs/>
          <w:color w:val="333333"/>
          <w:sz w:val="18"/>
          <w:szCs w:val="18"/>
        </w:rPr>
        <w:t>t</w:t>
      </w:r>
      <w:r>
        <w:rPr>
          <w:rFonts w:ascii="MathJax_Math" w:eastAsia="Times New Roman" w:hAnsi="MathJax_Math" w:cs="Times New Roman"/>
          <w:i/>
          <w:iCs/>
          <w:color w:val="333333"/>
          <w:sz w:val="14"/>
          <w:szCs w:val="14"/>
          <w:vertAlign w:val="subscript"/>
        </w:rPr>
        <w:t>α</w:t>
      </w:r>
      <w:r>
        <w:rPr>
          <w:rFonts w:ascii="MathJax_Size1" w:eastAsia="Times New Roman" w:hAnsi="MathJax_Size1" w:cs="Times New Roman"/>
          <w:color w:val="333333"/>
          <w:sz w:val="14"/>
          <w:szCs w:val="14"/>
          <w:vertAlign w:val="subscript"/>
        </w:rPr>
        <w:t>/</w:t>
      </w:r>
      <w:r>
        <w:rPr>
          <w:rFonts w:ascii="MathJax_Main" w:eastAsia="Times New Roman" w:hAnsi="MathJax_Main" w:cs="Times New Roman"/>
          <w:color w:val="333333"/>
          <w:sz w:val="14"/>
          <w:szCs w:val="14"/>
          <w:vertAlign w:val="subscript"/>
        </w:rPr>
        <w:t>2</w:t>
      </w:r>
      <w:r>
        <w:rPr>
          <w:rFonts w:ascii="Georgia" w:eastAsia="Times New Roman" w:hAnsi="Georgia" w:cs="Times New Roman"/>
          <w:color w:val="333333"/>
          <w:sz w:val="21"/>
          <w:szCs w:val="21"/>
          <w:vertAlign w:val="subscript"/>
        </w:rPr>
        <w:t> </w:t>
      </w:r>
      <w:r>
        <w:rPr>
          <w:rFonts w:ascii="Georgia" w:eastAsia="Times New Roman" w:hAnsi="Georgia" w:cs="Times New Roman"/>
          <w:color w:val="333333"/>
          <w:sz w:val="21"/>
          <w:szCs w:val="21"/>
        </w:rPr>
        <w:t>by </w:t>
      </w:r>
      <w:r>
        <w:rPr>
          <w:rFonts w:ascii="MathJax_Math" w:eastAsia="Times New Roman" w:hAnsi="MathJax_Math" w:cs="Times New Roman"/>
          <w:i/>
          <w:iCs/>
          <w:color w:val="333333"/>
          <w:sz w:val="18"/>
          <w:szCs w:val="18"/>
        </w:rPr>
        <w:t>z</w:t>
      </w:r>
      <w:r>
        <w:rPr>
          <w:rFonts w:ascii="MathJax_Math" w:eastAsia="Times New Roman" w:hAnsi="MathJax_Math" w:cs="Times New Roman"/>
          <w:i/>
          <w:iCs/>
          <w:color w:val="333333"/>
          <w:sz w:val="14"/>
          <w:szCs w:val="14"/>
          <w:vertAlign w:val="subscript"/>
        </w:rPr>
        <w:t>α</w:t>
      </w:r>
      <w:r>
        <w:rPr>
          <w:rFonts w:ascii="MathJax_Size1" w:eastAsia="Times New Roman" w:hAnsi="MathJax_Size1" w:cs="Times New Roman"/>
          <w:color w:val="333333"/>
          <w:sz w:val="14"/>
          <w:szCs w:val="14"/>
          <w:vertAlign w:val="subscript"/>
        </w:rPr>
        <w:t>/</w:t>
      </w:r>
      <w:r>
        <w:rPr>
          <w:rFonts w:ascii="MathJax_Main" w:eastAsia="Times New Roman" w:hAnsi="MathJax_Main" w:cs="Times New Roman"/>
          <w:color w:val="333333"/>
          <w:sz w:val="14"/>
          <w:szCs w:val="14"/>
          <w:vertAlign w:val="subscript"/>
        </w:rPr>
        <w:t>2</w:t>
      </w:r>
      <w:r>
        <w:rPr>
          <w:rFonts w:ascii="MathJax_Main" w:eastAsia="Times New Roman" w:hAnsi="MathJax_Main" w:cs="Times New Roman"/>
          <w:color w:val="333333"/>
          <w:sz w:val="18"/>
          <w:szCs w:val="18"/>
        </w:rPr>
        <w:t>.</w:t>
      </w:r>
      <w:r>
        <w:rPr>
          <w:rFonts w:ascii="Georgia" w:eastAsia="Times New Roman" w:hAnsi="Georgia" w:cs="Times New Roman"/>
          <w:color w:val="333333"/>
          <w:sz w:val="21"/>
          <w:szCs w:val="21"/>
        </w:rPr>
        <w:t> For hypothesis testing when the number of pairs is at least 30, we may use the same statistic as for small samples for hypothesis testing, except now it follows a standard normal distribution, so we use the last line of </w:t>
      </w:r>
      <w:r>
        <w:rPr>
          <w:rFonts w:ascii="Georgia" w:eastAsia="Times New Roman" w:hAnsi="Georgia" w:cs="Times New Roman"/>
          <w:color w:val="2689C6"/>
          <w:sz w:val="21"/>
          <w:szCs w:val="21"/>
        </w:rPr>
        <w:t>Figure 12.3 "Critical Values of "</w:t>
      </w:r>
      <w:r>
        <w:rPr>
          <w:rFonts w:ascii="Georgia" w:eastAsia="Times New Roman" w:hAnsi="Georgia" w:cs="Times New Roman"/>
          <w:color w:val="333333"/>
          <w:sz w:val="21"/>
          <w:szCs w:val="21"/>
        </w:rPr>
        <w:t> to compute critical values, and </w:t>
      </w:r>
      <w:r>
        <w:rPr>
          <w:rFonts w:ascii="Georgia" w:eastAsia="Times New Roman" w:hAnsi="Georgia" w:cs="Times New Roman"/>
          <w:i/>
          <w:iCs/>
          <w:color w:val="333333"/>
          <w:sz w:val="20"/>
          <w:szCs w:val="20"/>
        </w:rPr>
        <w:t>p</w:t>
      </w:r>
      <w:r>
        <w:rPr>
          <w:rFonts w:ascii="Georgia" w:eastAsia="Times New Roman" w:hAnsi="Georgia" w:cs="Times New Roman"/>
          <w:color w:val="333333"/>
          <w:sz w:val="21"/>
          <w:szCs w:val="21"/>
        </w:rPr>
        <w:t>-values can be computed exactly with </w:t>
      </w:r>
      <w:r>
        <w:rPr>
          <w:rFonts w:ascii="Georgia" w:eastAsia="Times New Roman" w:hAnsi="Georgia" w:cs="Times New Roman"/>
          <w:color w:val="2689C6"/>
          <w:sz w:val="21"/>
          <w:szCs w:val="21"/>
        </w:rPr>
        <w:t>Figure 12.2 "Cumulative Normal Probability"</w:t>
      </w:r>
      <w:r>
        <w:rPr>
          <w:rFonts w:ascii="Georgia" w:eastAsia="Times New Roman" w:hAnsi="Georgia" w:cs="Times New Roman"/>
          <w:color w:val="333333"/>
          <w:sz w:val="21"/>
          <w:szCs w:val="21"/>
        </w:rPr>
        <w:t>, not merely estimated using </w:t>
      </w:r>
      <w:r>
        <w:rPr>
          <w:rFonts w:ascii="Georgia" w:eastAsia="Times New Roman" w:hAnsi="Georgia" w:cs="Times New Roman"/>
          <w:color w:val="2689C6"/>
          <w:sz w:val="21"/>
          <w:szCs w:val="21"/>
        </w:rPr>
        <w:t>Figure 12.3 "Critical Values of "</w:t>
      </w:r>
      <w:r>
        <w:rPr>
          <w:rFonts w:ascii="Georgia" w:eastAsia="Times New Roman" w:hAnsi="Georgia" w:cs="Times New Roman"/>
          <w:color w:val="333333"/>
          <w:sz w:val="21"/>
          <w:szCs w:val="21"/>
        </w:rPr>
        <w:t>.</w:t>
      </w:r>
    </w:p>
    <w:p w:rsidR="00AD77BB" w:rsidRDefault="00B45BA0">
      <w:pPr>
        <w:shd w:val="clear" w:color="auto" w:fill="39892F"/>
        <w:spacing w:after="150" w:line="360" w:lineRule="auto"/>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AD77BB" w:rsidRDefault="00B45BA0">
      <w:pPr>
        <w:numPr>
          <w:ilvl w:val="0"/>
          <w:numId w:val="235"/>
        </w:numPr>
        <w:shd w:val="clear" w:color="auto" w:fill="ECF9EA"/>
        <w:spacing w:after="0"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the data are collected in pairs, the differences computed for each pair are the data that are used in the formulas.</w:t>
      </w:r>
    </w:p>
    <w:p w:rsidR="00AD77BB" w:rsidRDefault="00B45BA0">
      <w:pPr>
        <w:numPr>
          <w:ilvl w:val="0"/>
          <w:numId w:val="235"/>
        </w:numPr>
        <w:shd w:val="clear" w:color="auto" w:fill="ECF9EA"/>
        <w:spacing w:after="0"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confidence interval for the difference in two population means using paired sampling is computed using a formula in the same fashion as was done for a single population mean.</w:t>
      </w:r>
    </w:p>
    <w:p w:rsidR="00AD77BB" w:rsidRDefault="00AD77BB">
      <w:pPr>
        <w:numPr>
          <w:ilvl w:val="0"/>
          <w:numId w:val="235"/>
        </w:numPr>
        <w:shd w:val="clear" w:color="auto" w:fill="ECF9EA"/>
        <w:spacing w:after="0" w:line="360" w:lineRule="auto"/>
        <w:ind w:left="360" w:right="375"/>
        <w:textAlignment w:val="baseline"/>
        <w:rPr>
          <w:rFonts w:ascii="Calibri" w:eastAsia="Times New Roman" w:hAnsi="Calibri" w:cs="Times New Roman"/>
          <w:color w:val="333333"/>
          <w:sz w:val="20"/>
          <w:szCs w:val="20"/>
        </w:rPr>
      </w:pPr>
    </w:p>
    <w:p w:rsidR="00AD77BB" w:rsidRDefault="00B45BA0">
      <w:pPr>
        <w:numPr>
          <w:ilvl w:val="0"/>
          <w:numId w:val="235"/>
        </w:numPr>
        <w:shd w:val="clear" w:color="auto" w:fill="ECF9EA"/>
        <w:spacing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The same five-step procedure used to test hypotheses concerning a single population mean is used to test hypotheses concerning the difference between two population means using pair sampling. The only difference is in the formula for the standardized test statistic.</w:t>
      </w:r>
    </w:p>
    <w:p w:rsidR="00AD77BB" w:rsidRDefault="00B45BA0">
      <w:pPr>
        <w:shd w:val="clear" w:color="auto" w:fill="FFFFFF" w:themeFill="background1"/>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509114F2" wp14:editId="68DD70D0">
            <wp:extent cx="5124450" cy="5610225"/>
            <wp:effectExtent l="0" t="0" r="0" b="9525"/>
            <wp:docPr id="343"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124450" cy="5610225"/>
                    </a:xfrm>
                    <a:prstGeom prst="rect">
                      <a:avLst/>
                    </a:prstGeom>
                    <a:noFill/>
                    <a:ln>
                      <a:noFill/>
                    </a:ln>
                  </pic:spPr>
                </pic:pic>
              </a:graphicData>
            </a:graphic>
          </wp:inline>
        </w:drawing>
      </w:r>
    </w:p>
    <w:p w:rsidR="00AD77BB" w:rsidRDefault="00B45BA0">
      <w:pPr>
        <w:shd w:val="clear" w:color="auto" w:fill="FFFFFF" w:themeFill="background1"/>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23DC0CB" wp14:editId="6619EE6E">
            <wp:extent cx="5210175" cy="6362700"/>
            <wp:effectExtent l="0" t="0" r="9525" b="0"/>
            <wp:docPr id="344"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210175" cy="6362700"/>
                    </a:xfrm>
                    <a:prstGeom prst="rect">
                      <a:avLst/>
                    </a:prstGeom>
                    <a:noFill/>
                    <a:ln>
                      <a:noFill/>
                    </a:ln>
                  </pic:spPr>
                </pic:pic>
              </a:graphicData>
            </a:graphic>
          </wp:inline>
        </w:drawing>
      </w:r>
    </w:p>
    <w:p w:rsidR="00AD77BB" w:rsidRDefault="00B45BA0">
      <w:pPr>
        <w:shd w:val="clear" w:color="auto" w:fill="FFFFFF" w:themeFill="background1"/>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BDCE521" wp14:editId="344EDD6F">
            <wp:extent cx="5095875" cy="5895975"/>
            <wp:effectExtent l="0" t="0" r="9525" b="9525"/>
            <wp:docPr id="345"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095875" cy="5895975"/>
                    </a:xfrm>
                    <a:prstGeom prst="rect">
                      <a:avLst/>
                    </a:prstGeom>
                    <a:noFill/>
                    <a:ln>
                      <a:noFill/>
                    </a:ln>
                  </pic:spPr>
                </pic:pic>
              </a:graphicData>
            </a:graphic>
          </wp:inline>
        </w:drawing>
      </w:r>
    </w:p>
    <w:p w:rsidR="00AD77BB" w:rsidRDefault="00AD77BB">
      <w:pPr>
        <w:spacing w:after="0" w:line="439" w:lineRule="atLeast"/>
        <w:ind w:left="450"/>
        <w:textAlignment w:val="baseline"/>
        <w:rPr>
          <w:rFonts w:ascii="Calibri" w:eastAsia="Times New Roman" w:hAnsi="Calibri" w:cs="Times New Roman"/>
          <w:color w:val="333333"/>
          <w:sz w:val="20"/>
          <w:szCs w:val="20"/>
        </w:rPr>
      </w:pPr>
    </w:p>
    <w:tbl>
      <w:tblPr>
        <w:tblW w:w="0" w:type="auto"/>
        <w:tblInd w:w="450" w:type="dxa"/>
        <w:tblCellMar>
          <w:left w:w="0" w:type="dxa"/>
          <w:right w:w="0" w:type="dxa"/>
        </w:tblCellMar>
        <w:tblLook w:val="04A0" w:firstRow="1" w:lastRow="0" w:firstColumn="1" w:lastColumn="0" w:noHBand="0" w:noVBand="1"/>
      </w:tblPr>
      <w:tblGrid>
        <w:gridCol w:w="791"/>
        <w:gridCol w:w="2264"/>
        <w:gridCol w:w="1957"/>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House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County Government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Private Company</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219</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338</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237</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269</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239</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335</w:t>
            </w:r>
          </w:p>
        </w:tc>
      </w:tr>
    </w:tbl>
    <w:p w:rsidR="00AD77BB" w:rsidRDefault="00B45BA0">
      <w:pPr>
        <w:numPr>
          <w:ilvl w:val="1"/>
          <w:numId w:val="23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 point estimate for the difference between the mean private appraisal of all such homes and the government appraisal of all such homes.</w:t>
      </w:r>
    </w:p>
    <w:p w:rsidR="00AD77BB" w:rsidRDefault="00B45BA0">
      <w:pPr>
        <w:numPr>
          <w:ilvl w:val="1"/>
          <w:numId w:val="23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the 99% confidence interval based on these data for the difference.</w:t>
      </w:r>
    </w:p>
    <w:p w:rsidR="00AD77BB" w:rsidRDefault="00B45BA0">
      <w:pPr>
        <w:numPr>
          <w:ilvl w:val="1"/>
          <w:numId w:val="23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1% level of significance, the hypothesis that appraised values by the county government of all such houses is greater than the appraised values by the private appraisal company.</w:t>
      </w:r>
    </w:p>
    <w:p w:rsidR="00AD77BB" w:rsidRDefault="00B45BA0">
      <w:pPr>
        <w:numPr>
          <w:ilvl w:val="0"/>
          <w:numId w:val="23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order to cut costs a wine producer is considering using duo or 1 + 1 corks in place of full natural wood corks, but is concerned that it could affect buyers’s perception of the quality of the wine. The wine producer shipped eight pairs of bottles of its best young wines to eight wine experts. Each pair includes one bottle with a natural wood cork and one with a duo cork. The experts are asked to rate the wines on a one to ten scale, higher numbers corresponding to higher quality. The results are:</w:t>
      </w:r>
    </w:p>
    <w:tbl>
      <w:tblPr>
        <w:tblW w:w="0" w:type="auto"/>
        <w:tblInd w:w="450" w:type="dxa"/>
        <w:tblCellMar>
          <w:left w:w="0" w:type="dxa"/>
          <w:right w:w="0" w:type="dxa"/>
        </w:tblCellMar>
        <w:tblLook w:val="04A0" w:firstRow="1" w:lastRow="0" w:firstColumn="1" w:lastColumn="0" w:noHBand="0" w:noVBand="1"/>
      </w:tblPr>
      <w:tblGrid>
        <w:gridCol w:w="1464"/>
        <w:gridCol w:w="1171"/>
        <w:gridCol w:w="1357"/>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Wine Expert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Duo Cork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Wood Cork</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r>
    </w:tbl>
    <w:p w:rsidR="00AD77BB" w:rsidRDefault="00B45BA0">
      <w:pPr>
        <w:numPr>
          <w:ilvl w:val="1"/>
          <w:numId w:val="23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 point estimate for the difference between the mean ratings of the wine when bottled are sealed with different kinds of corks.</w:t>
      </w:r>
    </w:p>
    <w:p w:rsidR="00AD77BB" w:rsidRDefault="00B45BA0">
      <w:pPr>
        <w:numPr>
          <w:ilvl w:val="1"/>
          <w:numId w:val="23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the 90% confidence interval based on these data for the difference.</w:t>
      </w:r>
    </w:p>
    <w:p w:rsidR="00AD77BB" w:rsidRDefault="00B45BA0">
      <w:pPr>
        <w:numPr>
          <w:ilvl w:val="1"/>
          <w:numId w:val="23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10% level of significance, the hypothesis that on the average duo corks decrease the rating of the wine.</w:t>
      </w:r>
    </w:p>
    <w:p w:rsidR="00AD77BB" w:rsidRDefault="00B45BA0">
      <w:pPr>
        <w:numPr>
          <w:ilvl w:val="0"/>
          <w:numId w:val="237"/>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Engineers at a tire manufacturing corporation wish to test a new tire material for increased durability. To test the tires under realistic road conditions, new front tires are mounted on each of 11 company cars, one tire made with a production material and the other with the experimental material. After a fixed period the 11 pairs were measured for wear. The amount of wear for each tire (in mm) is shown in the table:</w:t>
      </w:r>
    </w:p>
    <w:tbl>
      <w:tblPr>
        <w:tblW w:w="0" w:type="auto"/>
        <w:tblInd w:w="450" w:type="dxa"/>
        <w:tblCellMar>
          <w:left w:w="0" w:type="dxa"/>
          <w:right w:w="0" w:type="dxa"/>
        </w:tblCellMar>
        <w:tblLook w:val="04A0" w:firstRow="1" w:lastRow="0" w:firstColumn="1" w:lastColumn="0" w:noHBand="0" w:noVBand="1"/>
      </w:tblPr>
      <w:tblGrid>
        <w:gridCol w:w="550"/>
        <w:gridCol w:w="1297"/>
        <w:gridCol w:w="155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Car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Production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Experimental</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r>
    </w:tbl>
    <w:p w:rsidR="00AD77BB" w:rsidRDefault="00B45BA0">
      <w:pPr>
        <w:numPr>
          <w:ilvl w:val="1"/>
          <w:numId w:val="23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 point estimate for the difference in mean wear.</w:t>
      </w:r>
    </w:p>
    <w:p w:rsidR="00AD77BB" w:rsidRDefault="00B45BA0">
      <w:pPr>
        <w:numPr>
          <w:ilvl w:val="1"/>
          <w:numId w:val="23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the 99% confidence interval for the difference based on these data.</w:t>
      </w:r>
    </w:p>
    <w:p w:rsidR="00AD77BB" w:rsidRDefault="00B45BA0">
      <w:pPr>
        <w:numPr>
          <w:ilvl w:val="1"/>
          <w:numId w:val="23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1% level of significance, the hypothesis that the mean wear with the experimental material is less than that for the production material.</w:t>
      </w:r>
    </w:p>
    <w:p w:rsidR="00AD77BB" w:rsidRDefault="00B45BA0">
      <w:pPr>
        <w:numPr>
          <w:ilvl w:val="0"/>
          <w:numId w:val="237"/>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A marriage counselor administered a test designed to measure overall contentment to 30 randomly selected married couples. The scores for each couple are given below. A higher number corresponds to greater contentment or happiness.</w:t>
      </w:r>
    </w:p>
    <w:tbl>
      <w:tblPr>
        <w:tblW w:w="0" w:type="auto"/>
        <w:tblInd w:w="450" w:type="dxa"/>
        <w:tblCellMar>
          <w:left w:w="0" w:type="dxa"/>
          <w:right w:w="0" w:type="dxa"/>
        </w:tblCellMar>
        <w:tblLook w:val="04A0" w:firstRow="1" w:lastRow="0" w:firstColumn="1" w:lastColumn="0" w:noHBand="0" w:noVBand="1"/>
      </w:tblPr>
      <w:tblGrid>
        <w:gridCol w:w="884"/>
        <w:gridCol w:w="1084"/>
        <w:gridCol w:w="644"/>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Couple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Husband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Wife</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r>
    </w:tbl>
    <w:p w:rsidR="00AD77BB" w:rsidRDefault="00B45BA0">
      <w:pPr>
        <w:numPr>
          <w:ilvl w:val="1"/>
          <w:numId w:val="23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1% level of significance, the hypothesis that on average men and women are not equally happy in marriage.</w:t>
      </w:r>
    </w:p>
    <w:p w:rsidR="00AD77BB" w:rsidRDefault="00B45BA0">
      <w:pPr>
        <w:numPr>
          <w:ilvl w:val="1"/>
          <w:numId w:val="23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1% level of significance, the hypothesis that on average men are happier than women in marriage.</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LARGE DATA SET EXERCISES</w:t>
      </w:r>
    </w:p>
    <w:p w:rsidR="00AD77BB" w:rsidRDefault="00B45BA0">
      <w:pPr>
        <w:pStyle w:val="para"/>
        <w:numPr>
          <w:ilvl w:val="0"/>
          <w:numId w:val="23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Large Data Set 5 lists the scores for 25 randomly selected students on practice SAT reading tests before and after taking a two-week SAT preparation course. Denote the population of all students who have taken the course as Population 1 and the population of all students who have not taken the course as Population 2.</w:t>
      </w:r>
    </w:p>
    <w:p w:rsidR="00AD77BB" w:rsidRDefault="00B45BA0">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2689C6"/>
          <w:sz w:val="20"/>
          <w:szCs w:val="20"/>
        </w:rPr>
        <w:t>http://www.5.xls</w:t>
      </w:r>
    </w:p>
    <w:p w:rsidR="00AD77BB" w:rsidRDefault="00AD77BB">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p>
    <w:p w:rsidR="00AD77BB" w:rsidRDefault="00B45BA0">
      <w:pPr>
        <w:numPr>
          <w:ilvl w:val="1"/>
          <w:numId w:val="23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25 differences in the order</w:t>
      </w:r>
      <w:r>
        <w:rPr>
          <w:rStyle w:val="apple-converted-space"/>
          <w:rFonts w:ascii="Calibri" w:hAnsi="Calibri"/>
          <w:color w:val="333333"/>
          <w:sz w:val="20"/>
          <w:szCs w:val="20"/>
        </w:rPr>
        <w:t> </w:t>
      </w:r>
      <w:r>
        <w:rPr>
          <w:rStyle w:val="mtext"/>
          <w:rFonts w:ascii="MathJax_Main" w:hAnsi="MathJax_Main"/>
          <w:color w:val="333333"/>
          <w:sz w:val="15"/>
          <w:szCs w:val="15"/>
        </w:rPr>
        <w:t> after</w:t>
      </w:r>
      <w:r>
        <w:rPr>
          <w:rStyle w:val="mo"/>
          <w:rFonts w:ascii="MathJax_Main" w:hAnsi="MathJax_Main"/>
          <w:color w:val="333333"/>
          <w:sz w:val="15"/>
          <w:szCs w:val="15"/>
        </w:rPr>
        <w:t>−</w:t>
      </w:r>
      <w:r>
        <w:rPr>
          <w:rStyle w:val="mtext"/>
          <w:rFonts w:ascii="MathJax_Main" w:hAnsi="MathJax_Main"/>
          <w:color w:val="333333"/>
          <w:sz w:val="15"/>
          <w:szCs w:val="15"/>
        </w:rPr>
        <w:t> before</w:t>
      </w:r>
      <w:r>
        <w:rPr>
          <w:rFonts w:ascii="Calibri" w:hAnsi="Calibri"/>
          <w:color w:val="333333"/>
          <w:sz w:val="20"/>
          <w:szCs w:val="20"/>
        </w:rPr>
        <w:t>, their mean</w:t>
      </w:r>
      <w:r>
        <w:rPr>
          <w:rStyle w:val="apple-converted-space"/>
          <w:rFonts w:ascii="Calibri" w:hAnsi="Calibri"/>
          <w:color w:val="333333"/>
          <w:sz w:val="20"/>
          <w:szCs w:val="20"/>
        </w:rPr>
        <w:t> </w:t>
      </w:r>
      <w:r>
        <w:rPr>
          <w:rStyle w:val="mi"/>
          <w:rFonts w:ascii="MathJax_Math" w:hAnsi="MathJax_Math"/>
          <w:i/>
          <w:iCs/>
          <w:color w:val="333333"/>
          <w:sz w:val="15"/>
          <w:szCs w:val="15"/>
        </w:rPr>
        <w:t>d</w:t>
      </w:r>
      <w:r>
        <w:rPr>
          <w:rStyle w:val="mo"/>
          <w:rFonts w:ascii="MathJax_Main" w:hAnsi="MathJax_Main"/>
          <w:color w:val="333333"/>
          <w:sz w:val="15"/>
          <w:szCs w:val="15"/>
        </w:rPr>
        <w:t>−</w:t>
      </w:r>
      <w:r>
        <w:rPr>
          <w:rFonts w:ascii="Calibri" w:hAnsi="Calibri"/>
          <w:color w:val="333333"/>
          <w:sz w:val="20"/>
          <w:szCs w:val="20"/>
        </w:rPr>
        <w:t>, and their sample standard deviation</w:t>
      </w:r>
      <w:r>
        <w:rPr>
          <w:rStyle w:val="apple-converted-space"/>
          <w:rFonts w:ascii="Calibri" w:hAnsi="Calibri"/>
          <w:color w:val="333333"/>
          <w:sz w:val="20"/>
          <w:szCs w:val="20"/>
        </w:rPr>
        <w:t> </w:t>
      </w:r>
      <w:r>
        <w:rPr>
          <w:rStyle w:val="Emphasis"/>
          <w:rFonts w:ascii="Calibri" w:hAnsi="Calibri"/>
          <w:color w:val="333333"/>
          <w:sz w:val="20"/>
          <w:szCs w:val="20"/>
        </w:rPr>
        <w:t>s</w:t>
      </w:r>
      <w:r>
        <w:rPr>
          <w:rStyle w:val="Emphasis"/>
          <w:rFonts w:ascii="Calibri" w:hAnsi="Calibri"/>
          <w:color w:val="333333"/>
          <w:sz w:val="20"/>
          <w:szCs w:val="20"/>
          <w:vertAlign w:val="subscript"/>
        </w:rPr>
        <w:t>d</w:t>
      </w:r>
      <w:r>
        <w:rPr>
          <w:rFonts w:ascii="Calibri" w:hAnsi="Calibri"/>
          <w:color w:val="333333"/>
          <w:sz w:val="20"/>
          <w:szCs w:val="20"/>
        </w:rPr>
        <w:t>.</w:t>
      </w:r>
    </w:p>
    <w:p w:rsidR="00AD77BB" w:rsidRDefault="00B45BA0">
      <w:pPr>
        <w:numPr>
          <w:ilvl w:val="1"/>
          <w:numId w:val="23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w:t>
      </w:r>
      <w:r>
        <w:rPr>
          <w:rStyle w:val="apple-converted-space"/>
          <w:rFonts w:ascii="Calibri" w:hAnsi="Calibri"/>
          <w:color w:val="333333"/>
          <w:sz w:val="20"/>
          <w:szCs w:val="20"/>
        </w:rPr>
        <w:t> </w:t>
      </w:r>
      <w:r>
        <w:rPr>
          <w:rStyle w:val="mi"/>
          <w:rFonts w:ascii="MathJax_Math" w:hAnsi="MathJax_Math"/>
          <w:i/>
          <w:iCs/>
          <w:color w:val="333333"/>
          <w:sz w:val="15"/>
          <w:szCs w:val="15"/>
        </w:rPr>
        <w:t>μ</w:t>
      </w:r>
      <w:r>
        <w:rPr>
          <w:rStyle w:val="mi"/>
          <w:rFonts w:ascii="MathJax_Math" w:hAnsi="MathJax_Math"/>
          <w:i/>
          <w:iCs/>
          <w:color w:val="333333"/>
          <w:sz w:val="12"/>
          <w:szCs w:val="12"/>
        </w:rPr>
        <w:t>d</w:t>
      </w:r>
      <w:r>
        <w:rPr>
          <w:rStyle w:val="mo"/>
          <w:rFonts w:ascii="MathJax_Main" w:hAnsi="MathJax_Main"/>
          <w:color w:val="333333"/>
          <w:sz w:val="15"/>
          <w:szCs w:val="15"/>
        </w:rPr>
        <w:t>=</w:t>
      </w:r>
      <w:r>
        <w:rPr>
          <w:rStyle w:val="mi"/>
          <w:rFonts w:ascii="MathJax_Math" w:hAnsi="MathJax_Math"/>
          <w:i/>
          <w:iCs/>
          <w:color w:val="333333"/>
          <w:sz w:val="15"/>
          <w:szCs w:val="15"/>
        </w:rPr>
        <w:t>μ</w:t>
      </w:r>
      <w:r>
        <w:rPr>
          <w:rStyle w:val="mn"/>
          <w:rFonts w:ascii="MathJax_Main" w:hAnsi="MathJax_Main"/>
          <w:color w:val="333333"/>
          <w:sz w:val="12"/>
          <w:szCs w:val="12"/>
        </w:rPr>
        <w:t>1</w:t>
      </w:r>
      <w:r>
        <w:rPr>
          <w:rStyle w:val="mo"/>
          <w:rFonts w:ascii="MathJax_Main" w:hAnsi="MathJax_Main"/>
          <w:color w:val="333333"/>
          <w:sz w:val="15"/>
          <w:szCs w:val="15"/>
        </w:rPr>
        <w:t>−</w:t>
      </w:r>
      <w:r>
        <w:rPr>
          <w:rStyle w:val="mi"/>
          <w:rFonts w:ascii="MathJax_Math" w:hAnsi="MathJax_Math"/>
          <w:i/>
          <w:iCs/>
          <w:color w:val="333333"/>
          <w:sz w:val="15"/>
          <w:szCs w:val="15"/>
        </w:rPr>
        <w:t>μ</w:t>
      </w:r>
      <w:r>
        <w:rPr>
          <w:rStyle w:val="mn"/>
          <w:rFonts w:ascii="MathJax_Main" w:hAnsi="MathJax_Main"/>
          <w:color w:val="333333"/>
          <w:sz w:val="12"/>
          <w:szCs w:val="12"/>
        </w:rPr>
        <w:t>2</w:t>
      </w:r>
      <w:r>
        <w:rPr>
          <w:rFonts w:ascii="Calibri" w:hAnsi="Calibri"/>
          <w:color w:val="333333"/>
          <w:sz w:val="20"/>
          <w:szCs w:val="20"/>
        </w:rPr>
        <w:t>, the difference in the mean score of all students who have taken the course and the mean score of all who have not.</w:t>
      </w:r>
    </w:p>
    <w:p w:rsidR="00AD77BB" w:rsidRDefault="00B45BA0">
      <w:pPr>
        <w:numPr>
          <w:ilvl w:val="1"/>
          <w:numId w:val="23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a 98% confidence interval for</w:t>
      </w:r>
      <w:r>
        <w:rPr>
          <w:rStyle w:val="apple-converted-space"/>
          <w:rFonts w:ascii="Calibri" w:hAnsi="Calibri"/>
          <w:color w:val="333333"/>
          <w:sz w:val="20"/>
          <w:szCs w:val="20"/>
        </w:rPr>
        <w:t> </w:t>
      </w:r>
      <w:r>
        <w:rPr>
          <w:rStyle w:val="mi"/>
          <w:rFonts w:ascii="MathJax_Math" w:hAnsi="MathJax_Math"/>
          <w:i/>
          <w:iCs/>
          <w:color w:val="333333"/>
          <w:sz w:val="15"/>
          <w:szCs w:val="15"/>
        </w:rPr>
        <w:t>μ</w:t>
      </w:r>
      <w:r>
        <w:rPr>
          <w:rStyle w:val="mi"/>
          <w:rFonts w:ascii="MathJax_Math" w:hAnsi="MathJax_Math"/>
          <w:i/>
          <w:iCs/>
          <w:color w:val="333333"/>
          <w:sz w:val="12"/>
          <w:szCs w:val="12"/>
        </w:rPr>
        <w:t>d</w:t>
      </w:r>
      <w:r>
        <w:rPr>
          <w:rStyle w:val="mo"/>
          <w:rFonts w:ascii="MathJax_Main" w:hAnsi="MathJax_Main"/>
          <w:color w:val="333333"/>
          <w:sz w:val="15"/>
          <w:szCs w:val="15"/>
        </w:rPr>
        <w:t>.</w:t>
      </w:r>
    </w:p>
    <w:p w:rsidR="00AD77BB" w:rsidRDefault="00B45BA0">
      <w:pPr>
        <w:numPr>
          <w:ilvl w:val="1"/>
          <w:numId w:val="23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lastRenderedPageBreak/>
        <w:t>Test, at the 1% level of significance, the hypothesis that the mean SAT score increases by at least ten points by taking the two-week preparation course.</w:t>
      </w:r>
    </w:p>
    <w:p w:rsidR="00AD77BB" w:rsidRDefault="00AD77BB">
      <w:pPr>
        <w:shd w:val="clear" w:color="auto" w:fill="DAEEF3" w:themeFill="accent5" w:themeFillTint="33"/>
        <w:spacing w:after="0" w:line="360" w:lineRule="auto"/>
        <w:ind w:left="1440"/>
        <w:textAlignment w:val="baseline"/>
        <w:rPr>
          <w:rFonts w:ascii="Calibri" w:hAnsi="Calibri"/>
          <w:color w:val="333333"/>
          <w:sz w:val="20"/>
          <w:szCs w:val="20"/>
        </w:rPr>
      </w:pPr>
    </w:p>
    <w:p w:rsidR="00AD77BB" w:rsidRDefault="00B45BA0">
      <w:pPr>
        <w:pStyle w:val="para"/>
        <w:numPr>
          <w:ilvl w:val="0"/>
          <w:numId w:val="23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Large Data Set 12 lists the scores on one round for 75 randomly selected members at a golf course, first using their own original clubs, then two months later after using new clubs with an experimental design. Denote the population of all golfers using their own original clubs as Population 1 and the population of all golfers using the new style clubs as Population 2.</w:t>
      </w:r>
    </w:p>
    <w:p w:rsidR="00AD77BB" w:rsidRDefault="00B45BA0">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2689C6"/>
          <w:sz w:val="20"/>
          <w:szCs w:val="20"/>
        </w:rPr>
        <w:t>http://www.12.xls</w:t>
      </w:r>
    </w:p>
    <w:p w:rsidR="00AD77BB" w:rsidRDefault="00AD77BB">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p>
    <w:p w:rsidR="00AD77BB" w:rsidRDefault="00B45BA0">
      <w:pPr>
        <w:numPr>
          <w:ilvl w:val="1"/>
          <w:numId w:val="23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75 differences in the order</w:t>
      </w:r>
      <w:r>
        <w:rPr>
          <w:rStyle w:val="apple-converted-space"/>
          <w:rFonts w:ascii="Calibri" w:hAnsi="Calibri"/>
          <w:color w:val="333333"/>
          <w:sz w:val="20"/>
          <w:szCs w:val="20"/>
        </w:rPr>
        <w:t> </w:t>
      </w:r>
      <w:r>
        <w:rPr>
          <w:rStyle w:val="mtext"/>
          <w:rFonts w:ascii="MathJax_Main" w:hAnsi="MathJax_Main"/>
          <w:color w:val="333333"/>
          <w:sz w:val="15"/>
          <w:szCs w:val="15"/>
        </w:rPr>
        <w:t> original clubs</w:t>
      </w:r>
      <w:r>
        <w:rPr>
          <w:rStyle w:val="mo"/>
          <w:rFonts w:ascii="MathJax_Main" w:hAnsi="MathJax_Main"/>
          <w:color w:val="333333"/>
          <w:sz w:val="15"/>
          <w:szCs w:val="15"/>
        </w:rPr>
        <w:t>−</w:t>
      </w:r>
      <w:r>
        <w:rPr>
          <w:rStyle w:val="mtext"/>
          <w:rFonts w:ascii="MathJax_Main" w:hAnsi="MathJax_Main"/>
          <w:color w:val="333333"/>
          <w:sz w:val="15"/>
          <w:szCs w:val="15"/>
        </w:rPr>
        <w:t> new clubs</w:t>
      </w:r>
      <w:r>
        <w:rPr>
          <w:rFonts w:ascii="Calibri" w:hAnsi="Calibri"/>
          <w:color w:val="333333"/>
          <w:sz w:val="20"/>
          <w:szCs w:val="20"/>
        </w:rPr>
        <w:t>, their mean</w:t>
      </w:r>
      <w:r>
        <w:rPr>
          <w:rStyle w:val="apple-converted-space"/>
          <w:rFonts w:ascii="Calibri" w:hAnsi="Calibri"/>
          <w:color w:val="333333"/>
          <w:sz w:val="20"/>
          <w:szCs w:val="20"/>
        </w:rPr>
        <w:t> </w:t>
      </w:r>
      <w:r>
        <w:rPr>
          <w:rStyle w:val="mi"/>
          <w:rFonts w:ascii="MathJax_Math" w:hAnsi="MathJax_Math"/>
          <w:i/>
          <w:iCs/>
          <w:color w:val="333333"/>
          <w:sz w:val="15"/>
          <w:szCs w:val="15"/>
        </w:rPr>
        <w:t>d</w:t>
      </w:r>
      <w:r>
        <w:rPr>
          <w:rStyle w:val="mo"/>
          <w:rFonts w:ascii="MathJax_Main" w:hAnsi="MathJax_Main"/>
          <w:color w:val="333333"/>
          <w:sz w:val="15"/>
          <w:szCs w:val="15"/>
        </w:rPr>
        <w:t>−</w:t>
      </w:r>
      <w:r>
        <w:rPr>
          <w:rFonts w:ascii="Calibri" w:hAnsi="Calibri"/>
          <w:color w:val="333333"/>
          <w:sz w:val="20"/>
          <w:szCs w:val="20"/>
        </w:rPr>
        <w:t>, and their sample standard deviation</w:t>
      </w:r>
      <w:r>
        <w:rPr>
          <w:rStyle w:val="apple-converted-space"/>
          <w:rFonts w:ascii="Calibri" w:hAnsi="Calibri"/>
          <w:color w:val="333333"/>
          <w:sz w:val="20"/>
          <w:szCs w:val="20"/>
        </w:rPr>
        <w:t> </w:t>
      </w:r>
      <w:r>
        <w:rPr>
          <w:rStyle w:val="Emphasis"/>
          <w:rFonts w:ascii="Calibri" w:hAnsi="Calibri"/>
          <w:color w:val="333333"/>
          <w:sz w:val="20"/>
          <w:szCs w:val="20"/>
        </w:rPr>
        <w:t>s</w:t>
      </w:r>
      <w:r>
        <w:rPr>
          <w:rStyle w:val="Emphasis"/>
          <w:rFonts w:ascii="Calibri" w:hAnsi="Calibri"/>
          <w:color w:val="333333"/>
          <w:sz w:val="20"/>
          <w:szCs w:val="20"/>
          <w:vertAlign w:val="subscript"/>
        </w:rPr>
        <w:t>d</w:t>
      </w:r>
      <w:r>
        <w:rPr>
          <w:rFonts w:ascii="Calibri" w:hAnsi="Calibri"/>
          <w:color w:val="333333"/>
          <w:sz w:val="20"/>
          <w:szCs w:val="20"/>
        </w:rPr>
        <w:t>.</w:t>
      </w:r>
    </w:p>
    <w:p w:rsidR="00AD77BB" w:rsidRDefault="00B45BA0">
      <w:pPr>
        <w:numPr>
          <w:ilvl w:val="1"/>
          <w:numId w:val="23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w:t>
      </w:r>
      <w:r>
        <w:rPr>
          <w:rStyle w:val="apple-converted-space"/>
          <w:rFonts w:ascii="Calibri" w:hAnsi="Calibri"/>
          <w:color w:val="333333"/>
          <w:sz w:val="20"/>
          <w:szCs w:val="20"/>
        </w:rPr>
        <w:t> </w:t>
      </w:r>
      <w:r>
        <w:rPr>
          <w:rStyle w:val="mi"/>
          <w:rFonts w:ascii="MathJax_Math" w:hAnsi="MathJax_Math"/>
          <w:i/>
          <w:iCs/>
          <w:color w:val="333333"/>
          <w:sz w:val="15"/>
          <w:szCs w:val="15"/>
        </w:rPr>
        <w:t>μ</w:t>
      </w:r>
      <w:r>
        <w:rPr>
          <w:rStyle w:val="mi"/>
          <w:rFonts w:ascii="MathJax_Math" w:hAnsi="MathJax_Math"/>
          <w:i/>
          <w:iCs/>
          <w:color w:val="333333"/>
          <w:sz w:val="12"/>
          <w:szCs w:val="12"/>
        </w:rPr>
        <w:t>d</w:t>
      </w:r>
      <w:r>
        <w:rPr>
          <w:rStyle w:val="mo"/>
          <w:rFonts w:ascii="MathJax_Main" w:hAnsi="MathJax_Main"/>
          <w:color w:val="333333"/>
          <w:sz w:val="15"/>
          <w:szCs w:val="15"/>
        </w:rPr>
        <w:t>=</w:t>
      </w:r>
      <w:r>
        <w:rPr>
          <w:rStyle w:val="mi"/>
          <w:rFonts w:ascii="MathJax_Math" w:hAnsi="MathJax_Math"/>
          <w:i/>
          <w:iCs/>
          <w:color w:val="333333"/>
          <w:sz w:val="15"/>
          <w:szCs w:val="15"/>
        </w:rPr>
        <w:t>μ</w:t>
      </w:r>
      <w:r>
        <w:rPr>
          <w:rStyle w:val="mn"/>
          <w:rFonts w:ascii="MathJax_Main" w:hAnsi="MathJax_Main"/>
          <w:color w:val="333333"/>
          <w:sz w:val="12"/>
          <w:szCs w:val="12"/>
        </w:rPr>
        <w:t>1</w:t>
      </w:r>
      <w:r>
        <w:rPr>
          <w:rStyle w:val="mo"/>
          <w:rFonts w:ascii="MathJax_Main" w:hAnsi="MathJax_Main"/>
          <w:color w:val="333333"/>
          <w:sz w:val="15"/>
          <w:szCs w:val="15"/>
        </w:rPr>
        <w:t>−</w:t>
      </w:r>
      <w:r>
        <w:rPr>
          <w:rStyle w:val="mi"/>
          <w:rFonts w:ascii="MathJax_Math" w:hAnsi="MathJax_Math"/>
          <w:i/>
          <w:iCs/>
          <w:color w:val="333333"/>
          <w:sz w:val="15"/>
          <w:szCs w:val="15"/>
        </w:rPr>
        <w:t>μ</w:t>
      </w:r>
      <w:r>
        <w:rPr>
          <w:rStyle w:val="mn"/>
          <w:rFonts w:ascii="MathJax_Main" w:hAnsi="MathJax_Main"/>
          <w:color w:val="333333"/>
          <w:sz w:val="12"/>
          <w:szCs w:val="12"/>
        </w:rPr>
        <w:t>2</w:t>
      </w:r>
      <w:r>
        <w:rPr>
          <w:rFonts w:ascii="Calibri" w:hAnsi="Calibri"/>
          <w:color w:val="333333"/>
          <w:sz w:val="20"/>
          <w:szCs w:val="20"/>
        </w:rPr>
        <w:t>, the difference in the mean score of all golfers using their original clubs and the mean score of all golfers using the new kind of clubs.</w:t>
      </w:r>
    </w:p>
    <w:p w:rsidR="00AD77BB" w:rsidRDefault="00B45BA0">
      <w:pPr>
        <w:numPr>
          <w:ilvl w:val="1"/>
          <w:numId w:val="23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a 90% confidence interval for</w:t>
      </w:r>
      <w:r>
        <w:rPr>
          <w:rStyle w:val="apple-converted-space"/>
          <w:rFonts w:ascii="Calibri" w:hAnsi="Calibri"/>
          <w:color w:val="333333"/>
          <w:sz w:val="20"/>
          <w:szCs w:val="20"/>
        </w:rPr>
        <w:t> </w:t>
      </w:r>
      <w:r>
        <w:rPr>
          <w:rStyle w:val="mi"/>
          <w:rFonts w:ascii="MathJax_Math" w:hAnsi="MathJax_Math"/>
          <w:i/>
          <w:iCs/>
          <w:color w:val="333333"/>
          <w:sz w:val="15"/>
          <w:szCs w:val="15"/>
        </w:rPr>
        <w:t>μ</w:t>
      </w:r>
      <w:r>
        <w:rPr>
          <w:rStyle w:val="mi"/>
          <w:rFonts w:ascii="MathJax_Math" w:hAnsi="MathJax_Math"/>
          <w:i/>
          <w:iCs/>
          <w:color w:val="333333"/>
          <w:sz w:val="12"/>
          <w:szCs w:val="12"/>
        </w:rPr>
        <w:t>d</w:t>
      </w:r>
      <w:r>
        <w:rPr>
          <w:rStyle w:val="mo"/>
          <w:rFonts w:ascii="MathJax_Main" w:hAnsi="MathJax_Main"/>
          <w:color w:val="333333"/>
          <w:sz w:val="15"/>
          <w:szCs w:val="15"/>
        </w:rPr>
        <w:t>.</w:t>
      </w:r>
    </w:p>
    <w:p w:rsidR="00AD77BB" w:rsidRDefault="00B45BA0">
      <w:pPr>
        <w:numPr>
          <w:ilvl w:val="1"/>
          <w:numId w:val="23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Test, at the 1% level of significance, the hypothesis that the mean golf score decreases by at least one stroke by using the new kind of clubs.</w:t>
      </w:r>
    </w:p>
    <w:p w:rsidR="00AD77BB" w:rsidRDefault="00B45BA0">
      <w:pPr>
        <w:pStyle w:val="para"/>
        <w:numPr>
          <w:ilvl w:val="0"/>
          <w:numId w:val="23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Consider the previous problem again. Since the data set is so large, it is reasonable to use the standard normal distribution instead of Student’s</w:t>
      </w:r>
      <w:r>
        <w:rPr>
          <w:rStyle w:val="apple-converted-space"/>
          <w:rFonts w:ascii="Calibri" w:eastAsiaTheme="majorEastAsia" w:hAnsi="Calibri"/>
          <w:color w:val="333333"/>
          <w:sz w:val="20"/>
          <w:szCs w:val="20"/>
        </w:rPr>
        <w:t> </w:t>
      </w:r>
      <w:r>
        <w:rPr>
          <w:rStyle w:val="Emphasis"/>
          <w:rFonts w:ascii="Calibri" w:hAnsi="Calibri"/>
          <w:color w:val="333333"/>
          <w:sz w:val="20"/>
          <w:szCs w:val="20"/>
        </w:rPr>
        <w:t>t</w:t>
      </w:r>
      <w:r>
        <w:rPr>
          <w:rFonts w:ascii="Calibri" w:hAnsi="Calibri"/>
          <w:color w:val="333333"/>
          <w:sz w:val="20"/>
          <w:szCs w:val="20"/>
        </w:rPr>
        <w:t>-distribution with 74 degrees of freedom.</w:t>
      </w:r>
    </w:p>
    <w:p w:rsidR="00AD77BB" w:rsidRDefault="00B45BA0">
      <w:pPr>
        <w:numPr>
          <w:ilvl w:val="1"/>
          <w:numId w:val="23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a 90% confidence interval for</w:t>
      </w:r>
      <w:r>
        <w:rPr>
          <w:rStyle w:val="apple-converted-space"/>
          <w:rFonts w:ascii="Calibri" w:hAnsi="Calibri"/>
          <w:color w:val="333333"/>
          <w:sz w:val="20"/>
          <w:szCs w:val="20"/>
        </w:rPr>
        <w:t> </w:t>
      </w:r>
      <w:r>
        <w:rPr>
          <w:rStyle w:val="mi"/>
          <w:rFonts w:ascii="MathJax_Math" w:hAnsi="MathJax_Math"/>
          <w:i/>
          <w:iCs/>
          <w:color w:val="333333"/>
          <w:sz w:val="15"/>
          <w:szCs w:val="15"/>
        </w:rPr>
        <w:t>μ</w:t>
      </w:r>
      <w:r>
        <w:rPr>
          <w:rStyle w:val="mi"/>
          <w:rFonts w:ascii="MathJax_Math" w:hAnsi="MathJax_Math"/>
          <w:i/>
          <w:iCs/>
          <w:color w:val="333333"/>
          <w:sz w:val="12"/>
          <w:szCs w:val="12"/>
        </w:rPr>
        <w:t>d</w:t>
      </w:r>
      <w:r>
        <w:rPr>
          <w:rStyle w:val="apple-converted-space"/>
          <w:rFonts w:ascii="Calibri" w:hAnsi="Calibri"/>
          <w:color w:val="333333"/>
          <w:sz w:val="20"/>
          <w:szCs w:val="20"/>
        </w:rPr>
        <w:t> </w:t>
      </w:r>
      <w:r>
        <w:rPr>
          <w:rFonts w:ascii="Calibri" w:hAnsi="Calibri"/>
          <w:color w:val="333333"/>
          <w:sz w:val="20"/>
          <w:szCs w:val="20"/>
        </w:rPr>
        <w:t>using the standard normal distribution, meaning that the formula is</w:t>
      </w:r>
      <w:r>
        <w:rPr>
          <w:rStyle w:val="apple-converted-space"/>
          <w:rFonts w:ascii="Calibri" w:hAnsi="Calibri"/>
          <w:color w:val="333333"/>
          <w:sz w:val="20"/>
          <w:szCs w:val="20"/>
        </w:rPr>
        <w:t> </w:t>
      </w:r>
      <w:r>
        <w:rPr>
          <w:rStyle w:val="mi"/>
          <w:rFonts w:ascii="MathJax_Math" w:hAnsi="MathJax_Math"/>
          <w:i/>
          <w:iCs/>
          <w:color w:val="333333"/>
          <w:sz w:val="15"/>
          <w:szCs w:val="15"/>
        </w:rPr>
        <w:t>d</w:t>
      </w:r>
      <w:r>
        <w:rPr>
          <w:rStyle w:val="mo"/>
          <w:rFonts w:ascii="MathJax_Main" w:hAnsi="MathJax_Main"/>
          <w:color w:val="333333"/>
          <w:sz w:val="15"/>
          <w:szCs w:val="15"/>
        </w:rPr>
        <w:t>−±</w:t>
      </w:r>
      <w:r>
        <w:rPr>
          <w:rStyle w:val="mi"/>
          <w:rFonts w:ascii="MathJax_Math" w:hAnsi="MathJax_Math"/>
          <w:i/>
          <w:iCs/>
          <w:color w:val="333333"/>
          <w:sz w:val="15"/>
          <w:szCs w:val="15"/>
        </w:rPr>
        <w:t>z</w:t>
      </w:r>
      <w:r>
        <w:rPr>
          <w:rStyle w:val="mi"/>
          <w:rFonts w:ascii="MathJax_Math" w:hAnsi="MathJax_Math"/>
          <w:i/>
          <w:iCs/>
          <w:color w:val="333333"/>
          <w:sz w:val="12"/>
          <w:szCs w:val="12"/>
        </w:rPr>
        <w:t>α</w:t>
      </w:r>
      <w:r>
        <w:rPr>
          <w:rStyle w:val="mo"/>
          <w:rFonts w:ascii="MathJax_Size1" w:hAnsi="MathJax_Size1"/>
          <w:color w:val="333333"/>
          <w:sz w:val="12"/>
          <w:szCs w:val="12"/>
        </w:rPr>
        <w:t>/</w:t>
      </w:r>
      <w:r>
        <w:rPr>
          <w:rStyle w:val="mn"/>
          <w:rFonts w:ascii="MathJax_Main" w:hAnsi="MathJax_Main"/>
          <w:color w:val="333333"/>
          <w:sz w:val="12"/>
          <w:szCs w:val="12"/>
        </w:rPr>
        <w:t>2</w:t>
      </w:r>
      <w:r>
        <w:rPr>
          <w:rStyle w:val="mi"/>
          <w:rFonts w:ascii="MathJax_Math" w:hAnsi="MathJax_Math"/>
          <w:i/>
          <w:iCs/>
          <w:color w:val="333333"/>
          <w:sz w:val="12"/>
          <w:szCs w:val="12"/>
        </w:rPr>
        <w:t>sdn</w:t>
      </w:r>
      <w:r>
        <w:rPr>
          <w:rStyle w:val="msqrt"/>
          <w:rFonts w:ascii="MathJax_Main" w:hAnsi="MathJax_Main"/>
          <w:color w:val="333333"/>
          <w:sz w:val="12"/>
          <w:szCs w:val="12"/>
        </w:rPr>
        <w:t>−−√</w:t>
      </w:r>
      <w:r>
        <w:rPr>
          <w:rStyle w:val="mo"/>
          <w:rFonts w:ascii="MathJax_Main" w:hAnsi="MathJax_Main"/>
          <w:color w:val="333333"/>
          <w:sz w:val="15"/>
          <w:szCs w:val="15"/>
        </w:rPr>
        <w:t>.</w:t>
      </w:r>
      <w:r>
        <w:rPr>
          <w:rStyle w:val="apple-converted-space"/>
          <w:rFonts w:ascii="Calibri" w:hAnsi="Calibri"/>
          <w:color w:val="333333"/>
          <w:sz w:val="20"/>
          <w:szCs w:val="20"/>
        </w:rPr>
        <w:t> </w:t>
      </w:r>
      <w:r>
        <w:rPr>
          <w:rFonts w:ascii="Calibri" w:hAnsi="Calibri"/>
          <w:color w:val="333333"/>
          <w:sz w:val="20"/>
          <w:szCs w:val="20"/>
        </w:rPr>
        <w:t>(The computations done in part (a) of the previous problem still apply and need not be redone.) How does the result obtained here compare to the result obtained in part (c) of the previous problem?</w:t>
      </w:r>
    </w:p>
    <w:p w:rsidR="00AD77BB" w:rsidRDefault="00B45BA0">
      <w:pPr>
        <w:numPr>
          <w:ilvl w:val="1"/>
          <w:numId w:val="23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Test, at the 1% level of significance, the hypothesis that the mean golf score decreases by at least one stroke by using the new kind of clubs, using the standard normal distribution. (All the work done in part (d) of the previous problem applies, except the critical value is now</w:t>
      </w:r>
      <w:r>
        <w:rPr>
          <w:rStyle w:val="apple-converted-space"/>
          <w:rFonts w:ascii="Calibri" w:hAnsi="Calibri"/>
          <w:color w:val="333333"/>
          <w:sz w:val="20"/>
          <w:szCs w:val="20"/>
        </w:rPr>
        <w:t> </w:t>
      </w:r>
      <w:r>
        <w:rPr>
          <w:rStyle w:val="mi"/>
          <w:rFonts w:ascii="MathJax_Math" w:hAnsi="MathJax_Math"/>
          <w:i/>
          <w:iCs/>
          <w:color w:val="333333"/>
          <w:sz w:val="15"/>
          <w:szCs w:val="15"/>
        </w:rPr>
        <w:t>z</w:t>
      </w:r>
      <w:r>
        <w:rPr>
          <w:rStyle w:val="mi"/>
          <w:rFonts w:ascii="MathJax_Math" w:hAnsi="MathJax_Math"/>
          <w:i/>
          <w:iCs/>
          <w:color w:val="333333"/>
          <w:sz w:val="12"/>
          <w:szCs w:val="12"/>
        </w:rPr>
        <w:t>α</w:t>
      </w:r>
      <w:r>
        <w:rPr>
          <w:rStyle w:val="apple-converted-space"/>
          <w:rFonts w:ascii="Calibri" w:hAnsi="Calibri"/>
          <w:color w:val="333333"/>
          <w:sz w:val="20"/>
          <w:szCs w:val="20"/>
        </w:rPr>
        <w:t> </w:t>
      </w:r>
      <w:r>
        <w:rPr>
          <w:rFonts w:ascii="Calibri" w:hAnsi="Calibri"/>
          <w:color w:val="333333"/>
          <w:sz w:val="20"/>
          <w:szCs w:val="20"/>
        </w:rPr>
        <w:t>instead of</w:t>
      </w:r>
      <w:r>
        <w:rPr>
          <w:rStyle w:val="apple-converted-space"/>
          <w:rFonts w:ascii="Calibri" w:hAnsi="Calibri"/>
          <w:color w:val="333333"/>
          <w:sz w:val="20"/>
          <w:szCs w:val="20"/>
        </w:rPr>
        <w:t> </w:t>
      </w:r>
      <w:r>
        <w:rPr>
          <w:rStyle w:val="mi"/>
          <w:rFonts w:ascii="MathJax_Math" w:hAnsi="MathJax_Math"/>
          <w:i/>
          <w:iCs/>
          <w:color w:val="333333"/>
          <w:sz w:val="15"/>
          <w:szCs w:val="15"/>
        </w:rPr>
        <w:t>t</w:t>
      </w:r>
      <w:r>
        <w:rPr>
          <w:rStyle w:val="mi"/>
          <w:rFonts w:ascii="MathJax_Math" w:hAnsi="MathJax_Math"/>
          <w:i/>
          <w:iCs/>
          <w:color w:val="333333"/>
          <w:sz w:val="12"/>
          <w:szCs w:val="12"/>
        </w:rPr>
        <w:t>α</w:t>
      </w:r>
      <w:r>
        <w:rPr>
          <w:rStyle w:val="apple-converted-space"/>
          <w:rFonts w:ascii="Calibri" w:hAnsi="Calibri"/>
          <w:color w:val="333333"/>
          <w:sz w:val="20"/>
          <w:szCs w:val="20"/>
        </w:rPr>
        <w:t> </w:t>
      </w:r>
      <w:r>
        <w:rPr>
          <w:rFonts w:ascii="Calibri" w:hAnsi="Calibri"/>
          <w:color w:val="333333"/>
          <w:sz w:val="20"/>
          <w:szCs w:val="20"/>
        </w:rPr>
        <w:t>(or the</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-value can be computed exactly instead of only approximated, if you used the</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rPr>
        <w:t>-value approach).) How does the result obtained here compare to the result obtained in part (c) of the previous problem?</w:t>
      </w:r>
    </w:p>
    <w:p w:rsidR="00AD77BB" w:rsidRDefault="00B45BA0">
      <w:pPr>
        <w:numPr>
          <w:ilvl w:val="1"/>
          <w:numId w:val="23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the 99% confidence intervals for</w:t>
      </w:r>
      <w:r>
        <w:rPr>
          <w:rStyle w:val="apple-converted-space"/>
          <w:rFonts w:ascii="Calibri" w:hAnsi="Calibri"/>
          <w:color w:val="333333"/>
          <w:sz w:val="20"/>
          <w:szCs w:val="20"/>
        </w:rPr>
        <w:t> </w:t>
      </w:r>
      <w:r>
        <w:rPr>
          <w:rStyle w:val="mi"/>
          <w:rFonts w:ascii="MathJax_Math" w:hAnsi="MathJax_Math"/>
          <w:i/>
          <w:iCs/>
          <w:color w:val="333333"/>
          <w:sz w:val="15"/>
          <w:szCs w:val="15"/>
        </w:rPr>
        <w:t>μ</w:t>
      </w:r>
      <w:r>
        <w:rPr>
          <w:rStyle w:val="mi"/>
          <w:rFonts w:ascii="MathJax_Math" w:hAnsi="MathJax_Math"/>
          <w:i/>
          <w:iCs/>
          <w:color w:val="333333"/>
          <w:sz w:val="12"/>
          <w:szCs w:val="12"/>
        </w:rPr>
        <w:t>d</w:t>
      </w:r>
      <w:r>
        <w:rPr>
          <w:rStyle w:val="apple-converted-space"/>
          <w:rFonts w:ascii="Calibri" w:hAnsi="Calibri"/>
          <w:color w:val="333333"/>
          <w:sz w:val="20"/>
          <w:szCs w:val="20"/>
        </w:rPr>
        <w:t> </w:t>
      </w:r>
      <w:r>
        <w:rPr>
          <w:rFonts w:ascii="Calibri" w:hAnsi="Calibri"/>
          <w:color w:val="333333"/>
          <w:sz w:val="20"/>
          <w:szCs w:val="20"/>
        </w:rPr>
        <w:t>using both the</w:t>
      </w:r>
      <w:r>
        <w:rPr>
          <w:rStyle w:val="apple-converted-space"/>
          <w:rFonts w:ascii="Calibri" w:hAnsi="Calibri"/>
          <w:color w:val="333333"/>
          <w:sz w:val="20"/>
          <w:szCs w:val="20"/>
        </w:rPr>
        <w:t> </w:t>
      </w:r>
      <w:r>
        <w:rPr>
          <w:rStyle w:val="mi"/>
          <w:rFonts w:ascii="MathJax_Math" w:hAnsi="MathJax_Math"/>
          <w:i/>
          <w:iCs/>
          <w:color w:val="333333"/>
          <w:sz w:val="15"/>
          <w:szCs w:val="15"/>
        </w:rPr>
        <w:t>t</w:t>
      </w:r>
      <w:r>
        <w:rPr>
          <w:rStyle w:val="mi"/>
          <w:rFonts w:ascii="MathJax_Main" w:hAnsi="MathJax_Main"/>
          <w:i/>
          <w:iCs/>
          <w:color w:val="333333"/>
          <w:sz w:val="15"/>
          <w:szCs w:val="15"/>
        </w:rPr>
        <w:t>-</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mi"/>
          <w:rFonts w:ascii="MathJax_Math" w:hAnsi="MathJax_Math"/>
          <w:i/>
          <w:iCs/>
          <w:color w:val="333333"/>
          <w:sz w:val="15"/>
          <w:szCs w:val="15"/>
        </w:rPr>
        <w:t>z</w:t>
      </w:r>
      <w:r>
        <w:rPr>
          <w:rStyle w:val="mi"/>
          <w:rFonts w:ascii="MathJax_Main" w:hAnsi="MathJax_Main"/>
          <w:i/>
          <w:iCs/>
          <w:color w:val="333333"/>
          <w:sz w:val="15"/>
          <w:szCs w:val="15"/>
        </w:rPr>
        <w:t>-</w:t>
      </w:r>
      <w:r>
        <w:rPr>
          <w:rFonts w:ascii="Calibri" w:hAnsi="Calibri"/>
          <w:color w:val="333333"/>
          <w:sz w:val="20"/>
          <w:szCs w:val="20"/>
        </w:rPr>
        <w:t>distributions. How much difference is there in the results now?</w:t>
      </w:r>
    </w:p>
    <w:p w:rsidR="00AD77BB" w:rsidRDefault="00B45BA0">
      <w:pPr>
        <w:shd w:val="clear" w:color="auto" w:fill="DAEEF3" w:themeFill="accent5" w:themeFillTint="33"/>
        <w:spacing w:after="0" w:line="360" w:lineRule="auto"/>
        <w:ind w:left="144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7B540780" wp14:editId="61B0B4C1">
            <wp:extent cx="4695825" cy="5238750"/>
            <wp:effectExtent l="0" t="0" r="9525" b="0"/>
            <wp:docPr id="346"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695825" cy="5238750"/>
                    </a:xfrm>
                    <a:prstGeom prst="rect">
                      <a:avLst/>
                    </a:prstGeom>
                    <a:noFill/>
                    <a:ln>
                      <a:noFill/>
                    </a:ln>
                  </pic:spPr>
                </pic:pic>
              </a:graphicData>
            </a:graphic>
          </wp:inline>
        </w:drawing>
      </w:r>
    </w:p>
    <w:p w:rsidR="00AD77BB" w:rsidRDefault="00B45BA0">
      <w:pPr>
        <w:shd w:val="clear" w:color="auto" w:fill="FFFFFF" w:themeFill="background1"/>
        <w:spacing w:after="0" w:line="439" w:lineRule="atLeast"/>
        <w:ind w:left="144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531348AC" wp14:editId="25D7D24A">
            <wp:extent cx="4791075" cy="2857500"/>
            <wp:effectExtent l="0" t="0" r="9525" b="0"/>
            <wp:docPr id="347"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4791075" cy="2857500"/>
                    </a:xfrm>
                    <a:prstGeom prst="rect">
                      <a:avLst/>
                    </a:prstGeom>
                    <a:noFill/>
                    <a:ln>
                      <a:noFill/>
                    </a:ln>
                  </pic:spPr>
                </pic:pic>
              </a:graphicData>
            </a:graphic>
          </wp:inline>
        </w:drawing>
      </w:r>
    </w:p>
    <w:p w:rsidR="00AD77BB" w:rsidRDefault="00B45BA0">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9.4</w:t>
      </w:r>
      <w:r>
        <w:rPr>
          <w:rFonts w:ascii="Calibri" w:eastAsia="Times New Roman" w:hAnsi="Calibri" w:cs="Times New Roman"/>
          <w:b/>
          <w:bCs/>
          <w:color w:val="333333"/>
          <w:sz w:val="36"/>
          <w:szCs w:val="36"/>
        </w:rPr>
        <w:t> Comparison of Two Population Proportions</w:t>
      </w:r>
    </w:p>
    <w:p w:rsidR="00AD77BB" w:rsidRDefault="00B45BA0">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AD77BB" w:rsidRDefault="00B45BA0">
      <w:pPr>
        <w:numPr>
          <w:ilvl w:val="0"/>
          <w:numId w:val="239"/>
        </w:numPr>
        <w:shd w:val="clear" w:color="auto" w:fill="EAE9DC"/>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how to construct a confidence interval for the difference in the proportions of two distinct populations that have a particular characteristic of interest.</w:t>
      </w:r>
    </w:p>
    <w:p w:rsidR="00AD77BB" w:rsidRDefault="00B45BA0">
      <w:pPr>
        <w:numPr>
          <w:ilvl w:val="0"/>
          <w:numId w:val="239"/>
        </w:numPr>
        <w:shd w:val="clear" w:color="auto" w:fill="EAE9DC"/>
        <w:spacing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how to perform a test of hypotheses concerning the difference in the proportions of two distinct populations that have a particular characteristic of interest.</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Suppose we wish to compare the proportions of two populations that have a specific characteristic, such as the proportion of men who are left-handed compared to the proportion of women who are left-handed. </w:t>
      </w:r>
      <w:r>
        <w:rPr>
          <w:rFonts w:ascii="Georgia" w:eastAsia="Times New Roman" w:hAnsi="Georgia" w:cs="Times New Roman"/>
          <w:color w:val="2689C6"/>
          <w:sz w:val="21"/>
          <w:szCs w:val="21"/>
        </w:rPr>
        <w:t>Figure 9.7 "Independent Sampling from Two Populations In Order to Compare Proportions"</w:t>
      </w:r>
      <w:r>
        <w:rPr>
          <w:rFonts w:ascii="Georgia" w:eastAsia="Times New Roman" w:hAnsi="Georgia" w:cs="Times New Roman"/>
          <w:color w:val="333333"/>
          <w:sz w:val="21"/>
          <w:szCs w:val="21"/>
        </w:rPr>
        <w:t> illustrates the conceptual framework of our investigation. Each population is divided into two groups, the group of elements that have the characteristic of interest (for example, being left-handed) and the group of elements that do not. We arbitrarily label one population as Population 1 and the other as Population 2, and subscript the proportion of each population that possesses the characteristic with the number 1 or 2 to tell them apart. We draw a random sample from Population 1 and label the sample statistic it yields with the subscript 1. Without reference to the first sample we draw a sample from Population 2 and label its sample statistic with the subscript 2.</w:t>
      </w: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t>Figure 9.7</w:t>
      </w:r>
      <w:r>
        <w:rPr>
          <w:rFonts w:ascii="Georgia" w:eastAsia="Times New Roman" w:hAnsi="Georgia" w:cs="Times New Roman"/>
          <w:i/>
          <w:iCs/>
          <w:color w:val="BB9966"/>
          <w:sz w:val="19"/>
          <w:szCs w:val="19"/>
        </w:rPr>
        <w:t> Independent Sampling from Two Populations In Order to Compare Proportions</w:t>
      </w:r>
    </w:p>
    <w:p w:rsidR="00AD77BB" w:rsidRDefault="00B45BA0">
      <w:pPr>
        <w:shd w:val="clear" w:color="auto" w:fill="FFFFFF" w:themeFill="background1"/>
        <w:spacing w:after="0" w:line="439" w:lineRule="atLeast"/>
        <w:ind w:left="1440"/>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sz w:val="26"/>
          <w:szCs w:val="26"/>
          <w:shd w:val="clear" w:color="auto" w:fill="FFFFFF"/>
        </w:rPr>
        <w:drawing>
          <wp:inline distT="0" distB="0" distL="0" distR="0" wp14:anchorId="63AB389F" wp14:editId="3AA82080">
            <wp:extent cx="4324350" cy="3695700"/>
            <wp:effectExtent l="0" t="0" r="0" b="0"/>
            <wp:docPr id="348" name="Picture 273" descr="http://images.flatworldknowledge.com/shafer/shafer-fig09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images.flatworldknowledge.com/shafer/shafer-fig09_007.jp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324350" cy="3695700"/>
                    </a:xfrm>
                    <a:prstGeom prst="rect">
                      <a:avLst/>
                    </a:prstGeom>
                    <a:noFill/>
                    <a:ln>
                      <a:noFill/>
                    </a:ln>
                  </pic:spPr>
                </pic:pic>
              </a:graphicData>
            </a:graphic>
          </wp:inline>
        </w:drawing>
      </w:r>
    </w:p>
    <w:p w:rsidR="00AD77BB" w:rsidRDefault="00B45BA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Our goal is to use the information in the</w:t>
      </w:r>
      <w:r>
        <w:rPr>
          <w:rStyle w:val="apple-converted-space"/>
          <w:rFonts w:ascii="Georgia" w:hAnsi="Georgia"/>
          <w:color w:val="333333"/>
          <w:sz w:val="21"/>
          <w:szCs w:val="21"/>
        </w:rPr>
        <w:t> </w:t>
      </w:r>
      <w:r>
        <w:rPr>
          <w:rStyle w:val="Emphasis"/>
          <w:rFonts w:ascii="Georgia" w:hAnsi="Georgia"/>
          <w:color w:val="333333"/>
          <w:sz w:val="20"/>
          <w:szCs w:val="20"/>
        </w:rPr>
        <w:t>samples</w:t>
      </w:r>
      <w:r>
        <w:rPr>
          <w:rStyle w:val="apple-converted-space"/>
          <w:rFonts w:ascii="Georgia" w:hAnsi="Georgia"/>
          <w:color w:val="333333"/>
          <w:sz w:val="21"/>
          <w:szCs w:val="21"/>
        </w:rPr>
        <w:t> </w:t>
      </w:r>
      <w:r>
        <w:rPr>
          <w:rFonts w:ascii="Georgia" w:hAnsi="Georgia"/>
          <w:color w:val="333333"/>
          <w:sz w:val="21"/>
          <w:szCs w:val="21"/>
        </w:rPr>
        <w:t>to estimate the difference</w:t>
      </w:r>
      <w:r>
        <w:rPr>
          <w:rStyle w:val="apple-converted-space"/>
          <w:rFonts w:ascii="Georgia" w:hAnsi="Georgia"/>
          <w:color w:val="333333"/>
          <w:sz w:val="21"/>
          <w:szCs w:val="21"/>
        </w:rPr>
        <w:t> </w:t>
      </w:r>
      <w:r>
        <w:rPr>
          <w:rStyle w:val="mi"/>
          <w:rFonts w:ascii="MathJax_Math" w:hAnsi="MathJax_Math"/>
          <w:i/>
          <w:iCs/>
          <w:color w:val="333333"/>
          <w:sz w:val="18"/>
          <w:szCs w:val="18"/>
        </w:rPr>
        <w:t>p</w:t>
      </w:r>
      <w:r>
        <w:rPr>
          <w:rStyle w:val="mn"/>
          <w:rFonts w:ascii="MathJax_Main" w:hAnsi="MathJax_Main"/>
          <w:color w:val="333333"/>
          <w:sz w:val="14"/>
          <w:szCs w:val="14"/>
        </w:rPr>
        <w:t>1</w:t>
      </w:r>
      <w:r>
        <w:rPr>
          <w:rStyle w:val="mo"/>
          <w:rFonts w:ascii="MathJax_Main" w:hAnsi="MathJax_Main"/>
          <w:color w:val="333333"/>
          <w:sz w:val="18"/>
          <w:szCs w:val="18"/>
        </w:rPr>
        <w:t>−</w:t>
      </w:r>
      <w:r>
        <w:rPr>
          <w:rStyle w:val="mi"/>
          <w:rFonts w:ascii="MathJax_Math" w:hAnsi="MathJax_Math"/>
          <w:i/>
          <w:iCs/>
          <w:color w:val="333333"/>
          <w:sz w:val="18"/>
          <w:szCs w:val="18"/>
        </w:rPr>
        <w:t>p</w:t>
      </w:r>
      <w:r>
        <w:rPr>
          <w:rStyle w:val="mn"/>
          <w:rFonts w:ascii="MathJax_Main" w:hAnsi="MathJax_Main"/>
          <w:color w:val="333333"/>
          <w:sz w:val="14"/>
          <w:szCs w:val="14"/>
        </w:rPr>
        <w:t>2</w:t>
      </w:r>
      <w:r>
        <w:rPr>
          <w:rStyle w:val="apple-converted-space"/>
          <w:rFonts w:ascii="Georgia" w:hAnsi="Georgia"/>
          <w:color w:val="333333"/>
          <w:sz w:val="21"/>
          <w:szCs w:val="21"/>
        </w:rPr>
        <w:t> </w:t>
      </w:r>
      <w:r>
        <w:rPr>
          <w:rFonts w:ascii="Georgia" w:hAnsi="Georgia"/>
          <w:color w:val="333333"/>
          <w:sz w:val="21"/>
          <w:szCs w:val="21"/>
        </w:rPr>
        <w:t>in the two</w:t>
      </w:r>
      <w:r>
        <w:rPr>
          <w:rStyle w:val="apple-converted-space"/>
          <w:rFonts w:ascii="Georgia" w:hAnsi="Georgia"/>
          <w:color w:val="333333"/>
          <w:sz w:val="21"/>
          <w:szCs w:val="21"/>
        </w:rPr>
        <w:t> </w:t>
      </w:r>
      <w:r>
        <w:rPr>
          <w:rStyle w:val="Emphasis"/>
          <w:rFonts w:ascii="Georgia" w:hAnsi="Georgia"/>
          <w:color w:val="333333"/>
          <w:sz w:val="20"/>
          <w:szCs w:val="20"/>
        </w:rPr>
        <w:t>population</w:t>
      </w:r>
      <w:r>
        <w:rPr>
          <w:rStyle w:val="apple-converted-space"/>
          <w:rFonts w:ascii="Georgia" w:hAnsi="Georgia"/>
          <w:color w:val="333333"/>
          <w:sz w:val="21"/>
          <w:szCs w:val="21"/>
        </w:rPr>
        <w:t> </w:t>
      </w:r>
      <w:r>
        <w:rPr>
          <w:rFonts w:ascii="Georgia" w:hAnsi="Georgia"/>
          <w:color w:val="333333"/>
          <w:sz w:val="21"/>
          <w:szCs w:val="21"/>
        </w:rPr>
        <w:t>proportions and to make statistically valid inferences about it.</w:t>
      </w:r>
    </w:p>
    <w:p w:rsidR="00AD77BB" w:rsidRDefault="00AD77BB">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rsidR="00AD77BB" w:rsidRDefault="00B45BA0">
      <w:pPr>
        <w:pStyle w:val="Heading2"/>
        <w:shd w:val="clear" w:color="auto" w:fill="FFFFFF"/>
        <w:spacing w:before="0" w:line="439" w:lineRule="atLeast"/>
        <w:textAlignment w:val="baseline"/>
        <w:rPr>
          <w:rFonts w:ascii="Calibri" w:hAnsi="Calibri"/>
          <w:color w:val="333333"/>
          <w:sz w:val="28"/>
          <w:szCs w:val="28"/>
        </w:rPr>
      </w:pPr>
      <w:r>
        <w:rPr>
          <w:rFonts w:ascii="Calibri" w:hAnsi="Calibri"/>
          <w:color w:val="333333"/>
          <w:sz w:val="28"/>
          <w:szCs w:val="28"/>
        </w:rPr>
        <w:t>Confidence Intervals</w:t>
      </w:r>
    </w:p>
    <w:p w:rsidR="00AD77BB" w:rsidRDefault="00B45BA0">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Since the sample proportion</w:t>
      </w:r>
      <w:r>
        <w:rPr>
          <w:rStyle w:val="apple-converted-space"/>
          <w:rFonts w:ascii="Georgia" w:hAnsi="Georgia"/>
          <w:color w:val="333333"/>
          <w:sz w:val="20"/>
          <w:szCs w:val="20"/>
        </w:rPr>
        <w:t> </w:t>
      </w:r>
      <w:r>
        <w:rPr>
          <w:rStyle w:val="mi"/>
          <w:rFonts w:ascii="MathJax_Math" w:hAnsi="MathJax_Math"/>
          <w:i/>
          <w:iCs/>
          <w:color w:val="333333"/>
          <w:sz w:val="18"/>
          <w:szCs w:val="18"/>
        </w:rPr>
        <w:t>p</w:t>
      </w:r>
      <w:r>
        <w:rPr>
          <w:rStyle w:val="mo"/>
          <w:rFonts w:ascii="MathJax_Main" w:hAnsi="MathJax_Main"/>
          <w:color w:val="333333"/>
          <w:sz w:val="18"/>
          <w:szCs w:val="18"/>
        </w:rPr>
        <w:t>ˆ</w:t>
      </w:r>
      <w:r>
        <w:rPr>
          <w:rStyle w:val="mn"/>
          <w:rFonts w:ascii="MathJax_Main" w:hAnsi="MathJax_Main"/>
          <w:color w:val="333333"/>
          <w:sz w:val="14"/>
          <w:szCs w:val="14"/>
        </w:rPr>
        <w:t>1</w:t>
      </w:r>
      <w:r>
        <w:rPr>
          <w:rStyle w:val="apple-converted-space"/>
          <w:rFonts w:ascii="Georgia" w:hAnsi="Georgia"/>
          <w:color w:val="333333"/>
          <w:sz w:val="20"/>
          <w:szCs w:val="20"/>
        </w:rPr>
        <w:t> </w:t>
      </w:r>
      <w:r>
        <w:rPr>
          <w:rFonts w:ascii="Georgia" w:hAnsi="Georgia"/>
          <w:color w:val="333333"/>
          <w:sz w:val="20"/>
          <w:szCs w:val="20"/>
        </w:rPr>
        <w:t>computed using the sample drawn from Population 1 is a good estimator of population proportion</w:t>
      </w:r>
      <w:r>
        <w:rPr>
          <w:rStyle w:val="apple-converted-space"/>
          <w:rFonts w:ascii="Georgia" w:hAnsi="Georgia"/>
          <w:color w:val="333333"/>
          <w:sz w:val="20"/>
          <w:szCs w:val="20"/>
        </w:rPr>
        <w:t> </w:t>
      </w:r>
      <w:r>
        <w:rPr>
          <w:rStyle w:val="Emphasis"/>
          <w:rFonts w:ascii="Georgia" w:hAnsi="Georgia"/>
          <w:color w:val="333333"/>
          <w:sz w:val="20"/>
          <w:szCs w:val="20"/>
        </w:rPr>
        <w:t>p</w:t>
      </w:r>
      <w:r>
        <w:rPr>
          <w:rFonts w:ascii="Georgia" w:hAnsi="Georgia"/>
          <w:color w:val="333333"/>
          <w:sz w:val="15"/>
          <w:szCs w:val="15"/>
          <w:vertAlign w:val="subscript"/>
        </w:rPr>
        <w:t>1</w:t>
      </w:r>
      <w:r>
        <w:rPr>
          <w:rStyle w:val="apple-converted-space"/>
          <w:rFonts w:ascii="Georgia" w:hAnsi="Georgia"/>
          <w:color w:val="333333"/>
          <w:sz w:val="20"/>
          <w:szCs w:val="20"/>
        </w:rPr>
        <w:t> </w:t>
      </w:r>
      <w:r>
        <w:rPr>
          <w:rFonts w:ascii="Georgia" w:hAnsi="Georgia"/>
          <w:color w:val="333333"/>
          <w:sz w:val="20"/>
          <w:szCs w:val="20"/>
        </w:rPr>
        <w:t>of Population 1 and the sample proportion</w:t>
      </w:r>
      <w:r>
        <w:rPr>
          <w:rStyle w:val="apple-converted-space"/>
          <w:rFonts w:ascii="Georgia" w:hAnsi="Georgia"/>
          <w:color w:val="333333"/>
          <w:sz w:val="20"/>
          <w:szCs w:val="20"/>
        </w:rPr>
        <w:t> </w:t>
      </w:r>
      <w:r>
        <w:rPr>
          <w:rStyle w:val="mi"/>
          <w:rFonts w:ascii="MathJax_Math" w:hAnsi="MathJax_Math"/>
          <w:i/>
          <w:iCs/>
          <w:color w:val="333333"/>
          <w:sz w:val="18"/>
          <w:szCs w:val="18"/>
        </w:rPr>
        <w:t>p</w:t>
      </w:r>
      <w:r>
        <w:rPr>
          <w:rStyle w:val="mo"/>
          <w:rFonts w:ascii="MathJax_Main" w:hAnsi="MathJax_Main"/>
          <w:color w:val="333333"/>
          <w:sz w:val="18"/>
          <w:szCs w:val="18"/>
        </w:rPr>
        <w:t>ˆ</w:t>
      </w:r>
      <w:r>
        <w:rPr>
          <w:rStyle w:val="mn"/>
          <w:rFonts w:ascii="MathJax_Main" w:hAnsi="MathJax_Main"/>
          <w:color w:val="333333"/>
          <w:sz w:val="14"/>
          <w:szCs w:val="14"/>
        </w:rPr>
        <w:t>2</w:t>
      </w:r>
      <w:r>
        <w:rPr>
          <w:rStyle w:val="apple-converted-space"/>
          <w:rFonts w:ascii="Georgia" w:hAnsi="Georgia"/>
          <w:color w:val="333333"/>
          <w:sz w:val="20"/>
          <w:szCs w:val="20"/>
        </w:rPr>
        <w:t> </w:t>
      </w:r>
      <w:r>
        <w:rPr>
          <w:rFonts w:ascii="Georgia" w:hAnsi="Georgia"/>
          <w:color w:val="333333"/>
          <w:sz w:val="20"/>
          <w:szCs w:val="20"/>
        </w:rPr>
        <w:t>computed using the sample drawn from Population 2 is a good estimator of population proportion</w:t>
      </w:r>
      <w:r>
        <w:rPr>
          <w:rStyle w:val="apple-converted-space"/>
          <w:rFonts w:ascii="Georgia" w:hAnsi="Georgia"/>
          <w:color w:val="333333"/>
          <w:sz w:val="20"/>
          <w:szCs w:val="20"/>
        </w:rPr>
        <w:t> </w:t>
      </w:r>
      <w:r>
        <w:rPr>
          <w:rStyle w:val="Emphasis"/>
          <w:rFonts w:ascii="Georgia" w:hAnsi="Georgia"/>
          <w:color w:val="333333"/>
          <w:sz w:val="20"/>
          <w:szCs w:val="20"/>
        </w:rPr>
        <w:t>p</w:t>
      </w:r>
      <w:r>
        <w:rPr>
          <w:rFonts w:ascii="Georgia" w:hAnsi="Georgia"/>
          <w:color w:val="333333"/>
          <w:sz w:val="15"/>
          <w:szCs w:val="15"/>
          <w:vertAlign w:val="subscript"/>
        </w:rPr>
        <w:t>2</w:t>
      </w:r>
      <w:r>
        <w:rPr>
          <w:rStyle w:val="apple-converted-space"/>
          <w:rFonts w:ascii="Georgia" w:hAnsi="Georgia"/>
          <w:color w:val="333333"/>
          <w:sz w:val="20"/>
          <w:szCs w:val="20"/>
        </w:rPr>
        <w:t> </w:t>
      </w:r>
      <w:r>
        <w:rPr>
          <w:rFonts w:ascii="Georgia" w:hAnsi="Georgia"/>
          <w:color w:val="333333"/>
          <w:sz w:val="20"/>
          <w:szCs w:val="20"/>
        </w:rPr>
        <w:t>of Population 2, a reasonable point estimate of the difference</w:t>
      </w:r>
      <w:r>
        <w:rPr>
          <w:rStyle w:val="apple-converted-space"/>
          <w:rFonts w:ascii="Georgia" w:hAnsi="Georgia"/>
          <w:color w:val="333333"/>
          <w:sz w:val="20"/>
          <w:szCs w:val="20"/>
        </w:rPr>
        <w:t> </w:t>
      </w:r>
      <w:r>
        <w:rPr>
          <w:rStyle w:val="mi"/>
          <w:rFonts w:ascii="MathJax_Math" w:hAnsi="MathJax_Math"/>
          <w:b/>
          <w:i/>
          <w:iCs/>
          <w:color w:val="333333"/>
          <w:sz w:val="18"/>
          <w:szCs w:val="18"/>
        </w:rPr>
        <w:t>p</w:t>
      </w:r>
      <w:r>
        <w:rPr>
          <w:rStyle w:val="mn"/>
          <w:rFonts w:ascii="MathJax_Main" w:hAnsi="MathJax_Main"/>
          <w:b/>
          <w:color w:val="333333"/>
          <w:sz w:val="14"/>
          <w:szCs w:val="14"/>
          <w:vertAlign w:val="subscript"/>
        </w:rPr>
        <w:t>1</w:t>
      </w:r>
      <w:r>
        <w:rPr>
          <w:rStyle w:val="mo"/>
          <w:rFonts w:ascii="MathJax_Main" w:hAnsi="MathJax_Main"/>
          <w:b/>
          <w:color w:val="333333"/>
          <w:sz w:val="18"/>
          <w:szCs w:val="18"/>
        </w:rPr>
        <w:t>−</w:t>
      </w:r>
      <w:r>
        <w:rPr>
          <w:rStyle w:val="mi"/>
          <w:rFonts w:ascii="MathJax_Math" w:hAnsi="MathJax_Math"/>
          <w:b/>
          <w:i/>
          <w:iCs/>
          <w:color w:val="333333"/>
          <w:sz w:val="18"/>
          <w:szCs w:val="18"/>
        </w:rPr>
        <w:t>p</w:t>
      </w:r>
      <w:r>
        <w:rPr>
          <w:rStyle w:val="mn"/>
          <w:rFonts w:ascii="MathJax_Main" w:hAnsi="MathJax_Main"/>
          <w:b/>
          <w:color w:val="333333"/>
          <w:sz w:val="14"/>
          <w:szCs w:val="14"/>
          <w:vertAlign w:val="subscript"/>
        </w:rPr>
        <w:t>2</w:t>
      </w:r>
      <w:r>
        <w:rPr>
          <w:rStyle w:val="apple-converted-space"/>
          <w:rFonts w:ascii="Georgia" w:hAnsi="Georgia"/>
          <w:color w:val="333333"/>
          <w:sz w:val="20"/>
          <w:szCs w:val="20"/>
        </w:rPr>
        <w:t> </w:t>
      </w:r>
      <w:r>
        <w:rPr>
          <w:rFonts w:ascii="Georgia" w:hAnsi="Georgia"/>
          <w:color w:val="333333"/>
          <w:sz w:val="20"/>
          <w:szCs w:val="20"/>
        </w:rPr>
        <w:t>is</w:t>
      </w:r>
      <w:r>
        <w:rPr>
          <w:rStyle w:val="apple-converted-space"/>
          <w:rFonts w:ascii="Georgia" w:hAnsi="Georgia"/>
          <w:color w:val="333333"/>
          <w:sz w:val="20"/>
          <w:szCs w:val="20"/>
        </w:rPr>
        <w:t> </w:t>
      </w:r>
      <w:r>
        <w:rPr>
          <w:rStyle w:val="mi"/>
          <w:rFonts w:ascii="MathJax_Math" w:hAnsi="MathJax_Math"/>
          <w:b/>
          <w:i/>
          <w:iCs/>
          <w:color w:val="333333"/>
          <w:sz w:val="18"/>
          <w:szCs w:val="18"/>
        </w:rPr>
        <w:t>p</w:t>
      </w:r>
      <w:r>
        <w:rPr>
          <w:rStyle w:val="mo"/>
          <w:rFonts w:ascii="MathJax_Main" w:hAnsi="MathJax_Main"/>
          <w:b/>
          <w:color w:val="333333"/>
          <w:sz w:val="18"/>
          <w:szCs w:val="18"/>
        </w:rPr>
        <w:t>ˆ</w:t>
      </w:r>
      <w:r>
        <w:rPr>
          <w:rStyle w:val="mn"/>
          <w:rFonts w:ascii="MathJax_Main" w:hAnsi="MathJax_Main"/>
          <w:b/>
          <w:color w:val="333333"/>
          <w:sz w:val="14"/>
          <w:szCs w:val="14"/>
          <w:vertAlign w:val="subscript"/>
        </w:rPr>
        <w:t>1</w:t>
      </w:r>
      <w:r>
        <w:rPr>
          <w:rStyle w:val="mo"/>
          <w:rFonts w:ascii="MathJax_Main" w:hAnsi="MathJax_Main"/>
          <w:b/>
          <w:color w:val="333333"/>
          <w:sz w:val="18"/>
          <w:szCs w:val="18"/>
        </w:rPr>
        <w:t>−</w:t>
      </w:r>
      <w:r>
        <w:rPr>
          <w:rStyle w:val="mi"/>
          <w:rFonts w:ascii="MathJax_Math" w:hAnsi="MathJax_Math"/>
          <w:b/>
          <w:i/>
          <w:iCs/>
          <w:color w:val="333333"/>
          <w:sz w:val="18"/>
          <w:szCs w:val="18"/>
        </w:rPr>
        <w:t>p</w:t>
      </w:r>
      <w:r>
        <w:rPr>
          <w:rStyle w:val="mo"/>
          <w:rFonts w:ascii="MathJax_Main" w:hAnsi="MathJax_Main"/>
          <w:b/>
          <w:color w:val="333333"/>
          <w:sz w:val="18"/>
          <w:szCs w:val="18"/>
        </w:rPr>
        <w:t>ˆ</w:t>
      </w:r>
      <w:r>
        <w:rPr>
          <w:rStyle w:val="mn"/>
          <w:rFonts w:ascii="MathJax_Main" w:hAnsi="MathJax_Main"/>
          <w:b/>
          <w:color w:val="333333"/>
          <w:sz w:val="14"/>
          <w:szCs w:val="14"/>
          <w:vertAlign w:val="subscript"/>
        </w:rPr>
        <w:t>2</w:t>
      </w:r>
      <w:r>
        <w:rPr>
          <w:rStyle w:val="mo"/>
          <w:rFonts w:ascii="MathJax_Main" w:hAnsi="MathJax_Main"/>
          <w:color w:val="333333"/>
          <w:sz w:val="18"/>
          <w:szCs w:val="18"/>
        </w:rPr>
        <w:t>.</w:t>
      </w:r>
      <w:r>
        <w:rPr>
          <w:rStyle w:val="apple-converted-space"/>
          <w:rFonts w:ascii="Georgia" w:hAnsi="Georgia"/>
          <w:color w:val="333333"/>
          <w:sz w:val="20"/>
          <w:szCs w:val="20"/>
        </w:rPr>
        <w:t> </w:t>
      </w:r>
      <w:r>
        <w:rPr>
          <w:rFonts w:ascii="Georgia" w:hAnsi="Georgia"/>
          <w:color w:val="333333"/>
          <w:sz w:val="20"/>
          <w:szCs w:val="20"/>
        </w:rPr>
        <w:t>In order to widen this point estimate into a confidence interval we suppose that both samples are large, as described in</w:t>
      </w:r>
      <w:r>
        <w:rPr>
          <w:rStyle w:val="apple-converted-space"/>
          <w:rFonts w:ascii="Georgia" w:hAnsi="Georgia"/>
          <w:color w:val="333333"/>
          <w:sz w:val="20"/>
          <w:szCs w:val="20"/>
        </w:rPr>
        <w:t> </w:t>
      </w:r>
      <w:r>
        <w:rPr>
          <w:rFonts w:ascii="Georgia" w:hAnsi="Georgia"/>
          <w:color w:val="2689C6"/>
          <w:sz w:val="20"/>
          <w:szCs w:val="20"/>
        </w:rPr>
        <w:t>Section 7.3 "Large Sample Estimation of a Population Proportion"</w:t>
      </w:r>
      <w:r>
        <w:rPr>
          <w:rStyle w:val="apple-converted-space"/>
          <w:rFonts w:ascii="Georgia" w:hAnsi="Georgia"/>
          <w:color w:val="333333"/>
          <w:sz w:val="20"/>
          <w:szCs w:val="20"/>
        </w:rPr>
        <w:t> </w:t>
      </w:r>
      <w:r>
        <w:rPr>
          <w:rFonts w:ascii="Georgia" w:hAnsi="Georgia"/>
          <w:color w:val="333333"/>
          <w:sz w:val="20"/>
          <w:szCs w:val="20"/>
        </w:rPr>
        <w:t>in</w:t>
      </w:r>
      <w:r>
        <w:rPr>
          <w:rStyle w:val="apple-converted-space"/>
          <w:rFonts w:ascii="Georgia" w:hAnsi="Georgia"/>
          <w:color w:val="333333"/>
          <w:sz w:val="20"/>
          <w:szCs w:val="20"/>
        </w:rPr>
        <w:t> </w:t>
      </w:r>
      <w:r>
        <w:rPr>
          <w:rFonts w:ascii="Georgia" w:hAnsi="Georgia"/>
          <w:color w:val="2689C6"/>
          <w:sz w:val="20"/>
          <w:szCs w:val="20"/>
        </w:rPr>
        <w:t>Chapter 7 "Estimation"</w:t>
      </w:r>
      <w:r>
        <w:rPr>
          <w:rStyle w:val="apple-converted-space"/>
          <w:rFonts w:ascii="Georgia" w:hAnsi="Georgia"/>
          <w:color w:val="333333"/>
          <w:sz w:val="20"/>
          <w:szCs w:val="20"/>
        </w:rPr>
        <w:t> </w:t>
      </w:r>
      <w:r>
        <w:rPr>
          <w:rFonts w:ascii="Georgia" w:hAnsi="Georgia"/>
          <w:color w:val="333333"/>
          <w:sz w:val="20"/>
          <w:szCs w:val="20"/>
        </w:rPr>
        <w:t>and repeated below. If so, then the following formula for a confidence interval for</w:t>
      </w:r>
      <w:r>
        <w:rPr>
          <w:rStyle w:val="apple-converted-space"/>
          <w:rFonts w:ascii="Georgia" w:hAnsi="Georgia"/>
          <w:color w:val="333333"/>
          <w:sz w:val="20"/>
          <w:szCs w:val="20"/>
        </w:rPr>
        <w:t> </w:t>
      </w:r>
      <w:r>
        <w:rPr>
          <w:rStyle w:val="mi"/>
          <w:rFonts w:ascii="MathJax_Math" w:hAnsi="MathJax_Math"/>
          <w:b/>
          <w:i/>
          <w:iCs/>
          <w:color w:val="333333"/>
          <w:sz w:val="18"/>
          <w:szCs w:val="18"/>
        </w:rPr>
        <w:t>p</w:t>
      </w:r>
      <w:r>
        <w:rPr>
          <w:rStyle w:val="mn"/>
          <w:rFonts w:ascii="MathJax_Main" w:hAnsi="MathJax_Main"/>
          <w:b/>
          <w:color w:val="333333"/>
          <w:sz w:val="14"/>
          <w:szCs w:val="14"/>
          <w:vertAlign w:val="subscript"/>
        </w:rPr>
        <w:t>1</w:t>
      </w:r>
      <w:r>
        <w:rPr>
          <w:rStyle w:val="mo"/>
          <w:rFonts w:ascii="MathJax_Main" w:hAnsi="MathJax_Main"/>
          <w:b/>
          <w:color w:val="333333"/>
          <w:sz w:val="18"/>
          <w:szCs w:val="18"/>
        </w:rPr>
        <w:t>−</w:t>
      </w:r>
      <w:r>
        <w:rPr>
          <w:rStyle w:val="mi"/>
          <w:rFonts w:ascii="MathJax_Math" w:hAnsi="MathJax_Math"/>
          <w:b/>
          <w:i/>
          <w:iCs/>
          <w:color w:val="333333"/>
          <w:sz w:val="18"/>
          <w:szCs w:val="18"/>
        </w:rPr>
        <w:t>p</w:t>
      </w:r>
      <w:r>
        <w:rPr>
          <w:rStyle w:val="mn"/>
          <w:rFonts w:ascii="MathJax_Main" w:hAnsi="MathJax_Main"/>
          <w:b/>
          <w:color w:val="333333"/>
          <w:sz w:val="14"/>
          <w:szCs w:val="14"/>
          <w:vertAlign w:val="subscript"/>
        </w:rPr>
        <w:t>2</w:t>
      </w:r>
      <w:r>
        <w:rPr>
          <w:rStyle w:val="apple-converted-space"/>
          <w:rFonts w:ascii="Georgia" w:hAnsi="Georgia"/>
          <w:color w:val="333333"/>
          <w:sz w:val="20"/>
          <w:szCs w:val="20"/>
        </w:rPr>
        <w:t> </w:t>
      </w:r>
      <w:r>
        <w:rPr>
          <w:rFonts w:ascii="Georgia" w:hAnsi="Georgia"/>
          <w:color w:val="333333"/>
          <w:sz w:val="20"/>
          <w:szCs w:val="20"/>
        </w:rPr>
        <w:t>is valid.</w:t>
      </w:r>
    </w:p>
    <w:p w:rsidR="00AD77BB" w:rsidRDefault="00AD77BB">
      <w:pPr>
        <w:pStyle w:val="para"/>
        <w:shd w:val="clear" w:color="auto" w:fill="FFFFFF"/>
        <w:spacing w:before="0" w:beforeAutospacing="0" w:after="0" w:afterAutospacing="0" w:line="439" w:lineRule="atLeast"/>
        <w:textAlignment w:val="baseline"/>
        <w:rPr>
          <w:rFonts w:ascii="Georgia" w:hAnsi="Georgia"/>
          <w:color w:val="333333"/>
          <w:sz w:val="20"/>
          <w:szCs w:val="20"/>
        </w:rPr>
      </w:pPr>
    </w:p>
    <w:p w:rsidR="00AD77BB" w:rsidRDefault="00B45BA0">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noProof/>
          <w:color w:val="333333"/>
          <w:sz w:val="20"/>
          <w:szCs w:val="20"/>
        </w:rPr>
        <w:drawing>
          <wp:inline distT="0" distB="0" distL="0" distR="0" wp14:anchorId="5EF3A830" wp14:editId="44882389">
            <wp:extent cx="5057775" cy="4219575"/>
            <wp:effectExtent l="0" t="0" r="9525" b="9525"/>
            <wp:docPr id="349"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057775" cy="4219575"/>
                    </a:xfrm>
                    <a:prstGeom prst="rect">
                      <a:avLst/>
                    </a:prstGeom>
                    <a:noFill/>
                    <a:ln>
                      <a:noFill/>
                    </a:ln>
                  </pic:spPr>
                </pic:pic>
              </a:graphicData>
            </a:graphic>
          </wp:inline>
        </w:drawing>
      </w:r>
    </w:p>
    <w:p w:rsidR="00AD77BB" w:rsidRDefault="00B45BA0">
      <w:pPr>
        <w:shd w:val="clear" w:color="auto" w:fill="FFFFFF" w:themeFill="background1"/>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5C82067" wp14:editId="598FDCE5">
            <wp:extent cx="5486400" cy="6076950"/>
            <wp:effectExtent l="0" t="0" r="0" b="0"/>
            <wp:docPr id="350"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486400" cy="6076950"/>
                    </a:xfrm>
                    <a:prstGeom prst="rect">
                      <a:avLst/>
                    </a:prstGeom>
                    <a:noFill/>
                    <a:ln>
                      <a:noFill/>
                    </a:ln>
                  </pic:spPr>
                </pic:pic>
              </a:graphicData>
            </a:graphic>
          </wp:inline>
        </w:drawing>
      </w:r>
    </w:p>
    <w:p w:rsidR="00AD77BB" w:rsidRDefault="00B45BA0">
      <w:pPr>
        <w:shd w:val="clear" w:color="auto" w:fill="FFFFFF" w:themeFill="background1"/>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F1A0FFC" wp14:editId="25E42BBD">
            <wp:extent cx="5524500" cy="6962775"/>
            <wp:effectExtent l="0" t="0" r="0" b="9525"/>
            <wp:docPr id="351"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524500" cy="6962775"/>
                    </a:xfrm>
                    <a:prstGeom prst="rect">
                      <a:avLst/>
                    </a:prstGeom>
                    <a:noFill/>
                    <a:ln>
                      <a:noFill/>
                    </a:ln>
                  </pic:spPr>
                </pic:pic>
              </a:graphicData>
            </a:graphic>
          </wp:inline>
        </w:drawing>
      </w:r>
    </w:p>
    <w:p w:rsidR="00AD77BB" w:rsidRDefault="00B45BA0">
      <w:pPr>
        <w:shd w:val="clear" w:color="auto" w:fill="FFFFFF" w:themeFill="background1"/>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D6EA86F" wp14:editId="59407BB2">
            <wp:extent cx="5305425" cy="6619875"/>
            <wp:effectExtent l="0" t="0" r="9525" b="9525"/>
            <wp:docPr id="352"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305425" cy="6619875"/>
                    </a:xfrm>
                    <a:prstGeom prst="rect">
                      <a:avLst/>
                    </a:prstGeom>
                    <a:noFill/>
                    <a:ln>
                      <a:noFill/>
                    </a:ln>
                  </pic:spPr>
                </pic:pic>
              </a:graphicData>
            </a:graphic>
          </wp:inline>
        </w:drawing>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three forms of the alternative hypothesis, with the terminology for each case, are:</w:t>
      </w:r>
    </w:p>
    <w:tbl>
      <w:tblPr>
        <w:tblW w:w="0" w:type="auto"/>
        <w:tblCellMar>
          <w:left w:w="0" w:type="dxa"/>
          <w:right w:w="0" w:type="dxa"/>
        </w:tblCellMar>
        <w:tblLook w:val="04A0" w:firstRow="1" w:lastRow="0" w:firstColumn="1" w:lastColumn="0" w:noHBand="0" w:noVBand="1"/>
      </w:tblPr>
      <w:tblGrid>
        <w:gridCol w:w="1132"/>
        <w:gridCol w:w="1305"/>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Form of </w:t>
            </w:r>
            <w:r>
              <w:rPr>
                <w:rFonts w:ascii="MathJax_Math" w:eastAsia="Times New Roman" w:hAnsi="MathJax_Math" w:cs="Times New Roman"/>
                <w:i/>
                <w:iCs/>
                <w:color w:val="F48800"/>
                <w:sz w:val="18"/>
                <w:szCs w:val="18"/>
              </w:rPr>
              <w:t>H</w:t>
            </w:r>
            <w:r>
              <w:rPr>
                <w:rFonts w:ascii="MathJax_Math" w:eastAsia="Times New Roman" w:hAnsi="MathJax_Math" w:cs="Times New Roman"/>
                <w:i/>
                <w:iCs/>
                <w:color w:val="F48800"/>
                <w:sz w:val="14"/>
                <w:szCs w:val="14"/>
              </w:rPr>
              <w:t>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Terminology</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MathJax_Math" w:eastAsia="Times New Roman" w:hAnsi="MathJax_Math" w:cs="Times New Roman"/>
                <w:i/>
                <w:iCs/>
                <w:sz w:val="18"/>
                <w:szCs w:val="18"/>
              </w:rPr>
              <w:t>H</w:t>
            </w:r>
            <w:r>
              <w:rPr>
                <w:rFonts w:ascii="MathJax_Math" w:eastAsia="Times New Roman" w:hAnsi="MathJax_Math" w:cs="Times New Roman"/>
                <w:i/>
                <w:iCs/>
                <w:sz w:val="14"/>
                <w:szCs w:val="14"/>
              </w:rPr>
              <w:t>a</w:t>
            </w:r>
            <w:r>
              <w:rPr>
                <w:rFonts w:ascii="MathJax_Main" w:eastAsia="Times New Roman" w:hAnsi="MathJax_Main" w:cs="Times New Roman"/>
                <w:sz w:val="18"/>
                <w:szCs w:val="18"/>
              </w:rPr>
              <w:t>:</w:t>
            </w:r>
            <w:r>
              <w:rPr>
                <w:rFonts w:ascii="MathJax_Math" w:eastAsia="Times New Roman" w:hAnsi="MathJax_Math" w:cs="Times New Roman"/>
                <w:i/>
                <w:iCs/>
                <w:sz w:val="18"/>
                <w:szCs w:val="18"/>
              </w:rPr>
              <w:t>p</w:t>
            </w:r>
            <w:r>
              <w:rPr>
                <w:rFonts w:ascii="MathJax_Main" w:eastAsia="Times New Roman" w:hAnsi="MathJax_Main" w:cs="Times New Roman"/>
                <w:sz w:val="14"/>
                <w:szCs w:val="14"/>
              </w:rPr>
              <w:t>1</w:t>
            </w:r>
            <w:r>
              <w:rPr>
                <w:rFonts w:ascii="MathJax_Main" w:eastAsia="Times New Roman" w:hAnsi="MathJax_Main" w:cs="Times New Roman"/>
                <w:sz w:val="18"/>
                <w:szCs w:val="18"/>
              </w:rPr>
              <w:t>−</w:t>
            </w:r>
            <w:r>
              <w:rPr>
                <w:rFonts w:ascii="MathJax_Math" w:eastAsia="Times New Roman" w:hAnsi="MathJax_Math" w:cs="Times New Roman"/>
                <w:i/>
                <w:iCs/>
                <w:sz w:val="18"/>
                <w:szCs w:val="18"/>
              </w:rPr>
              <w:t>p</w:t>
            </w:r>
            <w:r>
              <w:rPr>
                <w:rFonts w:ascii="MathJax_Main" w:eastAsia="Times New Roman" w:hAnsi="MathJax_Main" w:cs="Times New Roman"/>
                <w:sz w:val="14"/>
                <w:szCs w:val="14"/>
              </w:rPr>
              <w:t>2</w:t>
            </w:r>
            <w:r>
              <w:rPr>
                <w:rFonts w:ascii="MathJax_Main" w:eastAsia="Times New Roman" w:hAnsi="MathJax_Main" w:cs="Times New Roman"/>
                <w:sz w:val="18"/>
                <w:szCs w:val="18"/>
              </w:rPr>
              <w:t>&lt;</w:t>
            </w:r>
            <w:r>
              <w:rPr>
                <w:rFonts w:ascii="MathJax_Math" w:eastAsia="Times New Roman" w:hAnsi="MathJax_Math" w:cs="Times New Roman"/>
                <w:i/>
                <w:iCs/>
                <w:sz w:val="18"/>
                <w:szCs w:val="18"/>
              </w:rPr>
              <w:t>D</w:t>
            </w:r>
            <w:r>
              <w:rPr>
                <w:rFonts w:ascii="MathJax_Main" w:eastAsia="Times New Roman" w:hAnsi="MathJax_Main" w:cs="Times New Roman"/>
                <w:sz w:val="14"/>
                <w:szCs w:val="14"/>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Left-tailed</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MathJax_Math" w:eastAsia="Times New Roman" w:hAnsi="MathJax_Math" w:cs="Times New Roman"/>
                <w:i/>
                <w:iCs/>
                <w:sz w:val="18"/>
                <w:szCs w:val="18"/>
              </w:rPr>
              <w:t>H</w:t>
            </w:r>
            <w:r>
              <w:rPr>
                <w:rFonts w:ascii="MathJax_Math" w:eastAsia="Times New Roman" w:hAnsi="MathJax_Math" w:cs="Times New Roman"/>
                <w:i/>
                <w:iCs/>
                <w:sz w:val="14"/>
                <w:szCs w:val="14"/>
              </w:rPr>
              <w:t>a</w:t>
            </w:r>
            <w:r>
              <w:rPr>
                <w:rFonts w:ascii="MathJax_Main" w:eastAsia="Times New Roman" w:hAnsi="MathJax_Main" w:cs="Times New Roman"/>
                <w:sz w:val="18"/>
                <w:szCs w:val="18"/>
              </w:rPr>
              <w:t>:</w:t>
            </w:r>
            <w:r>
              <w:rPr>
                <w:rFonts w:ascii="MathJax_Math" w:eastAsia="Times New Roman" w:hAnsi="MathJax_Math" w:cs="Times New Roman"/>
                <w:i/>
                <w:iCs/>
                <w:sz w:val="18"/>
                <w:szCs w:val="18"/>
              </w:rPr>
              <w:t>p</w:t>
            </w:r>
            <w:r>
              <w:rPr>
                <w:rFonts w:ascii="MathJax_Main" w:eastAsia="Times New Roman" w:hAnsi="MathJax_Main" w:cs="Times New Roman"/>
                <w:sz w:val="14"/>
                <w:szCs w:val="14"/>
              </w:rPr>
              <w:t>1</w:t>
            </w:r>
            <w:r>
              <w:rPr>
                <w:rFonts w:ascii="MathJax_Main" w:eastAsia="Times New Roman" w:hAnsi="MathJax_Main" w:cs="Times New Roman"/>
                <w:sz w:val="18"/>
                <w:szCs w:val="18"/>
              </w:rPr>
              <w:t>−</w:t>
            </w:r>
            <w:r>
              <w:rPr>
                <w:rFonts w:ascii="MathJax_Math" w:eastAsia="Times New Roman" w:hAnsi="MathJax_Math" w:cs="Times New Roman"/>
                <w:i/>
                <w:iCs/>
                <w:sz w:val="18"/>
                <w:szCs w:val="18"/>
              </w:rPr>
              <w:t>p</w:t>
            </w:r>
            <w:r>
              <w:rPr>
                <w:rFonts w:ascii="MathJax_Main" w:eastAsia="Times New Roman" w:hAnsi="MathJax_Main" w:cs="Times New Roman"/>
                <w:sz w:val="14"/>
                <w:szCs w:val="14"/>
              </w:rPr>
              <w:t>2</w:t>
            </w:r>
            <w:r>
              <w:rPr>
                <w:rFonts w:ascii="MathJax_Main" w:eastAsia="Times New Roman" w:hAnsi="MathJax_Main" w:cs="Times New Roman"/>
                <w:sz w:val="18"/>
                <w:szCs w:val="18"/>
              </w:rPr>
              <w:t>&gt;</w:t>
            </w:r>
            <w:r>
              <w:rPr>
                <w:rFonts w:ascii="MathJax_Math" w:eastAsia="Times New Roman" w:hAnsi="MathJax_Math" w:cs="Times New Roman"/>
                <w:i/>
                <w:iCs/>
                <w:sz w:val="18"/>
                <w:szCs w:val="18"/>
              </w:rPr>
              <w:t>D</w:t>
            </w:r>
            <w:r>
              <w:rPr>
                <w:rFonts w:ascii="MathJax_Main" w:eastAsia="Times New Roman" w:hAnsi="MathJax_Main" w:cs="Times New Roman"/>
                <w:sz w:val="14"/>
                <w:szCs w:val="14"/>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Right-tailed</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MathJax_Math" w:eastAsia="Times New Roman" w:hAnsi="MathJax_Math" w:cs="Times New Roman"/>
                <w:i/>
                <w:iCs/>
                <w:sz w:val="18"/>
                <w:szCs w:val="18"/>
              </w:rPr>
              <w:t>H</w:t>
            </w:r>
            <w:r>
              <w:rPr>
                <w:rFonts w:ascii="MathJax_Math" w:eastAsia="Times New Roman" w:hAnsi="MathJax_Math" w:cs="Times New Roman"/>
                <w:i/>
                <w:iCs/>
                <w:sz w:val="14"/>
                <w:szCs w:val="14"/>
              </w:rPr>
              <w:t>a</w:t>
            </w:r>
            <w:r>
              <w:rPr>
                <w:rFonts w:ascii="MathJax_Main" w:eastAsia="Times New Roman" w:hAnsi="MathJax_Main" w:cs="Times New Roman"/>
                <w:sz w:val="18"/>
                <w:szCs w:val="18"/>
              </w:rPr>
              <w:t>:</w:t>
            </w:r>
            <w:r>
              <w:rPr>
                <w:rFonts w:ascii="MathJax_Math" w:eastAsia="Times New Roman" w:hAnsi="MathJax_Math" w:cs="Times New Roman"/>
                <w:i/>
                <w:iCs/>
                <w:sz w:val="18"/>
                <w:szCs w:val="18"/>
              </w:rPr>
              <w:t>p</w:t>
            </w:r>
            <w:r>
              <w:rPr>
                <w:rFonts w:ascii="MathJax_Main" w:eastAsia="Times New Roman" w:hAnsi="MathJax_Main" w:cs="Times New Roman"/>
                <w:sz w:val="14"/>
                <w:szCs w:val="14"/>
              </w:rPr>
              <w:t>1</w:t>
            </w:r>
            <w:r>
              <w:rPr>
                <w:rFonts w:ascii="MathJax_Main" w:eastAsia="Times New Roman" w:hAnsi="MathJax_Main" w:cs="Times New Roman"/>
                <w:sz w:val="18"/>
                <w:szCs w:val="18"/>
              </w:rPr>
              <w:t>−</w:t>
            </w:r>
            <w:r>
              <w:rPr>
                <w:rFonts w:ascii="MathJax_Math" w:eastAsia="Times New Roman" w:hAnsi="MathJax_Math" w:cs="Times New Roman"/>
                <w:i/>
                <w:iCs/>
                <w:sz w:val="18"/>
                <w:szCs w:val="18"/>
              </w:rPr>
              <w:t>p</w:t>
            </w:r>
            <w:r>
              <w:rPr>
                <w:rFonts w:ascii="MathJax_Main" w:eastAsia="Times New Roman" w:hAnsi="MathJax_Main" w:cs="Times New Roman"/>
                <w:sz w:val="14"/>
                <w:szCs w:val="14"/>
              </w:rPr>
              <w:t>2</w:t>
            </w:r>
            <w:r>
              <w:rPr>
                <w:rFonts w:ascii="MathJax_Main" w:eastAsia="Times New Roman" w:hAnsi="MathJax_Main" w:cs="Times New Roman"/>
                <w:sz w:val="18"/>
                <w:szCs w:val="18"/>
              </w:rPr>
              <w:t>≠</w:t>
            </w:r>
            <w:r>
              <w:rPr>
                <w:rFonts w:ascii="MathJax_Math" w:eastAsia="Times New Roman" w:hAnsi="MathJax_Math" w:cs="Times New Roman"/>
                <w:i/>
                <w:iCs/>
                <w:sz w:val="18"/>
                <w:szCs w:val="18"/>
              </w:rPr>
              <w:t>D</w:t>
            </w:r>
            <w:r>
              <w:rPr>
                <w:rFonts w:ascii="MathJax_Main" w:eastAsia="Times New Roman" w:hAnsi="MathJax_Main" w:cs="Times New Roman"/>
                <w:sz w:val="14"/>
                <w:szCs w:val="14"/>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Two-tailed</w:t>
            </w:r>
          </w:p>
        </w:tc>
      </w:tr>
    </w:tbl>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As long as the samples are independent and both are large the following formula for the standardized test statistic is valid, and it has the standard normal distribution.</w:t>
      </w:r>
    </w:p>
    <w:p w:rsidR="00AD77BB" w:rsidRDefault="00B45BA0">
      <w:pPr>
        <w:shd w:val="clear" w:color="auto" w:fill="FFFFFF" w:themeFill="background1"/>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19D63F8C" wp14:editId="4B509635">
            <wp:extent cx="5334000" cy="5219700"/>
            <wp:effectExtent l="0" t="0" r="0" b="0"/>
            <wp:docPr id="353"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334000" cy="5219700"/>
                    </a:xfrm>
                    <a:prstGeom prst="rect">
                      <a:avLst/>
                    </a:prstGeom>
                    <a:noFill/>
                    <a:ln>
                      <a:noFill/>
                    </a:ln>
                  </pic:spPr>
                </pic:pic>
              </a:graphicData>
            </a:graphic>
          </wp:inline>
        </w:drawing>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11</w:t>
      </w:r>
    </w:p>
    <w:p w:rsidR="00AD77BB" w:rsidRDefault="00B45BA0">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Using the data of</w:t>
      </w:r>
      <w:r>
        <w:rPr>
          <w:rStyle w:val="apple-converted-space"/>
          <w:rFonts w:ascii="Calibri" w:hAnsi="Calibri"/>
          <w:color w:val="333333"/>
          <w:sz w:val="21"/>
          <w:szCs w:val="21"/>
        </w:rPr>
        <w:t> </w:t>
      </w:r>
      <w:r>
        <w:rPr>
          <w:rFonts w:ascii="Calibri" w:hAnsi="Calibri"/>
          <w:color w:val="2689C6"/>
          <w:sz w:val="21"/>
          <w:szCs w:val="21"/>
        </w:rPr>
        <w:t>Note 9.25 "Example 10"</w:t>
      </w:r>
      <w:r>
        <w:rPr>
          <w:rFonts w:ascii="Calibri" w:hAnsi="Calibri"/>
          <w:color w:val="333333"/>
          <w:sz w:val="21"/>
          <w:szCs w:val="21"/>
        </w:rPr>
        <w:t>, test whether there is sufficient evidence to conclude that public web access to the inspection records has increased the proportion of projects that passed on the first inspection by more than 5 percentage points. Use the critical value approach at the 10% level of significance.</w:t>
      </w:r>
    </w:p>
    <w:p w:rsidR="00AD77BB" w:rsidRDefault="00B45BA0">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Solution:</w:t>
      </w:r>
    </w:p>
    <w:p w:rsidR="00AD77BB" w:rsidRDefault="00B45BA0">
      <w:pPr>
        <w:pStyle w:val="para"/>
        <w:numPr>
          <w:ilvl w:val="0"/>
          <w:numId w:val="240"/>
        </w:numPr>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Step 1. Taking into account the labeling of the populations an increase in passing rate at the first inspection by more than 5 percentage points after public access on the web may be expressed as</w:t>
      </w:r>
      <w:r>
        <w:rPr>
          <w:rStyle w:val="apple-converted-space"/>
          <w:rFonts w:ascii="Calibri" w:hAnsi="Calibri"/>
          <w:color w:val="333333"/>
          <w:sz w:val="20"/>
          <w:szCs w:val="20"/>
        </w:rPr>
        <w:t> </w:t>
      </w:r>
      <w:r>
        <w:rPr>
          <w:rStyle w:val="mi"/>
          <w:rFonts w:ascii="MathJax_Math" w:hAnsi="MathJax_Math"/>
          <w:b/>
          <w:i/>
          <w:iCs/>
          <w:color w:val="333333"/>
          <w:sz w:val="15"/>
          <w:szCs w:val="15"/>
        </w:rPr>
        <w:t>p</w:t>
      </w:r>
      <w:r>
        <w:rPr>
          <w:rStyle w:val="mn"/>
          <w:rFonts w:ascii="MathJax_Main" w:hAnsi="MathJax_Main"/>
          <w:b/>
          <w:color w:val="333333"/>
          <w:sz w:val="12"/>
          <w:szCs w:val="12"/>
        </w:rPr>
        <w:t>2</w:t>
      </w:r>
      <w:r>
        <w:rPr>
          <w:rStyle w:val="mo"/>
          <w:rFonts w:ascii="MathJax_Main" w:hAnsi="MathJax_Main"/>
          <w:b/>
          <w:color w:val="333333"/>
          <w:sz w:val="15"/>
          <w:szCs w:val="15"/>
        </w:rPr>
        <w:t>&gt;</w:t>
      </w:r>
      <w:r>
        <w:rPr>
          <w:rStyle w:val="mi"/>
          <w:rFonts w:ascii="MathJax_Math" w:hAnsi="MathJax_Math"/>
          <w:b/>
          <w:i/>
          <w:iCs/>
          <w:color w:val="333333"/>
          <w:sz w:val="15"/>
          <w:szCs w:val="15"/>
        </w:rPr>
        <w:t>p</w:t>
      </w:r>
      <w:r>
        <w:rPr>
          <w:rStyle w:val="mn"/>
          <w:rFonts w:ascii="MathJax_Main" w:hAnsi="MathJax_Main"/>
          <w:b/>
          <w:color w:val="333333"/>
          <w:sz w:val="12"/>
          <w:szCs w:val="12"/>
        </w:rPr>
        <w:t>1</w:t>
      </w:r>
      <w:r>
        <w:rPr>
          <w:rStyle w:val="mo"/>
          <w:rFonts w:ascii="MathJax_Main" w:hAnsi="MathJax_Main"/>
          <w:b/>
          <w:color w:val="333333"/>
          <w:sz w:val="15"/>
          <w:szCs w:val="15"/>
        </w:rPr>
        <w:t>+</w:t>
      </w:r>
      <w:r>
        <w:rPr>
          <w:rStyle w:val="mn"/>
          <w:rFonts w:ascii="MathJax_Main" w:hAnsi="MathJax_Main"/>
          <w:b/>
          <w:color w:val="333333"/>
          <w:sz w:val="15"/>
          <w:szCs w:val="15"/>
        </w:rPr>
        <w:t>0.05</w:t>
      </w:r>
      <w:r>
        <w:rPr>
          <w:rFonts w:ascii="Calibri" w:hAnsi="Calibri"/>
          <w:color w:val="333333"/>
          <w:sz w:val="20"/>
          <w:szCs w:val="20"/>
        </w:rPr>
        <w:t xml:space="preserve">, which by algebra is the same </w:t>
      </w:r>
      <w:r>
        <w:rPr>
          <w:rFonts w:ascii="Calibri" w:hAnsi="Calibri"/>
          <w:b/>
          <w:color w:val="333333"/>
          <w:sz w:val="20"/>
          <w:szCs w:val="20"/>
        </w:rPr>
        <w:t>as</w:t>
      </w:r>
      <w:r>
        <w:rPr>
          <w:rStyle w:val="apple-converted-space"/>
          <w:rFonts w:ascii="Calibri" w:hAnsi="Calibri"/>
          <w:b/>
          <w:color w:val="333333"/>
          <w:sz w:val="20"/>
          <w:szCs w:val="20"/>
        </w:rPr>
        <w:t> </w:t>
      </w:r>
      <w:r>
        <w:rPr>
          <w:rStyle w:val="mi"/>
          <w:rFonts w:ascii="MathJax_Math" w:hAnsi="MathJax_Math"/>
          <w:b/>
          <w:i/>
          <w:iCs/>
          <w:color w:val="333333"/>
          <w:sz w:val="15"/>
          <w:szCs w:val="15"/>
        </w:rPr>
        <w:t>p</w:t>
      </w:r>
      <w:r>
        <w:rPr>
          <w:rStyle w:val="mn"/>
          <w:rFonts w:ascii="MathJax_Main" w:hAnsi="MathJax_Main"/>
          <w:b/>
          <w:color w:val="333333"/>
          <w:sz w:val="12"/>
          <w:szCs w:val="12"/>
        </w:rPr>
        <w:t>1</w:t>
      </w:r>
      <w:r>
        <w:rPr>
          <w:rStyle w:val="mo"/>
          <w:rFonts w:ascii="MathJax_Main" w:hAnsi="MathJax_Main"/>
          <w:b/>
          <w:color w:val="333333"/>
          <w:sz w:val="15"/>
          <w:szCs w:val="15"/>
        </w:rPr>
        <w:t>−</w:t>
      </w:r>
      <w:r>
        <w:rPr>
          <w:rStyle w:val="mi"/>
          <w:rFonts w:ascii="MathJax_Math" w:hAnsi="MathJax_Math"/>
          <w:b/>
          <w:i/>
          <w:iCs/>
          <w:color w:val="333333"/>
          <w:sz w:val="15"/>
          <w:szCs w:val="15"/>
        </w:rPr>
        <w:t>p</w:t>
      </w:r>
      <w:r>
        <w:rPr>
          <w:rStyle w:val="mn"/>
          <w:rFonts w:ascii="MathJax_Main" w:hAnsi="MathJax_Main"/>
          <w:b/>
          <w:color w:val="333333"/>
          <w:sz w:val="12"/>
          <w:szCs w:val="12"/>
        </w:rPr>
        <w:t>2</w:t>
      </w:r>
      <w:r>
        <w:rPr>
          <w:rStyle w:val="mo"/>
          <w:rFonts w:ascii="MathJax_Main" w:hAnsi="MathJax_Main"/>
          <w:b/>
          <w:color w:val="333333"/>
          <w:sz w:val="15"/>
          <w:szCs w:val="15"/>
        </w:rPr>
        <w:t>&lt;</w:t>
      </w:r>
      <w:r>
        <w:rPr>
          <w:rStyle w:val="mtext"/>
          <w:rFonts w:ascii="MathJax_Main" w:hAnsi="MathJax_Main"/>
          <w:b/>
          <w:color w:val="333333"/>
          <w:sz w:val="15"/>
          <w:szCs w:val="15"/>
        </w:rPr>
        <w:t>−</w:t>
      </w:r>
      <w:r>
        <w:rPr>
          <w:rStyle w:val="mn"/>
          <w:rFonts w:ascii="MathJax_Main" w:hAnsi="MathJax_Main"/>
          <w:b/>
          <w:color w:val="333333"/>
          <w:sz w:val="15"/>
          <w:szCs w:val="15"/>
        </w:rPr>
        <w:t>0.05</w:t>
      </w:r>
      <w:r>
        <w:rPr>
          <w:rStyle w:val="mo"/>
          <w:rFonts w:ascii="MathJax_Main" w:hAnsi="MathJax_Main"/>
          <w:color w:val="333333"/>
          <w:sz w:val="15"/>
          <w:szCs w:val="15"/>
        </w:rPr>
        <w:t>.</w:t>
      </w:r>
      <w:r>
        <w:rPr>
          <w:rStyle w:val="apple-converted-space"/>
          <w:rFonts w:ascii="Calibri" w:hAnsi="Calibri"/>
          <w:color w:val="333333"/>
          <w:sz w:val="20"/>
          <w:szCs w:val="20"/>
        </w:rPr>
        <w:t> </w:t>
      </w:r>
      <w:r>
        <w:rPr>
          <w:rFonts w:ascii="Calibri" w:hAnsi="Calibri"/>
          <w:color w:val="333333"/>
          <w:sz w:val="20"/>
          <w:szCs w:val="20"/>
        </w:rPr>
        <w:t xml:space="preserve">This is the alternative hypothesis. Since the </w:t>
      </w:r>
      <w:r>
        <w:rPr>
          <w:rFonts w:ascii="Calibri" w:hAnsi="Calibri"/>
          <w:color w:val="333333"/>
          <w:sz w:val="20"/>
          <w:szCs w:val="20"/>
        </w:rPr>
        <w:lastRenderedPageBreak/>
        <w:t>null hypothesis is always expressed as an equality, with the same number on the right as is in the alternative hypothesis, the test is</w:t>
      </w:r>
    </w:p>
    <w:p w:rsidR="00AD77BB" w:rsidRDefault="00B45BA0">
      <w:pPr>
        <w:shd w:val="clear" w:color="auto" w:fill="FFFFFF" w:themeFill="background1"/>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6D9F3981" wp14:editId="106E0A4B">
            <wp:extent cx="5524500" cy="6134100"/>
            <wp:effectExtent l="0" t="0" r="0" b="0"/>
            <wp:docPr id="354"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524500" cy="6134100"/>
                    </a:xfrm>
                    <a:prstGeom prst="rect">
                      <a:avLst/>
                    </a:prstGeom>
                    <a:noFill/>
                    <a:ln>
                      <a:noFill/>
                    </a:ln>
                  </pic:spPr>
                </pic:pic>
              </a:graphicData>
            </a:graphic>
          </wp:inline>
        </w:drawing>
      </w:r>
    </w:p>
    <w:p w:rsidR="00AD77BB" w:rsidRDefault="00B45BA0">
      <w:pPr>
        <w:pStyle w:val="para"/>
        <w:numPr>
          <w:ilvl w:val="0"/>
          <w:numId w:val="241"/>
        </w:numPr>
        <w:spacing w:before="15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The data provide sufficient evidence, at the 10% level of significance, to conclude that the rate of passing on the first inspection has increased by more than 5 percentage points since records were publicly posted on the web.</w:t>
      </w:r>
    </w:p>
    <w:p w:rsidR="00AD77BB" w:rsidRDefault="00AD77BB">
      <w:pPr>
        <w:pStyle w:val="Title9"/>
        <w:spacing w:before="0" w:beforeAutospacing="0" w:after="0" w:afterAutospacing="0" w:line="360" w:lineRule="auto"/>
        <w:ind w:left="300" w:right="375"/>
        <w:textAlignment w:val="baseline"/>
        <w:rPr>
          <w:rStyle w:val="title-prefix"/>
          <w:i/>
          <w:iCs/>
          <w:color w:val="000000"/>
        </w:rPr>
      </w:pPr>
    </w:p>
    <w:p w:rsidR="00AD77BB" w:rsidRDefault="00AD77BB">
      <w:pPr>
        <w:pStyle w:val="Title9"/>
        <w:spacing w:before="0" w:beforeAutospacing="0" w:after="0" w:afterAutospacing="0" w:line="360" w:lineRule="auto"/>
        <w:ind w:left="300" w:right="375"/>
        <w:textAlignment w:val="baseline"/>
        <w:rPr>
          <w:rStyle w:val="title-prefix"/>
          <w:rFonts w:ascii="Calibri" w:hAnsi="Calibri"/>
          <w:i/>
          <w:iCs/>
          <w:color w:val="000000"/>
          <w:sz w:val="20"/>
          <w:szCs w:val="20"/>
        </w:rPr>
      </w:pPr>
    </w:p>
    <w:p w:rsidR="00AD77BB" w:rsidRDefault="00AD77BB">
      <w:pPr>
        <w:pStyle w:val="Title9"/>
        <w:spacing w:before="0" w:beforeAutospacing="0" w:after="0" w:afterAutospacing="0" w:line="360" w:lineRule="auto"/>
        <w:ind w:left="300" w:right="375"/>
        <w:textAlignment w:val="baseline"/>
        <w:rPr>
          <w:rStyle w:val="title-prefix"/>
          <w:rFonts w:ascii="Calibri" w:hAnsi="Calibri"/>
          <w:i/>
          <w:iCs/>
          <w:color w:val="000000"/>
          <w:sz w:val="20"/>
          <w:szCs w:val="20"/>
        </w:rPr>
      </w:pPr>
    </w:p>
    <w:p w:rsidR="00AD77BB" w:rsidRDefault="00B45BA0">
      <w:pPr>
        <w:pStyle w:val="Title9"/>
        <w:spacing w:before="0" w:beforeAutospacing="0" w:after="0" w:afterAutospacing="0" w:line="360" w:lineRule="auto"/>
        <w:ind w:left="300" w:right="375"/>
        <w:textAlignment w:val="baseline"/>
        <w:rPr>
          <w:color w:val="BB9966"/>
          <w:sz w:val="22"/>
          <w:szCs w:val="22"/>
        </w:rPr>
      </w:pPr>
      <w:r>
        <w:rPr>
          <w:rStyle w:val="title-prefix"/>
          <w:rFonts w:ascii="Calibri" w:hAnsi="Calibri"/>
          <w:i/>
          <w:iCs/>
          <w:color w:val="000000"/>
          <w:sz w:val="20"/>
          <w:szCs w:val="20"/>
        </w:rPr>
        <w:lastRenderedPageBreak/>
        <w:t>Figure 9.8</w:t>
      </w:r>
      <w:r>
        <w:rPr>
          <w:rFonts w:ascii="Calibri" w:hAnsi="Calibri"/>
          <w:i/>
          <w:iCs/>
          <w:color w:val="BB9966"/>
          <w:sz w:val="22"/>
          <w:szCs w:val="22"/>
        </w:rPr>
        <w:t>Rejection Region and Test Statistic for</w:t>
      </w:r>
      <w:r>
        <w:rPr>
          <w:rStyle w:val="apple-converted-space"/>
          <w:rFonts w:ascii="Calibri" w:hAnsi="Calibri"/>
          <w:i/>
          <w:iCs/>
          <w:color w:val="BB9966"/>
          <w:sz w:val="22"/>
          <w:szCs w:val="22"/>
        </w:rPr>
        <w:t> </w:t>
      </w:r>
      <w:r>
        <w:rPr>
          <w:rFonts w:ascii="Calibri" w:eastAsiaTheme="majorEastAsia" w:hAnsi="Calibri"/>
          <w:i/>
          <w:iCs/>
          <w:color w:val="2689C6"/>
          <w:sz w:val="22"/>
          <w:szCs w:val="22"/>
        </w:rPr>
        <w:t>Note 9.27 "Example 11"</w:t>
      </w:r>
    </w:p>
    <w:p w:rsidR="00AD77BB" w:rsidRDefault="00B45BA0">
      <w:pPr>
        <w:spacing w:line="360" w:lineRule="auto"/>
        <w:textAlignment w:val="baseline"/>
        <w:rPr>
          <w:rFonts w:ascii="Calibri" w:hAnsi="Calibri"/>
          <w:color w:val="555555"/>
          <w:sz w:val="27"/>
          <w:szCs w:val="27"/>
        </w:rPr>
      </w:pPr>
      <w:r>
        <w:rPr>
          <w:rFonts w:ascii="Calibri" w:hAnsi="Calibri"/>
          <w:noProof/>
          <w:color w:val="2689C6"/>
          <w:sz w:val="27"/>
          <w:szCs w:val="27"/>
        </w:rPr>
        <w:drawing>
          <wp:inline distT="0" distB="0" distL="0" distR="0" wp14:anchorId="688D9F75" wp14:editId="1C2B3EE5">
            <wp:extent cx="4543425" cy="2914650"/>
            <wp:effectExtent l="0" t="0" r="9525" b="0"/>
            <wp:docPr id="355" name="Picture 369" descr="http://images.flatworldknowledge.com/shafer/shafer-fig09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images.flatworldknowledge.com/shafer/shafer-fig09_008.jpg"/>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4543425" cy="2914650"/>
                    </a:xfrm>
                    <a:prstGeom prst="rect">
                      <a:avLst/>
                    </a:prstGeom>
                    <a:noFill/>
                    <a:ln>
                      <a:noFill/>
                    </a:ln>
                  </pic:spPr>
                </pic:pic>
              </a:graphicData>
            </a:graphic>
          </wp:inline>
        </w:drawing>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EXAMPLE 12</w:t>
      </w:r>
    </w:p>
    <w:p w:rsidR="00AD77BB" w:rsidRDefault="00B45BA0">
      <w:pPr>
        <w:shd w:val="clear" w:color="auto" w:fill="E3EFF7"/>
        <w:spacing w:after="0" w:line="360" w:lineRule="auto"/>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Perform the test of </w:t>
      </w:r>
      <w:r>
        <w:rPr>
          <w:rFonts w:ascii="Calibri" w:eastAsia="Times New Roman" w:hAnsi="Calibri" w:cs="Times New Roman"/>
          <w:color w:val="2689C6"/>
          <w:sz w:val="20"/>
          <w:szCs w:val="20"/>
        </w:rPr>
        <w:t>Note 9.27 "Example 11"</w:t>
      </w:r>
      <w:r>
        <w:rPr>
          <w:rFonts w:ascii="Calibri" w:eastAsia="Times New Roman" w:hAnsi="Calibri" w:cs="Times New Roman"/>
          <w:color w:val="333333"/>
          <w:sz w:val="20"/>
          <w:szCs w:val="20"/>
        </w:rPr>
        <w:t> using the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approach.</w:t>
      </w:r>
    </w:p>
    <w:p w:rsidR="00AD77BB" w:rsidRDefault="00B45BA0">
      <w:pPr>
        <w:shd w:val="clear" w:color="auto" w:fill="E3EFF7"/>
        <w:spacing w:before="150" w:after="0" w:line="360" w:lineRule="auto"/>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Solution:</w:t>
      </w:r>
    </w:p>
    <w:p w:rsidR="00AD77BB" w:rsidRDefault="00B45BA0">
      <w:pPr>
        <w:shd w:val="clear" w:color="auto" w:fill="E3EFF7"/>
        <w:spacing w:after="0" w:line="360" w:lineRule="auto"/>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first three steps are identical to those in </w:t>
      </w:r>
      <w:r>
        <w:rPr>
          <w:rFonts w:ascii="Calibri" w:eastAsia="Times New Roman" w:hAnsi="Calibri" w:cs="Times New Roman"/>
          <w:color w:val="2689C6"/>
          <w:sz w:val="20"/>
          <w:szCs w:val="20"/>
        </w:rPr>
        <w:t>Note 9.27 "Example 11"</w:t>
      </w:r>
      <w:r>
        <w:rPr>
          <w:rFonts w:ascii="Calibri" w:eastAsia="Times New Roman" w:hAnsi="Calibri" w:cs="Times New Roman"/>
          <w:color w:val="333333"/>
          <w:sz w:val="20"/>
          <w:szCs w:val="20"/>
        </w:rPr>
        <w:t>.</w:t>
      </w:r>
    </w:p>
    <w:p w:rsidR="00AD77BB" w:rsidRDefault="00B45BA0">
      <w:pPr>
        <w:numPr>
          <w:ilvl w:val="0"/>
          <w:numId w:val="242"/>
        </w:numPr>
        <w:shd w:val="clear" w:color="auto" w:fill="E3EFF7"/>
        <w:spacing w:after="0"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Step 4. Because the test is left-tailed the observed significance or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of the test is just the area of the left tail of the standard normal distribution that is cut off by the test statistic </w:t>
      </w:r>
      <w:r>
        <w:rPr>
          <w:rFonts w:ascii="MathJax_Math" w:eastAsia="Times New Roman" w:hAnsi="MathJax_Math" w:cs="Times New Roman"/>
          <w:i/>
          <w:iCs/>
          <w:color w:val="333333"/>
          <w:sz w:val="15"/>
          <w:szCs w:val="15"/>
        </w:rPr>
        <w:t>Z</w:t>
      </w:r>
      <w:r>
        <w:rPr>
          <w:rFonts w:ascii="MathJax_Main" w:eastAsia="Times New Roman" w:hAnsi="MathJax_Main" w:cs="Times New Roman"/>
          <w:color w:val="333333"/>
          <w:sz w:val="15"/>
          <w:szCs w:val="15"/>
        </w:rPr>
        <w:t>=−1.770.</w:t>
      </w:r>
      <w:r>
        <w:rPr>
          <w:rFonts w:ascii="Calibri" w:eastAsia="Times New Roman" w:hAnsi="Calibri" w:cs="Times New Roman"/>
          <w:color w:val="333333"/>
          <w:sz w:val="20"/>
          <w:szCs w:val="20"/>
        </w:rPr>
        <w:t> From </w:t>
      </w:r>
      <w:r>
        <w:rPr>
          <w:rFonts w:ascii="Calibri" w:eastAsia="Times New Roman" w:hAnsi="Calibri" w:cs="Times New Roman"/>
          <w:color w:val="2689C6"/>
          <w:sz w:val="20"/>
          <w:szCs w:val="20"/>
        </w:rPr>
        <w:t>Figure 12.2 "Cumulative Normal Probability"</w:t>
      </w:r>
      <w:r>
        <w:rPr>
          <w:rFonts w:ascii="Calibri" w:eastAsia="Times New Roman" w:hAnsi="Calibri" w:cs="Times New Roman"/>
          <w:color w:val="333333"/>
          <w:sz w:val="20"/>
          <w:szCs w:val="20"/>
        </w:rPr>
        <w:t> the area of the left tail determined by −1.77 is 0.0384. The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is 0.0384.</w:t>
      </w:r>
    </w:p>
    <w:p w:rsidR="00AD77BB" w:rsidRDefault="00B45BA0">
      <w:pPr>
        <w:numPr>
          <w:ilvl w:val="0"/>
          <w:numId w:val="242"/>
        </w:numPr>
        <w:shd w:val="clear" w:color="auto" w:fill="E3EFF7"/>
        <w:spacing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Step 5. Since the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0.0384 is less than </w:t>
      </w:r>
      <w:r>
        <w:rPr>
          <w:rFonts w:ascii="MathJax_Math" w:eastAsia="Times New Roman" w:hAnsi="MathJax_Math" w:cs="Times New Roman"/>
          <w:i/>
          <w:iCs/>
          <w:color w:val="333333"/>
          <w:sz w:val="15"/>
          <w:szCs w:val="15"/>
        </w:rPr>
        <w:t>α</w:t>
      </w:r>
      <w:r>
        <w:rPr>
          <w:rFonts w:ascii="MathJax_Main" w:eastAsia="Times New Roman" w:hAnsi="MathJax_Main" w:cs="Times New Roman"/>
          <w:color w:val="333333"/>
          <w:sz w:val="15"/>
          <w:szCs w:val="15"/>
        </w:rPr>
        <w:t>=0.10</w:t>
      </w:r>
      <w:r>
        <w:rPr>
          <w:rFonts w:ascii="Calibri" w:eastAsia="Times New Roman" w:hAnsi="Calibri" w:cs="Times New Roman"/>
          <w:color w:val="333333"/>
          <w:sz w:val="20"/>
          <w:szCs w:val="20"/>
        </w:rPr>
        <w:t>, the decision is to reject the null hypothesis: The data provide sufficient evidence, at the 10% level of significance, to conclude that the rate of passing on the first inspection has increased by more than 5 percentage points since records were publicly posted on the web.</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Finally a common misuse of the formulas given in this section must be mentioned. Suppose a large pre-election survey of potential voters is conducted. Each person surveyed is asked to express a preference between, say, Candidate A and Candidate B. (Perhaps “no preference” or “other” are also choices, but that is not important.) In such a survey, estimators </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ˆ</w:t>
      </w:r>
      <w:r>
        <w:rPr>
          <w:rFonts w:ascii="MathJax_Math" w:eastAsia="Times New Roman" w:hAnsi="MathJax_Math" w:cs="Times New Roman"/>
          <w:b/>
          <w:i/>
          <w:iCs/>
          <w:color w:val="333333"/>
          <w:sz w:val="14"/>
          <w:szCs w:val="14"/>
          <w:vertAlign w:val="subscript"/>
        </w:rPr>
        <w:t>A</w:t>
      </w:r>
      <w:r>
        <w:rPr>
          <w:rFonts w:ascii="Georgia" w:eastAsia="Times New Roman" w:hAnsi="Georgia" w:cs="Times New Roman"/>
          <w:b/>
          <w:color w:val="333333"/>
          <w:sz w:val="21"/>
          <w:szCs w:val="21"/>
        </w:rPr>
        <w:t> </w:t>
      </w:r>
      <w:r>
        <w:rPr>
          <w:rFonts w:ascii="Georgia" w:eastAsia="Times New Roman" w:hAnsi="Georgia" w:cs="Times New Roman"/>
          <w:color w:val="333333"/>
          <w:sz w:val="21"/>
          <w:szCs w:val="21"/>
        </w:rPr>
        <w:t>and </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ˆ</w:t>
      </w:r>
      <w:r>
        <w:rPr>
          <w:rFonts w:ascii="MathJax_Math" w:eastAsia="Times New Roman" w:hAnsi="MathJax_Math" w:cs="Times New Roman"/>
          <w:b/>
          <w:i/>
          <w:iCs/>
          <w:color w:val="333333"/>
          <w:sz w:val="14"/>
          <w:szCs w:val="14"/>
          <w:vertAlign w:val="subscript"/>
        </w:rPr>
        <w:t>B</w:t>
      </w:r>
      <w:r>
        <w:rPr>
          <w:rFonts w:ascii="Georgia" w:eastAsia="Times New Roman" w:hAnsi="Georgia" w:cs="Times New Roman"/>
          <w:b/>
          <w:color w:val="333333"/>
          <w:sz w:val="21"/>
          <w:szCs w:val="21"/>
          <w:vertAlign w:val="subscript"/>
        </w:rPr>
        <w:t> </w:t>
      </w:r>
      <w:r>
        <w:rPr>
          <w:rFonts w:ascii="Georgia" w:eastAsia="Times New Roman" w:hAnsi="Georgia" w:cs="Times New Roman"/>
          <w:color w:val="333333"/>
          <w:sz w:val="21"/>
          <w:szCs w:val="21"/>
        </w:rPr>
        <w:t>of </w:t>
      </w:r>
      <w:r>
        <w:rPr>
          <w:rFonts w:ascii="Georgia" w:eastAsia="Times New Roman" w:hAnsi="Georgia" w:cs="Times New Roman"/>
          <w:b/>
          <w:i/>
          <w:iCs/>
          <w:color w:val="333333"/>
          <w:sz w:val="20"/>
          <w:szCs w:val="20"/>
        </w:rPr>
        <w:t>p</w:t>
      </w:r>
      <w:r>
        <w:rPr>
          <w:rFonts w:ascii="Georgia" w:eastAsia="Times New Roman" w:hAnsi="Georgia" w:cs="Times New Roman"/>
          <w:b/>
          <w:i/>
          <w:iCs/>
          <w:color w:val="333333"/>
          <w:sz w:val="15"/>
          <w:szCs w:val="15"/>
          <w:vertAlign w:val="subscript"/>
        </w:rPr>
        <w:t xml:space="preserve">A </w:t>
      </w:r>
      <w:r>
        <w:rPr>
          <w:rFonts w:ascii="Georgia" w:eastAsia="Times New Roman" w:hAnsi="Georgia" w:cs="Times New Roman"/>
          <w:color w:val="333333"/>
          <w:sz w:val="21"/>
          <w:szCs w:val="21"/>
        </w:rPr>
        <w:t>and </w:t>
      </w:r>
      <w:r>
        <w:rPr>
          <w:rFonts w:ascii="Georgia" w:eastAsia="Times New Roman" w:hAnsi="Georgia" w:cs="Times New Roman"/>
          <w:b/>
          <w:i/>
          <w:iCs/>
          <w:color w:val="333333"/>
          <w:sz w:val="20"/>
          <w:szCs w:val="20"/>
        </w:rPr>
        <w:t>p</w:t>
      </w:r>
      <w:r>
        <w:rPr>
          <w:rFonts w:ascii="Georgia" w:eastAsia="Times New Roman" w:hAnsi="Georgia" w:cs="Times New Roman"/>
          <w:b/>
          <w:i/>
          <w:iCs/>
          <w:color w:val="333333"/>
          <w:sz w:val="15"/>
          <w:szCs w:val="15"/>
          <w:vertAlign w:val="subscript"/>
        </w:rPr>
        <w:t>B</w:t>
      </w:r>
      <w:r>
        <w:rPr>
          <w:rFonts w:ascii="Georgia" w:eastAsia="Times New Roman" w:hAnsi="Georgia" w:cs="Times New Roman"/>
          <w:b/>
          <w:color w:val="333333"/>
          <w:sz w:val="21"/>
          <w:szCs w:val="21"/>
        </w:rPr>
        <w:t> </w:t>
      </w:r>
      <w:r>
        <w:rPr>
          <w:rFonts w:ascii="Georgia" w:eastAsia="Times New Roman" w:hAnsi="Georgia" w:cs="Times New Roman"/>
          <w:color w:val="333333"/>
          <w:sz w:val="21"/>
          <w:szCs w:val="21"/>
        </w:rPr>
        <w:t>can be calculated. It is important to realize, however, that these two estimators were not calculated from two independent samples. While </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ˆ</w:t>
      </w:r>
      <w:r>
        <w:rPr>
          <w:rFonts w:ascii="MathJax_Math" w:eastAsia="Times New Roman" w:hAnsi="MathJax_Math" w:cs="Times New Roman"/>
          <w:b/>
          <w:i/>
          <w:iCs/>
          <w:color w:val="333333"/>
          <w:sz w:val="14"/>
          <w:szCs w:val="14"/>
          <w:vertAlign w:val="subscript"/>
        </w:rPr>
        <w:t>A</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p</w:t>
      </w:r>
      <w:r>
        <w:rPr>
          <w:rFonts w:ascii="MathJax_Main" w:eastAsia="Times New Roman" w:hAnsi="MathJax_Main" w:cs="Times New Roman"/>
          <w:b/>
          <w:color w:val="333333"/>
          <w:sz w:val="18"/>
          <w:szCs w:val="18"/>
        </w:rPr>
        <w:t>ˆ</w:t>
      </w:r>
      <w:r>
        <w:rPr>
          <w:rFonts w:ascii="MathJax_Math" w:eastAsia="Times New Roman" w:hAnsi="MathJax_Math" w:cs="Times New Roman"/>
          <w:b/>
          <w:i/>
          <w:iCs/>
          <w:color w:val="333333"/>
          <w:sz w:val="14"/>
          <w:szCs w:val="14"/>
          <w:vertAlign w:val="subscript"/>
        </w:rPr>
        <w:t>B</w:t>
      </w:r>
      <w:r>
        <w:rPr>
          <w:rFonts w:ascii="MathJax_Math" w:eastAsia="Times New Roman" w:hAnsi="MathJax_Math" w:cs="Times New Roman"/>
          <w:i/>
          <w:iCs/>
          <w:color w:val="333333"/>
          <w:sz w:val="14"/>
          <w:szCs w:val="14"/>
          <w:vertAlign w:val="subscript"/>
        </w:rPr>
        <w:t xml:space="preserve"> </w:t>
      </w:r>
      <w:r>
        <w:rPr>
          <w:rFonts w:ascii="Georgia" w:eastAsia="Times New Roman" w:hAnsi="Georgia" w:cs="Times New Roman"/>
          <w:color w:val="333333"/>
          <w:sz w:val="21"/>
          <w:szCs w:val="21"/>
        </w:rPr>
        <w:t>may be a reasonable estimator of </w:t>
      </w:r>
      <w:r>
        <w:rPr>
          <w:rFonts w:ascii="MathJax_Math" w:eastAsia="Times New Roman" w:hAnsi="MathJax_Math" w:cs="Times New Roman"/>
          <w:b/>
          <w:i/>
          <w:iCs/>
          <w:color w:val="333333"/>
          <w:sz w:val="18"/>
          <w:szCs w:val="18"/>
        </w:rPr>
        <w:t>p</w:t>
      </w:r>
      <w:r>
        <w:rPr>
          <w:rFonts w:ascii="MathJax_Math" w:eastAsia="Times New Roman" w:hAnsi="MathJax_Math" w:cs="Times New Roman"/>
          <w:b/>
          <w:i/>
          <w:iCs/>
          <w:color w:val="333333"/>
          <w:sz w:val="14"/>
          <w:szCs w:val="14"/>
          <w:vertAlign w:val="subscript"/>
        </w:rPr>
        <w:t>A</w:t>
      </w:r>
      <w:r>
        <w:rPr>
          <w:rFonts w:ascii="MathJax_Main" w:eastAsia="Times New Roman" w:hAnsi="MathJax_Main" w:cs="Times New Roman"/>
          <w:b/>
          <w:color w:val="333333"/>
          <w:sz w:val="18"/>
          <w:szCs w:val="18"/>
        </w:rPr>
        <w:t>−</w:t>
      </w:r>
      <w:r>
        <w:rPr>
          <w:rFonts w:ascii="MathJax_Math" w:eastAsia="Times New Roman" w:hAnsi="MathJax_Math" w:cs="Times New Roman"/>
          <w:b/>
          <w:i/>
          <w:iCs/>
          <w:color w:val="333333"/>
          <w:sz w:val="18"/>
          <w:szCs w:val="18"/>
        </w:rPr>
        <w:t>p</w:t>
      </w:r>
      <w:r>
        <w:rPr>
          <w:rFonts w:ascii="MathJax_Math" w:eastAsia="Times New Roman" w:hAnsi="MathJax_Math" w:cs="Times New Roman"/>
          <w:b/>
          <w:i/>
          <w:iCs/>
          <w:color w:val="333333"/>
          <w:sz w:val="14"/>
          <w:szCs w:val="14"/>
          <w:vertAlign w:val="subscript"/>
        </w:rPr>
        <w:t>B</w:t>
      </w:r>
      <w:r>
        <w:rPr>
          <w:rFonts w:ascii="Georgia" w:eastAsia="Times New Roman" w:hAnsi="Georgia" w:cs="Times New Roman"/>
          <w:b/>
          <w:color w:val="333333"/>
          <w:sz w:val="21"/>
          <w:szCs w:val="21"/>
        </w:rPr>
        <w:t>,</w:t>
      </w:r>
      <w:r>
        <w:rPr>
          <w:rFonts w:ascii="Georgia" w:eastAsia="Times New Roman" w:hAnsi="Georgia" w:cs="Times New Roman"/>
          <w:color w:val="333333"/>
          <w:sz w:val="21"/>
          <w:szCs w:val="21"/>
        </w:rPr>
        <w:t xml:space="preserve"> the formulas for confidence intervals and for the standardized test statistic given in this section are not valid for data obtained in this manner.</w:t>
      </w: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lastRenderedPageBreak/>
        <w:t>KEY TAKEAWAYS</w:t>
      </w:r>
    </w:p>
    <w:p w:rsidR="00AD77BB" w:rsidRDefault="00B45BA0">
      <w:pPr>
        <w:numPr>
          <w:ilvl w:val="0"/>
          <w:numId w:val="243"/>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confidence interval for the difference in two population proportions is computed using a formula in the same fashion as was done for a single population mean.</w:t>
      </w:r>
    </w:p>
    <w:p w:rsidR="00AD77BB" w:rsidRDefault="00B45BA0">
      <w:pPr>
        <w:numPr>
          <w:ilvl w:val="0"/>
          <w:numId w:val="243"/>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same five-step procedure used to test hypotheses concerning a single population proportion is used to test hypotheses concerning the difference between two population proportions. The only difference is in the formula for the standardized test statistic.</w:t>
      </w:r>
    </w:p>
    <w:p w:rsidR="00AD77BB" w:rsidRDefault="00B45BA0">
      <w:pPr>
        <w:shd w:val="clear" w:color="auto" w:fill="FFFFFF" w:themeFill="background1"/>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4218A68A" wp14:editId="46B9E3AF">
            <wp:extent cx="5419725" cy="5981700"/>
            <wp:effectExtent l="0" t="0" r="9525" b="0"/>
            <wp:docPr id="356"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419725" cy="5981700"/>
                    </a:xfrm>
                    <a:prstGeom prst="rect">
                      <a:avLst/>
                    </a:prstGeom>
                    <a:noFill/>
                    <a:ln>
                      <a:noFill/>
                    </a:ln>
                  </pic:spPr>
                </pic:pic>
              </a:graphicData>
            </a:graphic>
          </wp:inline>
        </w:drawing>
      </w:r>
    </w:p>
    <w:p w:rsidR="00AD77BB" w:rsidRDefault="00AD77BB">
      <w:pPr>
        <w:shd w:val="clear" w:color="auto" w:fill="FFFFFF" w:themeFill="background1"/>
        <w:spacing w:after="0" w:line="439" w:lineRule="atLeast"/>
        <w:textAlignment w:val="baseline"/>
        <w:rPr>
          <w:rFonts w:ascii="Calibri" w:eastAsia="Times New Roman" w:hAnsi="Calibri" w:cs="Times New Roman"/>
          <w:color w:val="333333"/>
          <w:sz w:val="20"/>
          <w:szCs w:val="20"/>
        </w:rPr>
      </w:pPr>
    </w:p>
    <w:p w:rsidR="00AD77BB" w:rsidRDefault="00B45BA0">
      <w:pPr>
        <w:shd w:val="clear" w:color="auto" w:fill="FFFFFF" w:themeFill="background1"/>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4608B76" wp14:editId="66D3145E">
            <wp:extent cx="5429250" cy="6610350"/>
            <wp:effectExtent l="0" t="0" r="0" b="0"/>
            <wp:docPr id="357"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429250" cy="6610350"/>
                    </a:xfrm>
                    <a:prstGeom prst="rect">
                      <a:avLst/>
                    </a:prstGeom>
                    <a:noFill/>
                    <a:ln>
                      <a:noFill/>
                    </a:ln>
                  </pic:spPr>
                </pic:pic>
              </a:graphicData>
            </a:graphic>
          </wp:inline>
        </w:drawing>
      </w:r>
    </w:p>
    <w:p w:rsidR="00AD77BB" w:rsidRDefault="00B45BA0">
      <w:pPr>
        <w:shd w:val="clear" w:color="auto" w:fill="FFFFFF" w:themeFill="background1"/>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AC14692" wp14:editId="73BD2282">
            <wp:extent cx="5486400" cy="6781800"/>
            <wp:effectExtent l="0" t="0" r="0" b="0"/>
            <wp:docPr id="358"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486400" cy="6781800"/>
                    </a:xfrm>
                    <a:prstGeom prst="rect">
                      <a:avLst/>
                    </a:prstGeom>
                    <a:noFill/>
                    <a:ln>
                      <a:noFill/>
                    </a:ln>
                  </pic:spPr>
                </pic:pic>
              </a:graphicData>
            </a:graphic>
          </wp:inline>
        </w:drawing>
      </w:r>
    </w:p>
    <w:p w:rsidR="00AD77BB" w:rsidRDefault="00B45BA0">
      <w:pPr>
        <w:shd w:val="clear" w:color="auto" w:fill="FFFFFF" w:themeFill="background1"/>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9E1BC67" wp14:editId="240599E8">
            <wp:extent cx="5705475" cy="6505575"/>
            <wp:effectExtent l="0" t="0" r="9525" b="9525"/>
            <wp:docPr id="359"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705475" cy="6505575"/>
                    </a:xfrm>
                    <a:prstGeom prst="rect">
                      <a:avLst/>
                    </a:prstGeom>
                    <a:noFill/>
                    <a:ln>
                      <a:noFill/>
                    </a:ln>
                  </pic:spPr>
                </pic:pic>
              </a:graphicData>
            </a:graphic>
          </wp:inline>
        </w:drawing>
      </w:r>
    </w:p>
    <w:p w:rsidR="00AD77BB" w:rsidRDefault="00B45BA0">
      <w:pPr>
        <w:shd w:val="clear" w:color="auto" w:fill="FFFFFF" w:themeFill="background1"/>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5EE0EA2" wp14:editId="18B41CEB">
            <wp:extent cx="5648325" cy="6457950"/>
            <wp:effectExtent l="0" t="0" r="9525" b="0"/>
            <wp:docPr id="360"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648325" cy="6457950"/>
                    </a:xfrm>
                    <a:prstGeom prst="rect">
                      <a:avLst/>
                    </a:prstGeom>
                    <a:noFill/>
                    <a:ln>
                      <a:noFill/>
                    </a:ln>
                  </pic:spPr>
                </pic:pic>
              </a:graphicData>
            </a:graphic>
          </wp:inline>
        </w:drawing>
      </w:r>
    </w:p>
    <w:p w:rsidR="00AD77BB" w:rsidRDefault="00B45BA0">
      <w:pPr>
        <w:shd w:val="clear" w:color="auto" w:fill="FFFFFF" w:themeFill="background1"/>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0C62276" wp14:editId="5C24E075">
            <wp:extent cx="5676900" cy="6448425"/>
            <wp:effectExtent l="0" t="0" r="0" b="9525"/>
            <wp:docPr id="361"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676900" cy="6448425"/>
                    </a:xfrm>
                    <a:prstGeom prst="rect">
                      <a:avLst/>
                    </a:prstGeom>
                    <a:noFill/>
                    <a:ln>
                      <a:noFill/>
                    </a:ln>
                  </pic:spPr>
                </pic:pic>
              </a:graphicData>
            </a:graphic>
          </wp:inline>
        </w:drawing>
      </w:r>
    </w:p>
    <w:p w:rsidR="00AD77BB" w:rsidRDefault="00B45BA0">
      <w:pPr>
        <w:pStyle w:val="ListParagraph"/>
        <w:numPr>
          <w:ilvl w:val="1"/>
          <w:numId w:val="244"/>
        </w:numPr>
        <w:shd w:val="clear" w:color="auto" w:fill="DAEEF3" w:themeFill="accent5" w:themeFillTint="33"/>
        <w:spacing w:after="0" w:line="439" w:lineRule="atLeast"/>
        <w:textAlignment w:val="baseline"/>
        <w:rPr>
          <w:rFonts w:ascii="Calibri" w:eastAsia="Times New Roman" w:hAnsi="Calibri" w:cs="Times New Roman"/>
          <w:b/>
          <w:color w:val="333333"/>
          <w:sz w:val="20"/>
          <w:szCs w:val="20"/>
        </w:rPr>
      </w:pPr>
      <w:r>
        <w:rPr>
          <w:rFonts w:ascii="Calibri" w:eastAsia="Times New Roman" w:hAnsi="Calibri" w:cs="Times New Roman"/>
          <w:b/>
          <w:color w:val="333333"/>
          <w:sz w:val="20"/>
          <w:szCs w:val="20"/>
        </w:rPr>
        <w:t xml:space="preserve"> Test </w:t>
      </w:r>
      <w:r>
        <w:rPr>
          <w:rFonts w:ascii="MathJax_Math" w:eastAsia="Times New Roman" w:hAnsi="MathJax_Math" w:cs="Times New Roman"/>
          <w:b/>
          <w:i/>
          <w:iCs/>
          <w:color w:val="333333"/>
          <w:sz w:val="15"/>
          <w:szCs w:val="15"/>
        </w:rPr>
        <w:t>H</w:t>
      </w:r>
      <w:r>
        <w:rPr>
          <w:rFonts w:ascii="MathJax_Main" w:eastAsia="Times New Roman" w:hAnsi="MathJax_Main" w:cs="Times New Roman"/>
          <w:b/>
          <w:color w:val="333333"/>
          <w:sz w:val="12"/>
          <w:szCs w:val="12"/>
        </w:rPr>
        <w:t>0</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2"/>
          <w:szCs w:val="12"/>
        </w:rPr>
        <w:t>1</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2"/>
          <w:szCs w:val="12"/>
        </w:rPr>
        <w:t>2</w:t>
      </w:r>
      <w:r>
        <w:rPr>
          <w:rFonts w:ascii="MathJax_Main" w:eastAsia="Times New Roman" w:hAnsi="MathJax_Main" w:cs="Times New Roman"/>
          <w:b/>
          <w:color w:val="333333"/>
          <w:sz w:val="15"/>
          <w:szCs w:val="15"/>
        </w:rPr>
        <w:t>=0.30</w:t>
      </w:r>
      <w:r>
        <w:rPr>
          <w:rFonts w:ascii="Calibri" w:eastAsia="Times New Roman" w:hAnsi="Calibri" w:cs="Times New Roman"/>
          <w:b/>
          <w:color w:val="333333"/>
          <w:sz w:val="20"/>
          <w:szCs w:val="20"/>
        </w:rPr>
        <w:t> vs. </w:t>
      </w:r>
      <w:r>
        <w:rPr>
          <w:rFonts w:ascii="MathJax_Math" w:eastAsia="Times New Roman" w:hAnsi="MathJax_Math" w:cs="Times New Roman"/>
          <w:b/>
          <w:i/>
          <w:iCs/>
          <w:color w:val="333333"/>
          <w:sz w:val="15"/>
          <w:szCs w:val="15"/>
        </w:rPr>
        <w:t>H</w:t>
      </w:r>
      <w:r>
        <w:rPr>
          <w:rFonts w:ascii="MathJax_Math" w:eastAsia="Times New Roman" w:hAnsi="MathJax_Math" w:cs="Times New Roman"/>
          <w:b/>
          <w:i/>
          <w:iCs/>
          <w:color w:val="333333"/>
          <w:sz w:val="12"/>
          <w:szCs w:val="12"/>
        </w:rPr>
        <w:t>a</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2"/>
          <w:szCs w:val="12"/>
        </w:rPr>
        <w:t>1</w:t>
      </w:r>
      <w:r>
        <w:rPr>
          <w:rFonts w:ascii="MathJax_Main" w:eastAsia="Times New Roman" w:hAnsi="MathJax_Main" w:cs="Times New Roman"/>
          <w:b/>
          <w:color w:val="333333"/>
          <w:sz w:val="15"/>
          <w:szCs w:val="15"/>
        </w:rPr>
        <w:t>−</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2"/>
          <w:szCs w:val="12"/>
        </w:rPr>
        <w:t>2</w:t>
      </w:r>
      <w:r>
        <w:rPr>
          <w:rFonts w:ascii="MathJax_Main" w:eastAsia="Times New Roman" w:hAnsi="MathJax_Main" w:cs="Times New Roman"/>
          <w:b/>
          <w:color w:val="333333"/>
          <w:sz w:val="15"/>
          <w:szCs w:val="15"/>
        </w:rPr>
        <w:t>≠0.30</w:t>
      </w:r>
      <w:r>
        <w:rPr>
          <w:rFonts w:ascii="Calibri" w:eastAsia="Times New Roman" w:hAnsi="Calibri" w:cs="Times New Roman"/>
          <w:b/>
          <w:color w:val="333333"/>
          <w:sz w:val="20"/>
          <w:szCs w:val="20"/>
        </w:rPr>
        <w:t> @ </w:t>
      </w:r>
      <w:r>
        <w:rPr>
          <w:rFonts w:ascii="MathJax_Math" w:eastAsia="Times New Roman" w:hAnsi="MathJax_Math" w:cs="Times New Roman"/>
          <w:b/>
          <w:i/>
          <w:iCs/>
          <w:color w:val="333333"/>
          <w:sz w:val="15"/>
          <w:szCs w:val="15"/>
        </w:rPr>
        <w:t>α</w:t>
      </w:r>
      <w:r>
        <w:rPr>
          <w:rFonts w:ascii="MathJax_Main" w:eastAsia="Times New Roman" w:hAnsi="MathJax_Main" w:cs="Times New Roman"/>
          <w:b/>
          <w:color w:val="333333"/>
          <w:sz w:val="15"/>
          <w:szCs w:val="15"/>
        </w:rPr>
        <w:t>=0.10</w:t>
      </w:r>
      <w:r>
        <w:rPr>
          <w:rFonts w:ascii="Calibri" w:eastAsia="Times New Roman" w:hAnsi="Calibri" w:cs="Times New Roman"/>
          <w:b/>
          <w:color w:val="333333"/>
          <w:sz w:val="20"/>
          <w:szCs w:val="20"/>
        </w:rPr>
        <w:t>,</w:t>
      </w:r>
    </w:p>
    <w:p w:rsidR="00AD77BB" w:rsidRDefault="00B45BA0">
      <w:pPr>
        <w:shd w:val="clear" w:color="auto" w:fill="DAEEF3" w:themeFill="accent5" w:themeFillTint="33"/>
        <w:spacing w:after="0" w:line="439" w:lineRule="atLeast"/>
        <w:ind w:left="810" w:firstLine="270"/>
        <w:textAlignment w:val="baseline"/>
        <w:rPr>
          <w:rFonts w:ascii="Calibri" w:eastAsia="Times New Roman" w:hAnsi="Calibri" w:cs="Times New Roman"/>
          <w:b/>
          <w:color w:val="333333"/>
          <w:sz w:val="20"/>
          <w:szCs w:val="20"/>
        </w:rPr>
      </w:pPr>
      <w:r>
        <w:rPr>
          <w:rFonts w:ascii="MathJax_Math" w:eastAsia="Times New Roman" w:hAnsi="MathJax_Math" w:cs="Times New Roman"/>
          <w:b/>
          <w:i/>
          <w:iCs/>
          <w:color w:val="333333"/>
          <w:sz w:val="15"/>
          <w:szCs w:val="15"/>
        </w:rPr>
        <w:t>n</w:t>
      </w:r>
      <w:r>
        <w:rPr>
          <w:rFonts w:ascii="MathJax_Main" w:eastAsia="Times New Roman" w:hAnsi="MathJax_Main" w:cs="Times New Roman"/>
          <w:b/>
          <w:color w:val="333333"/>
          <w:sz w:val="12"/>
          <w:szCs w:val="12"/>
        </w:rPr>
        <w:t>1</w:t>
      </w:r>
      <w:r>
        <w:rPr>
          <w:rFonts w:ascii="MathJax_Main" w:eastAsia="Times New Roman" w:hAnsi="MathJax_Main" w:cs="Times New Roman"/>
          <w:b/>
          <w:color w:val="333333"/>
          <w:sz w:val="15"/>
          <w:szCs w:val="15"/>
        </w:rPr>
        <w:t>=7500</w:t>
      </w:r>
      <w:r>
        <w:rPr>
          <w:rFonts w:ascii="Calibri" w:eastAsia="Times New Roman" w:hAnsi="Calibri" w:cs="Times New Roman"/>
          <w:b/>
          <w:color w:val="333333"/>
          <w:sz w:val="20"/>
          <w:szCs w:val="20"/>
        </w:rPr>
        <w: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ˆ</w:t>
      </w:r>
      <w:r>
        <w:rPr>
          <w:rFonts w:ascii="MathJax_Main" w:eastAsia="Times New Roman" w:hAnsi="MathJax_Main" w:cs="Times New Roman"/>
          <w:b/>
          <w:color w:val="333333"/>
          <w:sz w:val="12"/>
          <w:szCs w:val="12"/>
        </w:rPr>
        <w:t>1</w:t>
      </w:r>
      <w:r>
        <w:rPr>
          <w:rFonts w:ascii="MathJax_Main" w:eastAsia="Times New Roman" w:hAnsi="MathJax_Main" w:cs="Times New Roman"/>
          <w:b/>
          <w:color w:val="333333"/>
          <w:sz w:val="15"/>
          <w:szCs w:val="15"/>
        </w:rPr>
        <w:t>=0.664</w:t>
      </w:r>
    </w:p>
    <w:p w:rsidR="00AD77BB" w:rsidRDefault="00B45BA0">
      <w:pPr>
        <w:shd w:val="clear" w:color="auto" w:fill="DAEEF3" w:themeFill="accent5" w:themeFillTint="33"/>
        <w:spacing w:after="0" w:line="439" w:lineRule="atLeast"/>
        <w:ind w:left="810" w:firstLine="270"/>
        <w:textAlignment w:val="baseline"/>
        <w:rPr>
          <w:rFonts w:ascii="MathJax_Main" w:eastAsia="Times New Roman" w:hAnsi="MathJax_Main" w:cs="Times New Roman"/>
          <w:b/>
          <w:color w:val="333333"/>
          <w:sz w:val="15"/>
          <w:szCs w:val="15"/>
        </w:rPr>
      </w:pPr>
      <w:r>
        <w:rPr>
          <w:rFonts w:ascii="MathJax_Math" w:eastAsia="Times New Roman" w:hAnsi="MathJax_Math" w:cs="Times New Roman"/>
          <w:b/>
          <w:i/>
          <w:iCs/>
          <w:color w:val="333333"/>
          <w:sz w:val="15"/>
          <w:szCs w:val="15"/>
        </w:rPr>
        <w:t>n</w:t>
      </w:r>
      <w:r>
        <w:rPr>
          <w:rFonts w:ascii="MathJax_Main" w:eastAsia="Times New Roman" w:hAnsi="MathJax_Main" w:cs="Times New Roman"/>
          <w:b/>
          <w:color w:val="333333"/>
          <w:sz w:val="12"/>
          <w:szCs w:val="12"/>
        </w:rPr>
        <w:t>2</w:t>
      </w:r>
      <w:r>
        <w:rPr>
          <w:rFonts w:ascii="MathJax_Main" w:eastAsia="Times New Roman" w:hAnsi="MathJax_Main" w:cs="Times New Roman"/>
          <w:b/>
          <w:color w:val="333333"/>
          <w:sz w:val="15"/>
          <w:szCs w:val="15"/>
        </w:rPr>
        <w:t>=1000</w:t>
      </w:r>
      <w:r>
        <w:rPr>
          <w:rFonts w:ascii="Calibri" w:eastAsia="Times New Roman" w:hAnsi="Calibri" w:cs="Times New Roman"/>
          <w:b/>
          <w:color w:val="333333"/>
          <w:sz w:val="20"/>
          <w:szCs w:val="20"/>
        </w:rPr>
        <w:t>, </w:t>
      </w:r>
      <w:r>
        <w:rPr>
          <w:rFonts w:ascii="MathJax_Math" w:eastAsia="Times New Roman" w:hAnsi="MathJax_Math" w:cs="Times New Roman"/>
          <w:b/>
          <w:i/>
          <w:iCs/>
          <w:color w:val="333333"/>
          <w:sz w:val="15"/>
          <w:szCs w:val="15"/>
        </w:rPr>
        <w:t>p</w:t>
      </w:r>
      <w:r>
        <w:rPr>
          <w:rFonts w:ascii="MathJax_Main" w:eastAsia="Times New Roman" w:hAnsi="MathJax_Main" w:cs="Times New Roman"/>
          <w:b/>
          <w:color w:val="333333"/>
          <w:sz w:val="15"/>
          <w:szCs w:val="15"/>
        </w:rPr>
        <w:t>ˆ</w:t>
      </w:r>
      <w:r>
        <w:rPr>
          <w:rFonts w:ascii="MathJax_Main" w:eastAsia="Times New Roman" w:hAnsi="MathJax_Main" w:cs="Times New Roman"/>
          <w:b/>
          <w:color w:val="333333"/>
          <w:sz w:val="12"/>
          <w:szCs w:val="12"/>
        </w:rPr>
        <w:t>2</w:t>
      </w:r>
      <w:r>
        <w:rPr>
          <w:rFonts w:ascii="MathJax_Main" w:eastAsia="Times New Roman" w:hAnsi="MathJax_Main" w:cs="Times New Roman"/>
          <w:b/>
          <w:color w:val="333333"/>
          <w:sz w:val="15"/>
          <w:szCs w:val="15"/>
        </w:rPr>
        <w:t>=0.319</w:t>
      </w:r>
    </w:p>
    <w:p w:rsidR="00AD77BB" w:rsidRDefault="00AD77BB">
      <w:pPr>
        <w:shd w:val="clear" w:color="auto" w:fill="DAEEF3" w:themeFill="accent5" w:themeFillTint="33"/>
        <w:spacing w:after="0" w:line="439" w:lineRule="atLeast"/>
        <w:ind w:left="810" w:firstLine="270"/>
        <w:textAlignment w:val="baseline"/>
        <w:rPr>
          <w:rFonts w:ascii="Calibri" w:eastAsia="Times New Roman" w:hAnsi="Calibri" w:cs="Times New Roman"/>
          <w:b/>
          <w:color w:val="333333"/>
          <w:sz w:val="20"/>
          <w:szCs w:val="20"/>
        </w:rPr>
      </w:pPr>
    </w:p>
    <w:p w:rsidR="00AD77BB" w:rsidRDefault="00AD77BB">
      <w:pPr>
        <w:shd w:val="clear" w:color="auto" w:fill="DAEEF3" w:themeFill="accent5" w:themeFillTint="33"/>
        <w:spacing w:after="0" w:line="439" w:lineRule="atLeast"/>
        <w:ind w:left="810" w:firstLine="270"/>
        <w:textAlignment w:val="baseline"/>
        <w:rPr>
          <w:rFonts w:ascii="Calibri" w:eastAsia="Times New Roman" w:hAnsi="Calibri" w:cs="Times New Roman"/>
          <w:b/>
          <w:color w:val="333333"/>
          <w:sz w:val="20"/>
          <w:szCs w:val="20"/>
        </w:rPr>
      </w:pPr>
    </w:p>
    <w:p w:rsidR="00AD77BB" w:rsidRDefault="00AD77BB">
      <w:pPr>
        <w:shd w:val="clear" w:color="auto" w:fill="DAEEF3" w:themeFill="accent5" w:themeFillTint="33"/>
        <w:spacing w:after="0" w:line="439" w:lineRule="atLeast"/>
        <w:ind w:left="810" w:firstLine="270"/>
        <w:textAlignment w:val="baseline"/>
        <w:rPr>
          <w:rFonts w:ascii="Calibri" w:eastAsia="Times New Roman" w:hAnsi="Calibri" w:cs="Times New Roman"/>
          <w:b/>
          <w:color w:val="333333"/>
          <w:sz w:val="20"/>
          <w:szCs w:val="20"/>
        </w:rPr>
      </w:pP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lastRenderedPageBreak/>
        <w:t>APPLICATIONS</w:t>
      </w:r>
    </w:p>
    <w:p w:rsidR="00AD77BB" w:rsidRDefault="00B45BA0">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In all the remaining exercsises the samples are sufficiently large (so this need not be checked).</w:t>
      </w:r>
    </w:p>
    <w:p w:rsidR="00AD77BB" w:rsidRDefault="00B45BA0">
      <w:pPr>
        <w:numPr>
          <w:ilvl w:val="0"/>
          <w:numId w:val="245"/>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Voters in a particular city who identify themselves with one or the other of two political parties were randomly selected and asked if they favor a proposal to allow citizens with proper license to carry a concealed handgun in city parks. The results are:</w:t>
      </w:r>
    </w:p>
    <w:tbl>
      <w:tblPr>
        <w:tblW w:w="0" w:type="auto"/>
        <w:tblInd w:w="450" w:type="dxa"/>
        <w:tblCellMar>
          <w:left w:w="0" w:type="dxa"/>
          <w:right w:w="0" w:type="dxa"/>
        </w:tblCellMar>
        <w:tblLook w:val="04A0" w:firstRow="1" w:lastRow="0" w:firstColumn="1" w:lastColumn="0" w:noHBand="0" w:noVBand="1"/>
      </w:tblPr>
      <w:tblGrid>
        <w:gridCol w:w="1977"/>
        <w:gridCol w:w="957"/>
        <w:gridCol w:w="944"/>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Party 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Party B</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Sample size, </w:t>
            </w:r>
            <w:r>
              <w:rPr>
                <w:rFonts w:ascii="Times New Roman" w:eastAsia="Times New Roman" w:hAnsi="Times New Roman" w:cs="Times New Roman"/>
                <w:i/>
                <w:iCs/>
                <w:sz w:val="24"/>
                <w:szCs w:val="24"/>
              </w:rPr>
              <w:t>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Number in favor, </w:t>
            </w:r>
            <w:r>
              <w:rPr>
                <w:rFonts w:ascii="Times New Roman" w:eastAsia="Times New Roman" w:hAnsi="Times New Roman" w:cs="Times New Roman"/>
                <w:i/>
                <w:iCs/>
                <w:sz w:val="24"/>
                <w:szCs w:val="24"/>
              </w:rPr>
              <w:t>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140</w:t>
            </w:r>
          </w:p>
        </w:tc>
      </w:tr>
    </w:tbl>
    <w:p w:rsidR="00AD77BB" w:rsidRDefault="00B45BA0">
      <w:pPr>
        <w:numPr>
          <w:ilvl w:val="1"/>
          <w:numId w:val="24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 point estimate for the difference in the proportion of all members of Party A and all members of Party B who favor the proposal.</w:t>
      </w:r>
    </w:p>
    <w:p w:rsidR="00AD77BB" w:rsidRDefault="00B45BA0">
      <w:pPr>
        <w:numPr>
          <w:ilvl w:val="1"/>
          <w:numId w:val="24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the 95% confidence interval for the difference, based on these data.</w:t>
      </w:r>
    </w:p>
    <w:p w:rsidR="00AD77BB" w:rsidRDefault="00B45BA0">
      <w:pPr>
        <w:numPr>
          <w:ilvl w:val="1"/>
          <w:numId w:val="24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5% level of significance, the hypothesis that the proportion of all members of Party A who favor the proposal is less than the proportion of all members of Party B who do.</w:t>
      </w:r>
    </w:p>
    <w:p w:rsidR="00AD77BB" w:rsidRDefault="00B45BA0">
      <w:pPr>
        <w:numPr>
          <w:ilvl w:val="1"/>
          <w:numId w:val="24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of the test.</w:t>
      </w:r>
    </w:p>
    <w:p w:rsidR="00AD77BB" w:rsidRDefault="00B45BA0">
      <w:pPr>
        <w:numPr>
          <w:ilvl w:val="0"/>
          <w:numId w:val="245"/>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investigate a possible relation between gender and handedness, a random sample of 320 adults was taken, with the following results:</w:t>
      </w:r>
    </w:p>
    <w:tbl>
      <w:tblPr>
        <w:tblW w:w="0" w:type="auto"/>
        <w:tblInd w:w="450" w:type="dxa"/>
        <w:tblCellMar>
          <w:left w:w="0" w:type="dxa"/>
          <w:right w:w="0" w:type="dxa"/>
        </w:tblCellMar>
        <w:tblLook w:val="04A0" w:firstRow="1" w:lastRow="0" w:firstColumn="1" w:lastColumn="0" w:noHBand="0" w:noVBand="1"/>
      </w:tblPr>
      <w:tblGrid>
        <w:gridCol w:w="2576"/>
        <w:gridCol w:w="617"/>
        <w:gridCol w:w="95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Men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Women</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Sample size, </w:t>
            </w:r>
            <w:r>
              <w:rPr>
                <w:rFonts w:ascii="Times New Roman" w:eastAsia="Times New Roman" w:hAnsi="Times New Roman" w:cs="Times New Roman"/>
                <w:i/>
                <w:iCs/>
                <w:sz w:val="24"/>
                <w:szCs w:val="24"/>
              </w:rPr>
              <w:t>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Number of left-handed, </w:t>
            </w:r>
            <w:r>
              <w:rPr>
                <w:rFonts w:ascii="Times New Roman" w:eastAsia="Times New Roman" w:hAnsi="Times New Roman" w:cs="Times New Roman"/>
                <w:i/>
                <w:iCs/>
                <w:sz w:val="24"/>
                <w:szCs w:val="24"/>
              </w:rPr>
              <w:t>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bl>
    <w:p w:rsidR="00AD77BB" w:rsidRDefault="00B45BA0">
      <w:pPr>
        <w:numPr>
          <w:ilvl w:val="1"/>
          <w:numId w:val="24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 point estimate for the difference in the proportion of all men who are left-handed and the proportion of all women who are left-handed.</w:t>
      </w:r>
    </w:p>
    <w:p w:rsidR="00AD77BB" w:rsidRDefault="00B45BA0">
      <w:pPr>
        <w:numPr>
          <w:ilvl w:val="1"/>
          <w:numId w:val="24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the 95% confidence interval for the difference, based on these data.</w:t>
      </w:r>
    </w:p>
    <w:p w:rsidR="00AD77BB" w:rsidRDefault="00B45BA0">
      <w:pPr>
        <w:numPr>
          <w:ilvl w:val="1"/>
          <w:numId w:val="24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5% level of significance, the hypothesis that the proportion of men who are left-handed is greater than the proportion of women who are.</w:t>
      </w:r>
    </w:p>
    <w:p w:rsidR="00AD77BB" w:rsidRDefault="00B45BA0">
      <w:pPr>
        <w:numPr>
          <w:ilvl w:val="1"/>
          <w:numId w:val="24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of the test.</w:t>
      </w:r>
    </w:p>
    <w:p w:rsidR="00AD77BB" w:rsidRDefault="00B45BA0">
      <w:pPr>
        <w:numPr>
          <w:ilvl w:val="0"/>
          <w:numId w:val="245"/>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local school board member randomly sampled private and public high school teachers in his district to compare the proportions of National Board Certified (NBC) teachers in the faculty. The results were:</w:t>
      </w:r>
    </w:p>
    <w:tbl>
      <w:tblPr>
        <w:tblW w:w="0" w:type="auto"/>
        <w:tblInd w:w="450" w:type="dxa"/>
        <w:tblCellMar>
          <w:left w:w="0" w:type="dxa"/>
          <w:right w:w="0" w:type="dxa"/>
        </w:tblCellMar>
        <w:tblLook w:val="04A0" w:firstRow="1" w:lastRow="0" w:firstColumn="1" w:lastColumn="0" w:noHBand="0" w:noVBand="1"/>
      </w:tblPr>
      <w:tblGrid>
        <w:gridCol w:w="3082"/>
        <w:gridCol w:w="1730"/>
        <w:gridCol w:w="1637"/>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Private Schools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Public Schools</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Sample size, </w:t>
            </w:r>
            <w:r>
              <w:rPr>
                <w:rFonts w:ascii="Times New Roman" w:eastAsia="Times New Roman" w:hAnsi="Times New Roman" w:cs="Times New Roman"/>
                <w:i/>
                <w:iCs/>
                <w:sz w:val="24"/>
                <w:szCs w:val="24"/>
              </w:rPr>
              <w:t>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520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Proportion of NBC teachers, </w:t>
            </w:r>
            <w:r>
              <w:rPr>
                <w:rFonts w:ascii="MathJax_Math" w:eastAsia="Times New Roman" w:hAnsi="MathJax_Math" w:cs="Times New Roman"/>
                <w:i/>
                <w:iCs/>
                <w:sz w:val="15"/>
                <w:szCs w:val="15"/>
              </w:rPr>
              <w:t>p</w:t>
            </w:r>
            <w:r>
              <w:rPr>
                <w:rFonts w:ascii="MathJax_Main" w:eastAsia="Times New Roman" w:hAnsi="MathJax_Main" w:cs="Times New Roman"/>
                <w:sz w:val="15"/>
                <w:szCs w:val="15"/>
              </w:rPr>
              <w:t>ˆ</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0.150</w:t>
            </w:r>
          </w:p>
        </w:tc>
      </w:tr>
    </w:tbl>
    <w:p w:rsidR="00AD77BB" w:rsidRDefault="00B45BA0">
      <w:pPr>
        <w:numPr>
          <w:ilvl w:val="1"/>
          <w:numId w:val="24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 point estimate for the difference in the proportion of all teachers in area public schools and the proportion of all teachers in private schools who are National Board Certified.</w:t>
      </w:r>
    </w:p>
    <w:p w:rsidR="00AD77BB" w:rsidRDefault="00B45BA0">
      <w:pPr>
        <w:numPr>
          <w:ilvl w:val="1"/>
          <w:numId w:val="24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the 90% confidence interval for the difference, based on these data.</w:t>
      </w:r>
    </w:p>
    <w:p w:rsidR="00AD77BB" w:rsidRDefault="00B45BA0">
      <w:pPr>
        <w:numPr>
          <w:ilvl w:val="1"/>
          <w:numId w:val="24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10% level of significance, the hypothesis that the proportion of all public school teachers who are National Board Certified is less than the proportion of private school teachers who are.</w:t>
      </w:r>
    </w:p>
    <w:p w:rsidR="00AD77BB" w:rsidRDefault="00B45BA0">
      <w:pPr>
        <w:numPr>
          <w:ilvl w:val="1"/>
          <w:numId w:val="24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of the test.</w:t>
      </w:r>
    </w:p>
    <w:p w:rsidR="00AD77BB" w:rsidRDefault="00B45BA0">
      <w:pPr>
        <w:numPr>
          <w:ilvl w:val="0"/>
          <w:numId w:val="245"/>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professional basketball games, the fans of the home team always try to distract free throw shooters on the visiting team. To investigate whether this tactic is actually effective, the free throw statistics of a professional basketball player with a high free throw percentage were examined. During the entire last season, this player had 656 free throws, 420 in home games and 236 in away games. The results are summarized below.</w:t>
      </w:r>
    </w:p>
    <w:tbl>
      <w:tblPr>
        <w:tblW w:w="0" w:type="auto"/>
        <w:tblInd w:w="450" w:type="dxa"/>
        <w:tblCellMar>
          <w:left w:w="0" w:type="dxa"/>
          <w:right w:w="0" w:type="dxa"/>
        </w:tblCellMar>
        <w:tblLook w:val="04A0" w:firstRow="1" w:lastRow="0" w:firstColumn="1" w:lastColumn="0" w:noHBand="0" w:noVBand="1"/>
      </w:tblPr>
      <w:tblGrid>
        <w:gridCol w:w="2208"/>
        <w:gridCol w:w="770"/>
        <w:gridCol w:w="77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Home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Away</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Sample size, </w:t>
            </w:r>
            <w:r>
              <w:rPr>
                <w:rFonts w:ascii="Times New Roman" w:eastAsia="Times New Roman" w:hAnsi="Times New Roman" w:cs="Times New Roman"/>
                <w:i/>
                <w:iCs/>
                <w:sz w:val="24"/>
                <w:szCs w:val="24"/>
              </w:rPr>
              <w:t>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236</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Free throw percent, </w:t>
            </w:r>
            <w:r>
              <w:rPr>
                <w:rFonts w:ascii="MathJax_Math" w:eastAsia="Times New Roman" w:hAnsi="MathJax_Math" w:cs="Times New Roman"/>
                <w:i/>
                <w:iCs/>
                <w:sz w:val="15"/>
                <w:szCs w:val="15"/>
              </w:rPr>
              <w:t>p</w:t>
            </w:r>
            <w:r>
              <w:rPr>
                <w:rFonts w:ascii="MathJax_Main" w:eastAsia="Times New Roman" w:hAnsi="MathJax_Main" w:cs="Times New Roman"/>
                <w:sz w:val="15"/>
                <w:szCs w:val="15"/>
              </w:rPr>
              <w:t>ˆ</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78.8%</w:t>
            </w:r>
          </w:p>
        </w:tc>
      </w:tr>
    </w:tbl>
    <w:p w:rsidR="00AD77BB" w:rsidRDefault="00B45BA0">
      <w:pPr>
        <w:numPr>
          <w:ilvl w:val="1"/>
          <w:numId w:val="24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a point estimate for the difference in the proportion of free throws made at home and away.</w:t>
      </w:r>
    </w:p>
    <w:p w:rsidR="00AD77BB" w:rsidRDefault="00B45BA0">
      <w:pPr>
        <w:numPr>
          <w:ilvl w:val="1"/>
          <w:numId w:val="24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the 90% confidence interval for the difference, based on these data.</w:t>
      </w:r>
    </w:p>
    <w:p w:rsidR="00AD77BB" w:rsidRDefault="00B45BA0">
      <w:pPr>
        <w:numPr>
          <w:ilvl w:val="1"/>
          <w:numId w:val="24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10% level of significance, the hypothesis that there exists a home advantage in free throws.</w:t>
      </w:r>
    </w:p>
    <w:p w:rsidR="00AD77BB" w:rsidRDefault="00B45BA0">
      <w:pPr>
        <w:numPr>
          <w:ilvl w:val="1"/>
          <w:numId w:val="24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rPr>
        <w:t>-value of the test.</w:t>
      </w:r>
    </w:p>
    <w:p w:rsidR="00AD77BB" w:rsidRDefault="00B45BA0">
      <w:pPr>
        <w:numPr>
          <w:ilvl w:val="0"/>
          <w:numId w:val="245"/>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Randomly selected middle-aged people in both China and the United States were asked if they believed that adults have an obligation to financially support their aged parents. The results are summarized below.</w:t>
      </w:r>
    </w:p>
    <w:tbl>
      <w:tblPr>
        <w:tblW w:w="0" w:type="auto"/>
        <w:tblInd w:w="450" w:type="dxa"/>
        <w:tblCellMar>
          <w:left w:w="0" w:type="dxa"/>
          <w:right w:w="0" w:type="dxa"/>
        </w:tblCellMar>
        <w:tblLook w:val="04A0" w:firstRow="1" w:lastRow="0" w:firstColumn="1" w:lastColumn="0" w:noHBand="0" w:noVBand="1"/>
      </w:tblPr>
      <w:tblGrid>
        <w:gridCol w:w="1803"/>
        <w:gridCol w:w="777"/>
        <w:gridCol w:w="631"/>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China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USA</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Sample size, </w:t>
            </w:r>
            <w:r>
              <w:rPr>
                <w:rFonts w:ascii="Times New Roman" w:eastAsia="Times New Roman" w:hAnsi="Times New Roman" w:cs="Times New Roman"/>
                <w:i/>
                <w:iCs/>
                <w:sz w:val="24"/>
                <w:szCs w:val="24"/>
              </w:rPr>
              <w:t>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Number of yes, </w:t>
            </w:r>
            <w:r>
              <w:rPr>
                <w:rFonts w:ascii="Times New Roman" w:eastAsia="Times New Roman" w:hAnsi="Times New Roman" w:cs="Times New Roman"/>
                <w:i/>
                <w:iCs/>
                <w:sz w:val="24"/>
                <w:szCs w:val="24"/>
              </w:rPr>
              <w:t>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110</w:t>
            </w:r>
          </w:p>
        </w:tc>
      </w:tr>
    </w:tbl>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1% level of significance, whether the data provide sufficient evidence to conclude that there exists a cultural difference in attitude regarding this question.</w:t>
      </w:r>
    </w:p>
    <w:p w:rsidR="00AD77BB" w:rsidRDefault="00B45BA0">
      <w:pPr>
        <w:numPr>
          <w:ilvl w:val="0"/>
          <w:numId w:val="245"/>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A manufacturer of walk-behind push mowers receives refurbished small engines from two new suppliers,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It is not uncommon that some of the refurbished engines need to be lightly serviced before they can be fitted into mowers. The mower manufacturer recently received 100 engines from each supplier. In the shipment from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13 needed further service. In the shipment from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10 needed further service. Test, at the 10% level of significance, whether the data provide sufficient evidence to conclude that there exists a difference in the proportions of engines from the two suppliers needing service.</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LARGE DATA SET EXERCISES</w:t>
      </w:r>
    </w:p>
    <w:p w:rsidR="00AD77BB" w:rsidRDefault="00B45BA0">
      <w:pPr>
        <w:pStyle w:val="para"/>
        <w:numPr>
          <w:ilvl w:val="0"/>
          <w:numId w:val="24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Large Data Sets 6A and 6B record results of a random survey of 200 voters in each of two regions, in which they were asked to express whether they prefer Candidate</w:t>
      </w:r>
      <w:r>
        <w:rPr>
          <w:rStyle w:val="apple-converted-space"/>
          <w:rFonts w:ascii="Calibri" w:hAnsi="Calibri"/>
          <w:color w:val="333333"/>
          <w:sz w:val="20"/>
          <w:szCs w:val="20"/>
        </w:rPr>
        <w:t> </w:t>
      </w:r>
      <w:r>
        <w:rPr>
          <w:rStyle w:val="Emphasis"/>
          <w:rFonts w:ascii="Calibri" w:hAnsi="Calibri"/>
          <w:color w:val="333333"/>
          <w:sz w:val="20"/>
          <w:szCs w:val="20"/>
        </w:rPr>
        <w:t>A</w:t>
      </w:r>
      <w:r>
        <w:rPr>
          <w:rFonts w:ascii="Calibri" w:hAnsi="Calibri"/>
          <w:color w:val="333333"/>
          <w:sz w:val="20"/>
          <w:szCs w:val="20"/>
        </w:rPr>
        <w:t>for a U.S. Senate seat or prefer some other candidate. Let the population of all voters in region 1 be denoted Population 1 and the population of all voters in region 2 be denoted Population 2. Let</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vertAlign w:val="subscript"/>
        </w:rPr>
        <w:t>1</w:t>
      </w:r>
      <w:r>
        <w:rPr>
          <w:rStyle w:val="apple-converted-space"/>
          <w:rFonts w:ascii="Calibri" w:hAnsi="Calibri"/>
          <w:color w:val="333333"/>
          <w:sz w:val="20"/>
          <w:szCs w:val="20"/>
        </w:rPr>
        <w:t> </w:t>
      </w:r>
      <w:r>
        <w:rPr>
          <w:rFonts w:ascii="Calibri" w:hAnsi="Calibri"/>
          <w:color w:val="333333"/>
          <w:sz w:val="20"/>
          <w:szCs w:val="20"/>
        </w:rPr>
        <w:t>be the proportion of voters in Population 1 who prefer Candidate</w:t>
      </w:r>
      <w:r>
        <w:rPr>
          <w:rStyle w:val="apple-converted-space"/>
          <w:rFonts w:ascii="Calibri" w:hAnsi="Calibri"/>
          <w:color w:val="333333"/>
          <w:sz w:val="20"/>
          <w:szCs w:val="20"/>
        </w:rPr>
        <w:t> </w:t>
      </w:r>
      <w:r>
        <w:rPr>
          <w:rStyle w:val="Emphasis"/>
          <w:rFonts w:ascii="Calibri" w:hAnsi="Calibri"/>
          <w:color w:val="333333"/>
          <w:sz w:val="20"/>
          <w:szCs w:val="20"/>
        </w:rPr>
        <w:t>A</w:t>
      </w:r>
      <w:r>
        <w:rPr>
          <w:rFonts w:ascii="Calibri" w:hAnsi="Calibri"/>
          <w:color w:val="333333"/>
          <w:sz w:val="20"/>
          <w:szCs w:val="20"/>
        </w:rPr>
        <w:t>, and</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vertAlign w:val="subscript"/>
        </w:rPr>
        <w:t>2</w:t>
      </w:r>
      <w:r>
        <w:rPr>
          <w:rStyle w:val="apple-converted-space"/>
          <w:rFonts w:ascii="Calibri" w:hAnsi="Calibri"/>
          <w:color w:val="333333"/>
          <w:sz w:val="20"/>
          <w:szCs w:val="20"/>
        </w:rPr>
        <w:t> </w:t>
      </w:r>
      <w:r>
        <w:rPr>
          <w:rFonts w:ascii="Calibri" w:hAnsi="Calibri"/>
          <w:color w:val="333333"/>
          <w:sz w:val="20"/>
          <w:szCs w:val="20"/>
        </w:rPr>
        <w:t>the proportion in Population 2 who do.</w:t>
      </w:r>
    </w:p>
    <w:p w:rsidR="00AD77BB" w:rsidRDefault="00AD77BB">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rsidR="00AD77BB" w:rsidRDefault="00B45BA0">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eastAsiaTheme="majorEastAsia" w:hAnsi="Calibri"/>
          <w:color w:val="2689C6"/>
          <w:sz w:val="20"/>
          <w:szCs w:val="20"/>
        </w:rPr>
        <w:t>http://www.6A.xls</w:t>
      </w:r>
    </w:p>
    <w:p w:rsidR="00AD77BB" w:rsidRDefault="00B45BA0">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eastAsiaTheme="majorEastAsia" w:hAnsi="Calibri"/>
          <w:color w:val="2689C6"/>
          <w:sz w:val="20"/>
          <w:szCs w:val="20"/>
        </w:rPr>
        <w:t>http://www.6B.xls</w:t>
      </w:r>
    </w:p>
    <w:p w:rsidR="00AD77BB" w:rsidRDefault="00B45BA0">
      <w:pPr>
        <w:numPr>
          <w:ilvl w:val="1"/>
          <w:numId w:val="24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Find the relevant sample proportions</w:t>
      </w:r>
      <w:r>
        <w:rPr>
          <w:rStyle w:val="apple-converted-space"/>
          <w:rFonts w:ascii="Calibri" w:hAnsi="Calibri"/>
          <w:color w:val="333333"/>
          <w:sz w:val="20"/>
          <w:szCs w:val="20"/>
        </w:rPr>
        <w:t> </w:t>
      </w:r>
      <w:r>
        <w:rPr>
          <w:rStyle w:val="mi"/>
          <w:rFonts w:ascii="MathJax_Math" w:hAnsi="MathJax_Math"/>
          <w:i/>
          <w:iCs/>
          <w:color w:val="333333"/>
          <w:sz w:val="15"/>
          <w:szCs w:val="15"/>
        </w:rPr>
        <w:t>p</w:t>
      </w:r>
      <w:r>
        <w:rPr>
          <w:rStyle w:val="mo"/>
          <w:rFonts w:ascii="MathJax_Main" w:hAnsi="MathJax_Main"/>
          <w:color w:val="333333"/>
          <w:sz w:val="15"/>
          <w:szCs w:val="15"/>
        </w:rPr>
        <w:t>ˆ</w:t>
      </w:r>
      <w:r>
        <w:rPr>
          <w:rStyle w:val="mn"/>
          <w:rFonts w:ascii="MathJax_Main" w:hAnsi="MathJax_Main"/>
          <w:color w:val="333333"/>
          <w:sz w:val="12"/>
          <w:szCs w:val="12"/>
        </w:rPr>
        <w:t>1</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mi"/>
          <w:rFonts w:ascii="MathJax_Math" w:hAnsi="MathJax_Math"/>
          <w:i/>
          <w:iCs/>
          <w:color w:val="333333"/>
          <w:sz w:val="15"/>
          <w:szCs w:val="15"/>
        </w:rPr>
        <w:t>p</w:t>
      </w:r>
      <w:r>
        <w:rPr>
          <w:rStyle w:val="mo"/>
          <w:rFonts w:ascii="MathJax_Main" w:hAnsi="MathJax_Main"/>
          <w:color w:val="333333"/>
          <w:sz w:val="15"/>
          <w:szCs w:val="15"/>
        </w:rPr>
        <w:t>ˆ</w:t>
      </w:r>
      <w:r>
        <w:rPr>
          <w:rStyle w:val="mn"/>
          <w:rFonts w:ascii="MathJax_Main" w:hAnsi="MathJax_Main"/>
          <w:color w:val="333333"/>
          <w:sz w:val="12"/>
          <w:szCs w:val="12"/>
        </w:rPr>
        <w:t>2</w:t>
      </w:r>
      <w:r>
        <w:rPr>
          <w:rStyle w:val="mo"/>
          <w:rFonts w:ascii="MathJax_Main" w:hAnsi="MathJax_Main"/>
          <w:color w:val="333333"/>
          <w:sz w:val="15"/>
          <w:szCs w:val="15"/>
        </w:rPr>
        <w:t>.</w:t>
      </w:r>
    </w:p>
    <w:p w:rsidR="00AD77BB" w:rsidRDefault="00B45BA0">
      <w:pPr>
        <w:numPr>
          <w:ilvl w:val="1"/>
          <w:numId w:val="24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a point estimate for</w:t>
      </w:r>
      <w:r>
        <w:rPr>
          <w:rStyle w:val="apple-converted-space"/>
          <w:rFonts w:ascii="Calibri" w:hAnsi="Calibri"/>
          <w:color w:val="333333"/>
          <w:sz w:val="20"/>
          <w:szCs w:val="20"/>
        </w:rPr>
        <w:t> </w:t>
      </w:r>
      <w:r>
        <w:rPr>
          <w:rStyle w:val="mi"/>
          <w:rFonts w:ascii="MathJax_Math" w:hAnsi="MathJax_Math"/>
          <w:i/>
          <w:iCs/>
          <w:color w:val="333333"/>
          <w:sz w:val="15"/>
          <w:szCs w:val="15"/>
        </w:rPr>
        <w:t>p</w:t>
      </w:r>
      <w:r>
        <w:rPr>
          <w:rStyle w:val="mn"/>
          <w:rFonts w:ascii="MathJax_Main" w:hAnsi="MathJax_Main"/>
          <w:color w:val="333333"/>
          <w:sz w:val="12"/>
          <w:szCs w:val="12"/>
        </w:rPr>
        <w:t>1</w:t>
      </w:r>
      <w:r>
        <w:rPr>
          <w:rStyle w:val="mo"/>
          <w:rFonts w:ascii="MathJax_Main" w:hAnsi="MathJax_Main"/>
          <w:color w:val="333333"/>
          <w:sz w:val="15"/>
          <w:szCs w:val="15"/>
        </w:rPr>
        <w:t>−</w:t>
      </w:r>
      <w:r>
        <w:rPr>
          <w:rStyle w:val="mi"/>
          <w:rFonts w:ascii="MathJax_Math" w:hAnsi="MathJax_Math"/>
          <w:i/>
          <w:iCs/>
          <w:color w:val="333333"/>
          <w:sz w:val="15"/>
          <w:szCs w:val="15"/>
        </w:rPr>
        <w:t>p</w:t>
      </w:r>
      <w:r>
        <w:rPr>
          <w:rStyle w:val="mn"/>
          <w:rFonts w:ascii="MathJax_Main" w:hAnsi="MathJax_Main"/>
          <w:color w:val="333333"/>
          <w:sz w:val="12"/>
          <w:szCs w:val="12"/>
        </w:rPr>
        <w:t>2</w:t>
      </w:r>
      <w:r>
        <w:rPr>
          <w:rStyle w:val="mo"/>
          <w:rFonts w:ascii="MathJax_Main" w:hAnsi="MathJax_Main"/>
          <w:color w:val="333333"/>
          <w:sz w:val="15"/>
          <w:szCs w:val="15"/>
        </w:rPr>
        <w:t>.</w:t>
      </w:r>
    </w:p>
    <w:p w:rsidR="00AD77BB" w:rsidRDefault="00B45BA0">
      <w:pPr>
        <w:numPr>
          <w:ilvl w:val="1"/>
          <w:numId w:val="24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a 95% confidence interval for</w:t>
      </w:r>
      <w:r>
        <w:rPr>
          <w:rStyle w:val="apple-converted-space"/>
          <w:rFonts w:ascii="Calibri" w:hAnsi="Calibri"/>
          <w:color w:val="333333"/>
          <w:sz w:val="20"/>
          <w:szCs w:val="20"/>
        </w:rPr>
        <w:t> </w:t>
      </w:r>
      <w:r>
        <w:rPr>
          <w:rStyle w:val="mi"/>
          <w:rFonts w:ascii="MathJax_Math" w:hAnsi="MathJax_Math"/>
          <w:i/>
          <w:iCs/>
          <w:color w:val="333333"/>
          <w:sz w:val="15"/>
          <w:szCs w:val="15"/>
        </w:rPr>
        <w:t>p</w:t>
      </w:r>
      <w:r>
        <w:rPr>
          <w:rStyle w:val="mn"/>
          <w:rFonts w:ascii="MathJax_Main" w:hAnsi="MathJax_Main"/>
          <w:color w:val="333333"/>
          <w:sz w:val="12"/>
          <w:szCs w:val="12"/>
        </w:rPr>
        <w:t>1</w:t>
      </w:r>
      <w:r>
        <w:rPr>
          <w:rStyle w:val="mo"/>
          <w:rFonts w:ascii="MathJax_Main" w:hAnsi="MathJax_Main"/>
          <w:color w:val="333333"/>
          <w:sz w:val="15"/>
          <w:szCs w:val="15"/>
        </w:rPr>
        <w:t>−</w:t>
      </w:r>
      <w:r>
        <w:rPr>
          <w:rStyle w:val="mi"/>
          <w:rFonts w:ascii="MathJax_Math" w:hAnsi="MathJax_Math"/>
          <w:i/>
          <w:iCs/>
          <w:color w:val="333333"/>
          <w:sz w:val="15"/>
          <w:szCs w:val="15"/>
        </w:rPr>
        <w:t>p</w:t>
      </w:r>
      <w:r>
        <w:rPr>
          <w:rStyle w:val="mn"/>
          <w:rFonts w:ascii="MathJax_Main" w:hAnsi="MathJax_Main"/>
          <w:color w:val="333333"/>
          <w:sz w:val="12"/>
          <w:szCs w:val="12"/>
        </w:rPr>
        <w:t>2</w:t>
      </w:r>
      <w:r>
        <w:rPr>
          <w:rStyle w:val="mo"/>
          <w:rFonts w:ascii="MathJax_Main" w:hAnsi="MathJax_Main"/>
          <w:color w:val="333333"/>
          <w:sz w:val="15"/>
          <w:szCs w:val="15"/>
        </w:rPr>
        <w:t>.</w:t>
      </w:r>
    </w:p>
    <w:p w:rsidR="00AD77BB" w:rsidRDefault="00B45BA0">
      <w:pPr>
        <w:numPr>
          <w:ilvl w:val="1"/>
          <w:numId w:val="24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Test, at the 5% level of significance, the hypothesis that the same proportion of voters in the two regions favor Candidate</w:t>
      </w:r>
      <w:r>
        <w:rPr>
          <w:rStyle w:val="apple-converted-space"/>
          <w:rFonts w:ascii="Calibri" w:hAnsi="Calibri"/>
          <w:color w:val="333333"/>
          <w:sz w:val="20"/>
          <w:szCs w:val="20"/>
        </w:rPr>
        <w:t> </w:t>
      </w:r>
      <w:r>
        <w:rPr>
          <w:rStyle w:val="Emphasis"/>
          <w:rFonts w:ascii="Calibri" w:hAnsi="Calibri"/>
          <w:color w:val="333333"/>
          <w:sz w:val="20"/>
          <w:szCs w:val="20"/>
        </w:rPr>
        <w:t>A</w:t>
      </w:r>
      <w:r>
        <w:rPr>
          <w:rFonts w:ascii="Calibri" w:hAnsi="Calibri"/>
          <w:color w:val="333333"/>
          <w:sz w:val="20"/>
          <w:szCs w:val="20"/>
        </w:rPr>
        <w:t>, against the alternative that a larger proportion in Population 2 do.</w:t>
      </w:r>
    </w:p>
    <w:p w:rsidR="00AD77BB" w:rsidRDefault="00B45BA0">
      <w:pPr>
        <w:pStyle w:val="para"/>
        <w:numPr>
          <w:ilvl w:val="0"/>
          <w:numId w:val="24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Large Data Set 11 records the results of samples of real estate sales in a certain region in the year 2008 (lines 2 through 536) and in the year 2010 (lines 537 through 1106). Foreclosure sales are identified with a 1 in the second column. Let all real estate sales in the region in 2008 be Population 1 and all real estate sales in the region in 2010 be Population 2.</w:t>
      </w:r>
    </w:p>
    <w:p w:rsidR="00AD77BB" w:rsidRDefault="00AD77BB">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rsidR="00AD77BB" w:rsidRDefault="00B45BA0">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eastAsiaTheme="majorEastAsia" w:hAnsi="Calibri"/>
          <w:color w:val="2689C6"/>
          <w:sz w:val="20"/>
          <w:szCs w:val="20"/>
        </w:rPr>
        <w:t>http://www.11.xls</w:t>
      </w:r>
    </w:p>
    <w:p w:rsidR="00AD77BB" w:rsidRDefault="00B45BA0">
      <w:pPr>
        <w:numPr>
          <w:ilvl w:val="1"/>
          <w:numId w:val="24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Use the sample data to construct point estimates</w:t>
      </w:r>
      <w:r>
        <w:rPr>
          <w:rStyle w:val="apple-converted-space"/>
          <w:rFonts w:ascii="Calibri" w:hAnsi="Calibri"/>
          <w:color w:val="333333"/>
          <w:sz w:val="20"/>
          <w:szCs w:val="20"/>
        </w:rPr>
        <w:t> </w:t>
      </w:r>
      <w:r>
        <w:rPr>
          <w:rStyle w:val="mi"/>
          <w:rFonts w:ascii="MathJax_Math" w:hAnsi="MathJax_Math"/>
          <w:i/>
          <w:iCs/>
          <w:color w:val="333333"/>
          <w:sz w:val="15"/>
          <w:szCs w:val="15"/>
        </w:rPr>
        <w:t>p</w:t>
      </w:r>
      <w:r>
        <w:rPr>
          <w:rStyle w:val="mo"/>
          <w:rFonts w:ascii="MathJax_Main" w:hAnsi="MathJax_Main"/>
          <w:color w:val="333333"/>
          <w:sz w:val="15"/>
          <w:szCs w:val="15"/>
        </w:rPr>
        <w:t>ˆ</w:t>
      </w:r>
      <w:r>
        <w:rPr>
          <w:rStyle w:val="mn"/>
          <w:rFonts w:ascii="MathJax_Main" w:hAnsi="MathJax_Main"/>
          <w:color w:val="333333"/>
          <w:sz w:val="12"/>
          <w:szCs w:val="12"/>
        </w:rPr>
        <w:t>1</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mi"/>
          <w:rFonts w:ascii="MathJax_Math" w:hAnsi="MathJax_Math"/>
          <w:i/>
          <w:iCs/>
          <w:color w:val="333333"/>
          <w:sz w:val="15"/>
          <w:szCs w:val="15"/>
        </w:rPr>
        <w:t>p</w:t>
      </w:r>
      <w:r>
        <w:rPr>
          <w:rStyle w:val="mo"/>
          <w:rFonts w:ascii="MathJax_Main" w:hAnsi="MathJax_Main"/>
          <w:color w:val="333333"/>
          <w:sz w:val="15"/>
          <w:szCs w:val="15"/>
        </w:rPr>
        <w:t>ˆ</w:t>
      </w:r>
      <w:r>
        <w:rPr>
          <w:rStyle w:val="mn"/>
          <w:rFonts w:ascii="MathJax_Main" w:hAnsi="MathJax_Main"/>
          <w:color w:val="333333"/>
          <w:sz w:val="12"/>
          <w:szCs w:val="12"/>
        </w:rPr>
        <w:t>2</w:t>
      </w:r>
      <w:r>
        <w:rPr>
          <w:rStyle w:val="apple-converted-space"/>
          <w:rFonts w:ascii="Calibri" w:hAnsi="Calibri"/>
          <w:color w:val="333333"/>
          <w:sz w:val="20"/>
          <w:szCs w:val="20"/>
        </w:rPr>
        <w:t> </w:t>
      </w:r>
      <w:r>
        <w:rPr>
          <w:rFonts w:ascii="Calibri" w:hAnsi="Calibri"/>
          <w:color w:val="333333"/>
          <w:sz w:val="20"/>
          <w:szCs w:val="20"/>
        </w:rPr>
        <w:t>of the proportions</w:t>
      </w:r>
      <w:r>
        <w:rPr>
          <w:rStyle w:val="Emphasis"/>
          <w:rFonts w:ascii="Calibri" w:hAnsi="Calibri"/>
          <w:color w:val="333333"/>
          <w:sz w:val="20"/>
          <w:szCs w:val="20"/>
        </w:rPr>
        <w:t>p</w:t>
      </w:r>
      <w:r>
        <w:rPr>
          <w:rFonts w:ascii="Calibri" w:hAnsi="Calibri"/>
          <w:color w:val="333333"/>
          <w:sz w:val="20"/>
          <w:szCs w:val="20"/>
          <w:vertAlign w:val="subscript"/>
        </w:rPr>
        <w:t>1</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Emphasis"/>
          <w:rFonts w:ascii="Calibri" w:hAnsi="Calibri"/>
          <w:color w:val="333333"/>
          <w:sz w:val="20"/>
          <w:szCs w:val="20"/>
        </w:rPr>
        <w:t>p</w:t>
      </w:r>
      <w:r>
        <w:rPr>
          <w:rFonts w:ascii="Calibri" w:hAnsi="Calibri"/>
          <w:color w:val="333333"/>
          <w:sz w:val="20"/>
          <w:szCs w:val="20"/>
          <w:vertAlign w:val="subscript"/>
        </w:rPr>
        <w:t>2</w:t>
      </w:r>
      <w:r>
        <w:rPr>
          <w:rStyle w:val="apple-converted-space"/>
          <w:rFonts w:ascii="Calibri" w:hAnsi="Calibri"/>
          <w:color w:val="333333"/>
          <w:sz w:val="20"/>
          <w:szCs w:val="20"/>
        </w:rPr>
        <w:t> </w:t>
      </w:r>
      <w:r>
        <w:rPr>
          <w:rFonts w:ascii="Calibri" w:hAnsi="Calibri"/>
          <w:color w:val="333333"/>
          <w:sz w:val="20"/>
          <w:szCs w:val="20"/>
        </w:rPr>
        <w:t>of all real estate sales in this region in 2008 and 2010 that were foreclosure sales. Construct a point estimate of</w:t>
      </w:r>
      <w:r>
        <w:rPr>
          <w:rStyle w:val="apple-converted-space"/>
          <w:rFonts w:ascii="Calibri" w:hAnsi="Calibri"/>
          <w:color w:val="333333"/>
          <w:sz w:val="20"/>
          <w:szCs w:val="20"/>
        </w:rPr>
        <w:t> </w:t>
      </w:r>
      <w:r>
        <w:rPr>
          <w:rStyle w:val="mi"/>
          <w:rFonts w:ascii="MathJax_Math" w:hAnsi="MathJax_Math"/>
          <w:i/>
          <w:iCs/>
          <w:color w:val="333333"/>
          <w:sz w:val="15"/>
          <w:szCs w:val="15"/>
        </w:rPr>
        <w:t>p</w:t>
      </w:r>
      <w:r>
        <w:rPr>
          <w:rStyle w:val="mn"/>
          <w:rFonts w:ascii="MathJax_Main" w:hAnsi="MathJax_Main"/>
          <w:color w:val="333333"/>
          <w:sz w:val="12"/>
          <w:szCs w:val="12"/>
        </w:rPr>
        <w:t>1</w:t>
      </w:r>
      <w:r>
        <w:rPr>
          <w:rStyle w:val="mo"/>
          <w:rFonts w:ascii="MathJax_Main" w:hAnsi="MathJax_Main"/>
          <w:color w:val="333333"/>
          <w:sz w:val="15"/>
          <w:szCs w:val="15"/>
        </w:rPr>
        <w:t>−</w:t>
      </w:r>
      <w:r>
        <w:rPr>
          <w:rStyle w:val="mi"/>
          <w:rFonts w:ascii="MathJax_Math" w:hAnsi="MathJax_Math"/>
          <w:i/>
          <w:iCs/>
          <w:color w:val="333333"/>
          <w:sz w:val="15"/>
          <w:szCs w:val="15"/>
        </w:rPr>
        <w:t>p</w:t>
      </w:r>
      <w:r>
        <w:rPr>
          <w:rStyle w:val="mn"/>
          <w:rFonts w:ascii="MathJax_Main" w:hAnsi="MathJax_Main"/>
          <w:color w:val="333333"/>
          <w:sz w:val="12"/>
          <w:szCs w:val="12"/>
        </w:rPr>
        <w:t>2</w:t>
      </w:r>
      <w:r>
        <w:rPr>
          <w:rStyle w:val="mo"/>
          <w:rFonts w:ascii="MathJax_Main" w:hAnsi="MathJax_Main"/>
          <w:color w:val="333333"/>
          <w:sz w:val="15"/>
          <w:szCs w:val="15"/>
        </w:rPr>
        <w:t>.</w:t>
      </w:r>
    </w:p>
    <w:p w:rsidR="00AD77BB" w:rsidRDefault="00B45BA0">
      <w:pPr>
        <w:numPr>
          <w:ilvl w:val="1"/>
          <w:numId w:val="24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Use the sample data to construct a 90% confidence for</w:t>
      </w:r>
      <w:r>
        <w:rPr>
          <w:rStyle w:val="apple-converted-space"/>
          <w:rFonts w:ascii="Calibri" w:hAnsi="Calibri"/>
          <w:color w:val="333333"/>
          <w:sz w:val="20"/>
          <w:szCs w:val="20"/>
        </w:rPr>
        <w:t> </w:t>
      </w:r>
      <w:r>
        <w:rPr>
          <w:rStyle w:val="mi"/>
          <w:rFonts w:ascii="MathJax_Math" w:hAnsi="MathJax_Math"/>
          <w:i/>
          <w:iCs/>
          <w:color w:val="333333"/>
          <w:sz w:val="15"/>
          <w:szCs w:val="15"/>
        </w:rPr>
        <w:t>p</w:t>
      </w:r>
      <w:r>
        <w:rPr>
          <w:rStyle w:val="mn"/>
          <w:rFonts w:ascii="MathJax_Main" w:hAnsi="MathJax_Main"/>
          <w:color w:val="333333"/>
          <w:sz w:val="12"/>
          <w:szCs w:val="12"/>
        </w:rPr>
        <w:t>1</w:t>
      </w:r>
      <w:r>
        <w:rPr>
          <w:rStyle w:val="mo"/>
          <w:rFonts w:ascii="MathJax_Main" w:hAnsi="MathJax_Main"/>
          <w:color w:val="333333"/>
          <w:sz w:val="15"/>
          <w:szCs w:val="15"/>
        </w:rPr>
        <w:t>−</w:t>
      </w:r>
      <w:r>
        <w:rPr>
          <w:rStyle w:val="mi"/>
          <w:rFonts w:ascii="MathJax_Math" w:hAnsi="MathJax_Math"/>
          <w:i/>
          <w:iCs/>
          <w:color w:val="333333"/>
          <w:sz w:val="15"/>
          <w:szCs w:val="15"/>
        </w:rPr>
        <w:t>p</w:t>
      </w:r>
      <w:r>
        <w:rPr>
          <w:rStyle w:val="mn"/>
          <w:rFonts w:ascii="MathJax_Main" w:hAnsi="MathJax_Main"/>
          <w:color w:val="333333"/>
          <w:sz w:val="12"/>
          <w:szCs w:val="12"/>
        </w:rPr>
        <w:t>2</w:t>
      </w:r>
      <w:r>
        <w:rPr>
          <w:rStyle w:val="mo"/>
          <w:rFonts w:ascii="MathJax_Main" w:hAnsi="MathJax_Main"/>
          <w:color w:val="333333"/>
          <w:sz w:val="15"/>
          <w:szCs w:val="15"/>
        </w:rPr>
        <w:t>.</w:t>
      </w:r>
    </w:p>
    <w:p w:rsidR="00AD77BB" w:rsidRDefault="00B45BA0">
      <w:pPr>
        <w:numPr>
          <w:ilvl w:val="1"/>
          <w:numId w:val="24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Test, at the 10% level of significance, the hypothesis that the proportion of real estate sales in the region in 2010 that were foreclosure sales was greater than the proportion of real estate sales in the region in 2008 that were foreclosure sales. (The default is that the proportions were the same.)</w:t>
      </w:r>
    </w:p>
    <w:p w:rsidR="00AD77BB" w:rsidRDefault="00B45BA0">
      <w:p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26A19ED" wp14:editId="6B719819">
            <wp:extent cx="5210175" cy="6153150"/>
            <wp:effectExtent l="0" t="0" r="9525" b="0"/>
            <wp:docPr id="362"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210175" cy="6153150"/>
                    </a:xfrm>
                    <a:prstGeom prst="rect">
                      <a:avLst/>
                    </a:prstGeom>
                    <a:noFill/>
                    <a:ln>
                      <a:noFill/>
                    </a:ln>
                  </pic:spPr>
                </pic:pic>
              </a:graphicData>
            </a:graphic>
          </wp:inline>
        </w:drawing>
      </w:r>
    </w:p>
    <w:p w:rsidR="00AD77BB" w:rsidRDefault="00B45BA0">
      <w:p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7FE4F2C9" wp14:editId="0D430507">
            <wp:extent cx="5210175" cy="1962150"/>
            <wp:effectExtent l="0" t="0" r="9525" b="0"/>
            <wp:docPr id="363"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210175" cy="1962150"/>
                    </a:xfrm>
                    <a:prstGeom prst="rect">
                      <a:avLst/>
                    </a:prstGeom>
                    <a:noFill/>
                    <a:ln>
                      <a:noFill/>
                    </a:ln>
                  </pic:spPr>
                </pic:pic>
              </a:graphicData>
            </a:graphic>
          </wp:inline>
        </w:drawing>
      </w:r>
    </w:p>
    <w:p w:rsidR="00AD77BB" w:rsidRDefault="00B45BA0">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9.5</w:t>
      </w:r>
      <w:r>
        <w:rPr>
          <w:rFonts w:ascii="Calibri" w:eastAsia="Times New Roman" w:hAnsi="Calibri" w:cs="Times New Roman"/>
          <w:b/>
          <w:bCs/>
          <w:color w:val="333333"/>
          <w:sz w:val="36"/>
          <w:szCs w:val="36"/>
        </w:rPr>
        <w:t> Sample Size Considerations</w:t>
      </w:r>
    </w:p>
    <w:p w:rsidR="00AD77BB" w:rsidRDefault="00AD77BB">
      <w:pPr>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rsidR="00AD77BB" w:rsidRDefault="00B45BA0">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w:t>
      </w:r>
    </w:p>
    <w:p w:rsidR="00AD77BB" w:rsidRDefault="00B45BA0">
      <w:pPr>
        <w:numPr>
          <w:ilvl w:val="0"/>
          <w:numId w:val="247"/>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how to apply formulas for estimating the size samples that will be needed in order to construct a confidence interval for the difference in two population means or proportions that meets given criteria.</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As was pointed out at the beginning of </w:t>
      </w:r>
      <w:r>
        <w:rPr>
          <w:rFonts w:ascii="Georgia" w:eastAsia="Times New Roman" w:hAnsi="Georgia" w:cs="Times New Roman"/>
          <w:color w:val="2689C6"/>
          <w:sz w:val="21"/>
          <w:szCs w:val="21"/>
        </w:rPr>
        <w:t>Section 7.4 "Sample Size Considerations"</w:t>
      </w:r>
      <w:r>
        <w:rPr>
          <w:rFonts w:ascii="Georgia" w:eastAsia="Times New Roman" w:hAnsi="Georgia" w:cs="Times New Roman"/>
          <w:color w:val="333333"/>
          <w:sz w:val="21"/>
          <w:szCs w:val="21"/>
        </w:rPr>
        <w:t>in </w:t>
      </w:r>
      <w:r>
        <w:rPr>
          <w:rFonts w:ascii="Georgia" w:eastAsia="Times New Roman" w:hAnsi="Georgia" w:cs="Times New Roman"/>
          <w:color w:val="2689C6"/>
          <w:sz w:val="21"/>
          <w:szCs w:val="21"/>
        </w:rPr>
        <w:t>Chapter 7 "Estimation"</w:t>
      </w:r>
      <w:r>
        <w:rPr>
          <w:rFonts w:ascii="Georgia" w:eastAsia="Times New Roman" w:hAnsi="Georgia" w:cs="Times New Roman"/>
          <w:color w:val="333333"/>
          <w:sz w:val="21"/>
          <w:szCs w:val="21"/>
        </w:rPr>
        <w:t>, sampling is typically done with definite objectives in mind. For example, a physician might wish to estimate the difference in the average amount of sleep gotten by patients suffering a certain condition with the average amount of sleep got by healthy adults, at 90% confidence and to within half an hour. Since sampling costs time, effort, and money, it would be useful to be able to estimate the smallest size samples that are likely to meet these criteria.</w:t>
      </w:r>
    </w:p>
    <w:p w:rsidR="00AD77BB" w:rsidRDefault="00B45BA0">
      <w:pPr>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5F24A8B2" wp14:editId="1C6895A0">
            <wp:extent cx="5314950" cy="4924425"/>
            <wp:effectExtent l="0" t="0" r="0" b="9525"/>
            <wp:docPr id="364"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314950" cy="4924425"/>
                    </a:xfrm>
                    <a:prstGeom prst="rect">
                      <a:avLst/>
                    </a:prstGeom>
                    <a:noFill/>
                    <a:ln>
                      <a:noFill/>
                    </a:ln>
                  </pic:spPr>
                </pic:pic>
              </a:graphicData>
            </a:graphic>
          </wp:inline>
        </w:drawing>
      </w:r>
    </w:p>
    <w:p w:rsidR="00AD77BB" w:rsidRDefault="00B45BA0">
      <w:pPr>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340D03F" wp14:editId="1881F8C6">
            <wp:extent cx="5638800" cy="3419475"/>
            <wp:effectExtent l="0" t="0" r="0" b="9525"/>
            <wp:docPr id="365"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638800" cy="3419475"/>
                    </a:xfrm>
                    <a:prstGeom prst="rect">
                      <a:avLst/>
                    </a:prstGeom>
                    <a:noFill/>
                    <a:ln>
                      <a:noFill/>
                    </a:ln>
                  </pic:spPr>
                </pic:pic>
              </a:graphicData>
            </a:graphic>
          </wp:inline>
        </w:drawing>
      </w:r>
    </w:p>
    <w:p w:rsidR="00AD77BB" w:rsidRDefault="00B45BA0">
      <w:pPr>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4D318F62" wp14:editId="01567913">
            <wp:extent cx="4962525" cy="4552950"/>
            <wp:effectExtent l="0" t="0" r="9525" b="0"/>
            <wp:docPr id="366"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962525" cy="4552950"/>
                    </a:xfrm>
                    <a:prstGeom prst="rect">
                      <a:avLst/>
                    </a:prstGeom>
                    <a:noFill/>
                    <a:ln>
                      <a:noFill/>
                    </a:ln>
                  </pic:spPr>
                </pic:pic>
              </a:graphicData>
            </a:graphic>
          </wp:inline>
        </w:drawing>
      </w:r>
    </w:p>
    <w:p w:rsidR="00AD77BB" w:rsidRDefault="00B45BA0">
      <w:pPr>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D6F728A" wp14:editId="678A1184">
            <wp:extent cx="5057775" cy="5876925"/>
            <wp:effectExtent l="0" t="0" r="9525" b="9525"/>
            <wp:docPr id="367"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057775" cy="5876925"/>
                    </a:xfrm>
                    <a:prstGeom prst="rect">
                      <a:avLst/>
                    </a:prstGeom>
                    <a:noFill/>
                    <a:ln>
                      <a:noFill/>
                    </a:ln>
                  </pic:spPr>
                </pic:pic>
              </a:graphicData>
            </a:graphic>
          </wp:inline>
        </w:drawing>
      </w:r>
    </w:p>
    <w:p w:rsidR="00AD77BB" w:rsidRDefault="00B45BA0">
      <w:pPr>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6CEE439" wp14:editId="3A162E6E">
            <wp:extent cx="4972050" cy="5067300"/>
            <wp:effectExtent l="0" t="0" r="0" b="0"/>
            <wp:docPr id="368"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972050" cy="5067300"/>
                    </a:xfrm>
                    <a:prstGeom prst="rect">
                      <a:avLst/>
                    </a:prstGeom>
                    <a:noFill/>
                    <a:ln>
                      <a:noFill/>
                    </a:ln>
                  </pic:spPr>
                </pic:pic>
              </a:graphicData>
            </a:graphic>
          </wp:inline>
        </w:drawing>
      </w:r>
    </w:p>
    <w:p w:rsidR="00AD77BB" w:rsidRDefault="00B45BA0">
      <w:pPr>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00015FF" wp14:editId="1E58778F">
            <wp:extent cx="4943475" cy="3905250"/>
            <wp:effectExtent l="0" t="0" r="9525" b="0"/>
            <wp:docPr id="369"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943475" cy="3905250"/>
                    </a:xfrm>
                    <a:prstGeom prst="rect">
                      <a:avLst/>
                    </a:prstGeom>
                    <a:noFill/>
                    <a:ln>
                      <a:noFill/>
                    </a:ln>
                  </pic:spPr>
                </pic:pic>
              </a:graphicData>
            </a:graphic>
          </wp:inline>
        </w:drawing>
      </w:r>
    </w:p>
    <w:p w:rsidR="00AD77BB" w:rsidRDefault="00B45BA0">
      <w:pPr>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2EF6AF6" wp14:editId="75E747F7">
            <wp:extent cx="4733925" cy="5334000"/>
            <wp:effectExtent l="0" t="0" r="9525" b="0"/>
            <wp:docPr id="370"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4733925" cy="5334000"/>
                    </a:xfrm>
                    <a:prstGeom prst="rect">
                      <a:avLst/>
                    </a:prstGeom>
                    <a:noFill/>
                    <a:ln>
                      <a:noFill/>
                    </a:ln>
                  </pic:spPr>
                </pic:pic>
              </a:graphicData>
            </a:graphic>
          </wp:inline>
        </w:drawing>
      </w:r>
    </w:p>
    <w:p w:rsidR="00AD77BB" w:rsidRDefault="00B45BA0">
      <w:pPr>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4C0BE73" wp14:editId="31571506">
            <wp:extent cx="5095875" cy="5829300"/>
            <wp:effectExtent l="0" t="0" r="9525" b="0"/>
            <wp:docPr id="371"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095875" cy="5829300"/>
                    </a:xfrm>
                    <a:prstGeom prst="rect">
                      <a:avLst/>
                    </a:prstGeom>
                    <a:noFill/>
                    <a:ln>
                      <a:noFill/>
                    </a:ln>
                  </pic:spPr>
                </pic:pic>
              </a:graphicData>
            </a:graphic>
          </wp:inline>
        </w:drawing>
      </w:r>
    </w:p>
    <w:p w:rsidR="00AD77BB" w:rsidRDefault="00B45BA0">
      <w:pPr>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74CE5973" wp14:editId="2B4A7B8D">
            <wp:extent cx="5095875" cy="2028825"/>
            <wp:effectExtent l="0" t="0" r="9525" b="9525"/>
            <wp:docPr id="372"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095875" cy="2028825"/>
                    </a:xfrm>
                    <a:prstGeom prst="rect">
                      <a:avLst/>
                    </a:prstGeom>
                    <a:noFill/>
                    <a:ln>
                      <a:noFill/>
                    </a:ln>
                  </pic:spPr>
                </pic:pic>
              </a:graphicData>
            </a:graphic>
          </wp:inline>
        </w:drawing>
      </w: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lastRenderedPageBreak/>
        <w:t>KEY TAKEAWAYS</w:t>
      </w:r>
    </w:p>
    <w:p w:rsidR="00AD77BB" w:rsidRDefault="00B45BA0">
      <w:pPr>
        <w:numPr>
          <w:ilvl w:val="0"/>
          <w:numId w:val="248"/>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 the population standard deviations </w:t>
      </w:r>
      <w:r>
        <w:rPr>
          <w:rFonts w:ascii="MathJax_Math" w:eastAsia="Times New Roman" w:hAnsi="MathJax_Math" w:cs="Times New Roman"/>
          <w:i/>
          <w:iCs/>
          <w:color w:val="333333"/>
          <w:sz w:val="15"/>
          <w:szCs w:val="15"/>
        </w:rPr>
        <w:t>σ</w:t>
      </w:r>
      <w:r>
        <w:rPr>
          <w:rFonts w:ascii="MathJax_Main" w:eastAsia="Times New Roman" w:hAnsi="MathJax_Main" w:cs="Times New Roman"/>
          <w:color w:val="333333"/>
          <w:sz w:val="12"/>
          <w:szCs w:val="12"/>
        </w:rPr>
        <w:t>1</w:t>
      </w:r>
      <w:r>
        <w:rPr>
          <w:rFonts w:ascii="Calibri" w:eastAsia="Times New Roman" w:hAnsi="Calibri" w:cs="Times New Roman"/>
          <w:color w:val="333333"/>
          <w:sz w:val="20"/>
          <w:szCs w:val="20"/>
        </w:rPr>
        <w:t> and </w:t>
      </w:r>
      <w:r>
        <w:rPr>
          <w:rFonts w:ascii="MathJax_Math" w:eastAsia="Times New Roman" w:hAnsi="MathJax_Math" w:cs="Times New Roman"/>
          <w:i/>
          <w:iCs/>
          <w:color w:val="333333"/>
          <w:sz w:val="15"/>
          <w:szCs w:val="15"/>
        </w:rPr>
        <w:t>σ</w:t>
      </w:r>
      <w:r>
        <w:rPr>
          <w:rFonts w:ascii="MathJax_Main" w:eastAsia="Times New Roman" w:hAnsi="MathJax_Main" w:cs="Times New Roman"/>
          <w:color w:val="333333"/>
          <w:sz w:val="12"/>
          <w:szCs w:val="12"/>
        </w:rPr>
        <w:t>2</w:t>
      </w:r>
      <w:r>
        <w:rPr>
          <w:rFonts w:ascii="Calibri" w:eastAsia="Times New Roman" w:hAnsi="Calibri" w:cs="Times New Roman"/>
          <w:color w:val="333333"/>
          <w:sz w:val="20"/>
          <w:szCs w:val="20"/>
        </w:rPr>
        <w:t> are known or can be estimated, then the minimum equal sizes of independent samples needed to obtain a confidence interval for the difference </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vertAlign w:val="subscript"/>
        </w:rPr>
        <w:t>1</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vertAlign w:val="subscript"/>
        </w:rPr>
        <w:t>2</w:t>
      </w:r>
      <w:r>
        <w:rPr>
          <w:rFonts w:ascii="Calibri" w:eastAsia="Times New Roman" w:hAnsi="Calibri" w:cs="Times New Roman"/>
          <w:color w:val="333333"/>
          <w:sz w:val="20"/>
          <w:szCs w:val="20"/>
        </w:rPr>
        <w:t> in two population means with a given maximum error of the estimate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and a given level of confidence can be estimated.</w:t>
      </w:r>
    </w:p>
    <w:p w:rsidR="00AD77BB" w:rsidRDefault="00B45BA0">
      <w:pPr>
        <w:numPr>
          <w:ilvl w:val="0"/>
          <w:numId w:val="248"/>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 the standard deviation </w:t>
      </w:r>
      <w:r>
        <w:rPr>
          <w:rFonts w:ascii="MathJax_Math" w:eastAsia="Times New Roman" w:hAnsi="MathJax_Math" w:cs="Times New Roman"/>
          <w:i/>
          <w:iCs/>
          <w:color w:val="333333"/>
          <w:sz w:val="15"/>
          <w:szCs w:val="15"/>
        </w:rPr>
        <w:t>σ</w:t>
      </w:r>
      <w:r>
        <w:rPr>
          <w:rFonts w:ascii="MathJax_Math" w:eastAsia="Times New Roman" w:hAnsi="MathJax_Math" w:cs="Times New Roman"/>
          <w:i/>
          <w:iCs/>
          <w:color w:val="333333"/>
          <w:sz w:val="12"/>
          <w:szCs w:val="12"/>
        </w:rPr>
        <w:t>d</w:t>
      </w:r>
      <w:r>
        <w:rPr>
          <w:rFonts w:ascii="Calibri" w:eastAsia="Times New Roman" w:hAnsi="Calibri" w:cs="Times New Roman"/>
          <w:color w:val="333333"/>
          <w:sz w:val="20"/>
          <w:szCs w:val="20"/>
        </w:rPr>
        <w:t> of the population of differences in pairs drawn from two populations is known or can be estimated, then the minimum number of sample pairs needed under paired difference sampling to obtain a confidence interval for the difference </w:t>
      </w:r>
      <w:r>
        <w:rPr>
          <w:rFonts w:ascii="MathJax_Math" w:eastAsia="Times New Roman" w:hAnsi="MathJax_Math" w:cs="Times New Roman"/>
          <w:i/>
          <w:iCs/>
          <w:color w:val="333333"/>
          <w:sz w:val="15"/>
          <w:szCs w:val="15"/>
        </w:rPr>
        <w:t>μ</w:t>
      </w:r>
      <w:r>
        <w:rPr>
          <w:rFonts w:ascii="MathJax_Math" w:eastAsia="Times New Roman" w:hAnsi="MathJax_Math" w:cs="Times New Roman"/>
          <w:i/>
          <w:iCs/>
          <w:color w:val="333333"/>
          <w:sz w:val="12"/>
          <w:szCs w:val="12"/>
          <w:vertAlign w:val="subscript"/>
        </w:rPr>
        <w:t>d</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vertAlign w:val="subscript"/>
        </w:rPr>
        <w:t>1</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vertAlign w:val="subscript"/>
        </w:rPr>
        <w:t>2</w:t>
      </w:r>
      <w:r>
        <w:rPr>
          <w:rFonts w:ascii="Calibri" w:eastAsia="Times New Roman" w:hAnsi="Calibri" w:cs="Times New Roman"/>
          <w:color w:val="333333"/>
          <w:sz w:val="20"/>
          <w:szCs w:val="20"/>
        </w:rPr>
        <w:t> in two population means with a given maximum error of the estimate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and a given level of confidence can be estimated.</w:t>
      </w:r>
    </w:p>
    <w:p w:rsidR="00AD77BB" w:rsidRDefault="00B45BA0">
      <w:pPr>
        <w:numPr>
          <w:ilvl w:val="0"/>
          <w:numId w:val="248"/>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minimum equal sample sizes needed to obtain a confidence interval for the difference in two population proportions with a given maximum error of the estimate and a given level of confidence can always be estimated. If there is prior knowledge of the population proportions </w:t>
      </w:r>
      <w:r>
        <w:rPr>
          <w:rFonts w:ascii="Calibri" w:eastAsia="Times New Roman" w:hAnsi="Calibri" w:cs="Times New Roman"/>
          <w:i/>
          <w:iCs/>
          <w:color w:val="333333"/>
          <w:sz w:val="20"/>
          <w:szCs w:val="20"/>
        </w:rPr>
        <w:t>p</w:t>
      </w:r>
      <w:r>
        <w:rPr>
          <w:rFonts w:ascii="Calibri" w:eastAsia="Times New Roman" w:hAnsi="Calibri" w:cs="Times New Roman"/>
          <w:color w:val="333333"/>
          <w:sz w:val="15"/>
          <w:szCs w:val="15"/>
          <w:vertAlign w:val="subscript"/>
        </w:rPr>
        <w:t>1</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p</w:t>
      </w:r>
      <w:r>
        <w:rPr>
          <w:rFonts w:ascii="Calibri" w:eastAsia="Times New Roman" w:hAnsi="Calibri" w:cs="Times New Roman"/>
          <w:color w:val="333333"/>
          <w:sz w:val="15"/>
          <w:szCs w:val="15"/>
          <w:vertAlign w:val="subscript"/>
        </w:rPr>
        <w:t>2</w:t>
      </w:r>
      <w:r>
        <w:rPr>
          <w:rFonts w:ascii="Calibri" w:eastAsia="Times New Roman" w:hAnsi="Calibri" w:cs="Times New Roman"/>
          <w:color w:val="333333"/>
          <w:sz w:val="20"/>
          <w:szCs w:val="20"/>
        </w:rPr>
        <w:t> then the estimate can be sharpened.</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EXERCISES</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BASIC</w:t>
      </w:r>
    </w:p>
    <w:p w:rsidR="00AD77BB" w:rsidRDefault="00B45BA0">
      <w:pPr>
        <w:numPr>
          <w:ilvl w:val="0"/>
          <w:numId w:val="249"/>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Estimate the common sample size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of equally sized independent samples needed to estimate </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rPr>
        <w:t>2</w:t>
      </w:r>
      <w:r>
        <w:rPr>
          <w:rFonts w:ascii="Calibri" w:eastAsia="Times New Roman" w:hAnsi="Calibri" w:cs="Times New Roman"/>
          <w:color w:val="333333"/>
          <w:sz w:val="20"/>
          <w:szCs w:val="20"/>
        </w:rPr>
        <w:t> as specified when the population standard deviations are as shown.</w:t>
      </w:r>
    </w:p>
    <w:p w:rsidR="00AD77BB" w:rsidRDefault="00B45BA0">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90% confidence, to within 3 units, </w:t>
      </w:r>
      <w:r>
        <w:rPr>
          <w:rFonts w:ascii="MathJax_Math" w:eastAsia="Times New Roman" w:hAnsi="MathJax_Math" w:cs="Times New Roman"/>
          <w:i/>
          <w:iCs/>
          <w:color w:val="333333"/>
          <w:sz w:val="15"/>
          <w:szCs w:val="15"/>
        </w:rPr>
        <w:t>σ</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=10</w:t>
      </w:r>
      <w:r>
        <w:rPr>
          <w:rFonts w:ascii="Calibri" w:eastAsia="Times New Roman" w:hAnsi="Calibri" w:cs="Times New Roman"/>
          <w:color w:val="333333"/>
          <w:sz w:val="20"/>
          <w:szCs w:val="20"/>
        </w:rPr>
        <w:t> and </w:t>
      </w:r>
      <w:r>
        <w:rPr>
          <w:rFonts w:ascii="MathJax_Math" w:eastAsia="Times New Roman" w:hAnsi="MathJax_Math" w:cs="Times New Roman"/>
          <w:i/>
          <w:iCs/>
          <w:color w:val="333333"/>
          <w:sz w:val="15"/>
          <w:szCs w:val="15"/>
        </w:rPr>
        <w:t>σ</w:t>
      </w:r>
      <w:r>
        <w:rPr>
          <w:rFonts w:ascii="MathJax_Main" w:eastAsia="Times New Roman" w:hAnsi="MathJax_Main" w:cs="Times New Roman"/>
          <w:color w:val="333333"/>
          <w:sz w:val="12"/>
          <w:szCs w:val="12"/>
        </w:rPr>
        <w:t>2</w:t>
      </w:r>
      <w:r>
        <w:rPr>
          <w:rFonts w:ascii="MathJax_Main" w:eastAsia="Times New Roman" w:hAnsi="MathJax_Main" w:cs="Times New Roman"/>
          <w:color w:val="333333"/>
          <w:sz w:val="15"/>
          <w:szCs w:val="15"/>
        </w:rPr>
        <w:t>=7</w:t>
      </w:r>
    </w:p>
    <w:p w:rsidR="00AD77BB" w:rsidRDefault="00B45BA0">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99% confidence, to within 4 units, </w:t>
      </w:r>
      <w:r>
        <w:rPr>
          <w:rFonts w:ascii="MathJax_Math" w:eastAsia="Times New Roman" w:hAnsi="MathJax_Math" w:cs="Times New Roman"/>
          <w:i/>
          <w:iCs/>
          <w:color w:val="333333"/>
          <w:sz w:val="15"/>
          <w:szCs w:val="15"/>
        </w:rPr>
        <w:t>σ</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=6.8</w:t>
      </w:r>
      <w:r>
        <w:rPr>
          <w:rFonts w:ascii="Calibri" w:eastAsia="Times New Roman" w:hAnsi="Calibri" w:cs="Times New Roman"/>
          <w:color w:val="333333"/>
          <w:sz w:val="20"/>
          <w:szCs w:val="20"/>
        </w:rPr>
        <w:t> and </w:t>
      </w:r>
      <w:r>
        <w:rPr>
          <w:rFonts w:ascii="MathJax_Math" w:eastAsia="Times New Roman" w:hAnsi="MathJax_Math" w:cs="Times New Roman"/>
          <w:i/>
          <w:iCs/>
          <w:color w:val="333333"/>
          <w:sz w:val="15"/>
          <w:szCs w:val="15"/>
        </w:rPr>
        <w:t>σ</w:t>
      </w:r>
      <w:r>
        <w:rPr>
          <w:rFonts w:ascii="MathJax_Main" w:eastAsia="Times New Roman" w:hAnsi="MathJax_Main" w:cs="Times New Roman"/>
          <w:color w:val="333333"/>
          <w:sz w:val="12"/>
          <w:szCs w:val="12"/>
        </w:rPr>
        <w:t>2</w:t>
      </w:r>
      <w:r>
        <w:rPr>
          <w:rFonts w:ascii="MathJax_Main" w:eastAsia="Times New Roman" w:hAnsi="MathJax_Main" w:cs="Times New Roman"/>
          <w:color w:val="333333"/>
          <w:sz w:val="15"/>
          <w:szCs w:val="15"/>
        </w:rPr>
        <w:t>=9.3</w:t>
      </w:r>
    </w:p>
    <w:p w:rsidR="00AD77BB" w:rsidRDefault="00B45BA0">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95% confidence, to within 5 units, </w:t>
      </w:r>
      <w:r>
        <w:rPr>
          <w:rFonts w:ascii="MathJax_Math" w:eastAsia="Times New Roman" w:hAnsi="MathJax_Math" w:cs="Times New Roman"/>
          <w:i/>
          <w:iCs/>
          <w:color w:val="333333"/>
          <w:sz w:val="15"/>
          <w:szCs w:val="15"/>
        </w:rPr>
        <w:t>σ</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=22.6</w:t>
      </w:r>
      <w:r>
        <w:rPr>
          <w:rFonts w:ascii="Calibri" w:eastAsia="Times New Roman" w:hAnsi="Calibri" w:cs="Times New Roman"/>
          <w:color w:val="333333"/>
          <w:sz w:val="20"/>
          <w:szCs w:val="20"/>
        </w:rPr>
        <w:t> and </w:t>
      </w:r>
      <w:r>
        <w:rPr>
          <w:rFonts w:ascii="MathJax_Math" w:eastAsia="Times New Roman" w:hAnsi="MathJax_Math" w:cs="Times New Roman"/>
          <w:i/>
          <w:iCs/>
          <w:color w:val="333333"/>
          <w:sz w:val="15"/>
          <w:szCs w:val="15"/>
        </w:rPr>
        <w:t>σ</w:t>
      </w:r>
      <w:r>
        <w:rPr>
          <w:rFonts w:ascii="MathJax_Main" w:eastAsia="Times New Roman" w:hAnsi="MathJax_Main" w:cs="Times New Roman"/>
          <w:color w:val="333333"/>
          <w:sz w:val="12"/>
          <w:szCs w:val="12"/>
        </w:rPr>
        <w:t>2</w:t>
      </w:r>
      <w:r>
        <w:rPr>
          <w:rFonts w:ascii="MathJax_Main" w:eastAsia="Times New Roman" w:hAnsi="MathJax_Main" w:cs="Times New Roman"/>
          <w:color w:val="333333"/>
          <w:sz w:val="15"/>
          <w:szCs w:val="15"/>
        </w:rPr>
        <w:t>=31.8</w:t>
      </w:r>
    </w:p>
    <w:p w:rsidR="00AD77BB" w:rsidRDefault="00B45BA0">
      <w:pPr>
        <w:numPr>
          <w:ilvl w:val="0"/>
          <w:numId w:val="249"/>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Estimate the common sample size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of equally sized independent samples needed to estimate </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rPr>
        <w:t>2</w:t>
      </w:r>
      <w:r>
        <w:rPr>
          <w:rFonts w:ascii="Calibri" w:eastAsia="Times New Roman" w:hAnsi="Calibri" w:cs="Times New Roman"/>
          <w:color w:val="333333"/>
          <w:sz w:val="20"/>
          <w:szCs w:val="20"/>
        </w:rPr>
        <w:t> as specified when the population standard deviations are as shown.</w:t>
      </w:r>
    </w:p>
    <w:p w:rsidR="00AD77BB" w:rsidRDefault="00B45BA0">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80% confidence, to within 2 units, </w:t>
      </w:r>
      <w:r>
        <w:rPr>
          <w:rFonts w:ascii="MathJax_Math" w:eastAsia="Times New Roman" w:hAnsi="MathJax_Math" w:cs="Times New Roman"/>
          <w:i/>
          <w:iCs/>
          <w:color w:val="333333"/>
          <w:sz w:val="15"/>
          <w:szCs w:val="15"/>
        </w:rPr>
        <w:t>σ</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=14</w:t>
      </w:r>
      <w:r>
        <w:rPr>
          <w:rFonts w:ascii="Calibri" w:eastAsia="Times New Roman" w:hAnsi="Calibri" w:cs="Times New Roman"/>
          <w:color w:val="333333"/>
          <w:sz w:val="20"/>
          <w:szCs w:val="20"/>
        </w:rPr>
        <w:t> and </w:t>
      </w:r>
      <w:r>
        <w:rPr>
          <w:rFonts w:ascii="MathJax_Math" w:eastAsia="Times New Roman" w:hAnsi="MathJax_Math" w:cs="Times New Roman"/>
          <w:i/>
          <w:iCs/>
          <w:color w:val="333333"/>
          <w:sz w:val="15"/>
          <w:szCs w:val="15"/>
        </w:rPr>
        <w:t>σ</w:t>
      </w:r>
      <w:r>
        <w:rPr>
          <w:rFonts w:ascii="MathJax_Main" w:eastAsia="Times New Roman" w:hAnsi="MathJax_Main" w:cs="Times New Roman"/>
          <w:color w:val="333333"/>
          <w:sz w:val="12"/>
          <w:szCs w:val="12"/>
        </w:rPr>
        <w:t>2</w:t>
      </w:r>
      <w:r>
        <w:rPr>
          <w:rFonts w:ascii="MathJax_Main" w:eastAsia="Times New Roman" w:hAnsi="MathJax_Main" w:cs="Times New Roman"/>
          <w:color w:val="333333"/>
          <w:sz w:val="15"/>
          <w:szCs w:val="15"/>
        </w:rPr>
        <w:t>=23</w:t>
      </w:r>
    </w:p>
    <w:p w:rsidR="00AD77BB" w:rsidRDefault="00B45BA0">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90% confidence, to within 0.3 units, </w:t>
      </w:r>
      <w:r>
        <w:rPr>
          <w:rFonts w:ascii="MathJax_Math" w:eastAsia="Times New Roman" w:hAnsi="MathJax_Math" w:cs="Times New Roman"/>
          <w:i/>
          <w:iCs/>
          <w:color w:val="333333"/>
          <w:sz w:val="15"/>
          <w:szCs w:val="15"/>
        </w:rPr>
        <w:t>σ</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=1.3</w:t>
      </w:r>
      <w:r>
        <w:rPr>
          <w:rFonts w:ascii="Calibri" w:eastAsia="Times New Roman" w:hAnsi="Calibri" w:cs="Times New Roman"/>
          <w:color w:val="333333"/>
          <w:sz w:val="20"/>
          <w:szCs w:val="20"/>
        </w:rPr>
        <w:t> and </w:t>
      </w:r>
      <w:r>
        <w:rPr>
          <w:rFonts w:ascii="MathJax_Math" w:eastAsia="Times New Roman" w:hAnsi="MathJax_Math" w:cs="Times New Roman"/>
          <w:i/>
          <w:iCs/>
          <w:color w:val="333333"/>
          <w:sz w:val="15"/>
          <w:szCs w:val="15"/>
        </w:rPr>
        <w:t>σ</w:t>
      </w:r>
      <w:r>
        <w:rPr>
          <w:rFonts w:ascii="MathJax_Main" w:eastAsia="Times New Roman" w:hAnsi="MathJax_Main" w:cs="Times New Roman"/>
          <w:color w:val="333333"/>
          <w:sz w:val="12"/>
          <w:szCs w:val="12"/>
        </w:rPr>
        <w:t>2</w:t>
      </w:r>
      <w:r>
        <w:rPr>
          <w:rFonts w:ascii="MathJax_Main" w:eastAsia="Times New Roman" w:hAnsi="MathJax_Main" w:cs="Times New Roman"/>
          <w:color w:val="333333"/>
          <w:sz w:val="15"/>
          <w:szCs w:val="15"/>
        </w:rPr>
        <w:t>=0.8</w:t>
      </w:r>
    </w:p>
    <w:p w:rsidR="00AD77BB" w:rsidRDefault="00B45BA0">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99% confidence, to within 11 units, </w:t>
      </w:r>
      <w:r>
        <w:rPr>
          <w:rFonts w:ascii="MathJax_Math" w:eastAsia="Times New Roman" w:hAnsi="MathJax_Math" w:cs="Times New Roman"/>
          <w:i/>
          <w:iCs/>
          <w:color w:val="333333"/>
          <w:sz w:val="15"/>
          <w:szCs w:val="15"/>
        </w:rPr>
        <w:t>σ</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=42</w:t>
      </w:r>
      <w:r>
        <w:rPr>
          <w:rFonts w:ascii="Calibri" w:eastAsia="Times New Roman" w:hAnsi="Calibri" w:cs="Times New Roman"/>
          <w:color w:val="333333"/>
          <w:sz w:val="20"/>
          <w:szCs w:val="20"/>
        </w:rPr>
        <w:t> and </w:t>
      </w:r>
      <w:r>
        <w:rPr>
          <w:rFonts w:ascii="MathJax_Math" w:eastAsia="Times New Roman" w:hAnsi="MathJax_Math" w:cs="Times New Roman"/>
          <w:i/>
          <w:iCs/>
          <w:color w:val="333333"/>
          <w:sz w:val="15"/>
          <w:szCs w:val="15"/>
        </w:rPr>
        <w:t>σ</w:t>
      </w:r>
      <w:r>
        <w:rPr>
          <w:rFonts w:ascii="MathJax_Main" w:eastAsia="Times New Roman" w:hAnsi="MathJax_Main" w:cs="Times New Roman"/>
          <w:color w:val="333333"/>
          <w:sz w:val="12"/>
          <w:szCs w:val="12"/>
        </w:rPr>
        <w:t>2</w:t>
      </w:r>
      <w:r>
        <w:rPr>
          <w:rFonts w:ascii="MathJax_Main" w:eastAsia="Times New Roman" w:hAnsi="MathJax_Main" w:cs="Times New Roman"/>
          <w:color w:val="333333"/>
          <w:sz w:val="15"/>
          <w:szCs w:val="15"/>
        </w:rPr>
        <w:t>=37</w:t>
      </w:r>
    </w:p>
    <w:p w:rsidR="00AD77BB" w:rsidRDefault="00B45BA0">
      <w:pPr>
        <w:numPr>
          <w:ilvl w:val="0"/>
          <w:numId w:val="249"/>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Estimate the number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of pairs that must be sampled in order to estimate </w:t>
      </w:r>
      <w:r>
        <w:rPr>
          <w:rFonts w:ascii="MathJax_Math" w:eastAsia="Times New Roman" w:hAnsi="MathJax_Math" w:cs="Times New Roman"/>
          <w:i/>
          <w:iCs/>
          <w:color w:val="333333"/>
          <w:sz w:val="15"/>
          <w:szCs w:val="15"/>
        </w:rPr>
        <w:t>μ</w:t>
      </w:r>
      <w:r>
        <w:rPr>
          <w:rFonts w:ascii="MathJax_Math" w:eastAsia="Times New Roman" w:hAnsi="MathJax_Math" w:cs="Times New Roman"/>
          <w:i/>
          <w:iCs/>
          <w:color w:val="333333"/>
          <w:sz w:val="12"/>
          <w:szCs w:val="12"/>
        </w:rPr>
        <w:t>d</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rPr>
        <w:t>2</w:t>
      </w:r>
      <w:r>
        <w:rPr>
          <w:rFonts w:ascii="Calibri" w:eastAsia="Times New Roman" w:hAnsi="Calibri" w:cs="Times New Roman"/>
          <w:color w:val="333333"/>
          <w:sz w:val="20"/>
          <w:szCs w:val="20"/>
        </w:rPr>
        <w:t>as specified when the standard deviation </w:t>
      </w:r>
      <w:r>
        <w:rPr>
          <w:rFonts w:ascii="Calibri" w:eastAsia="Times New Roman" w:hAnsi="Calibri" w:cs="Times New Roman"/>
          <w:i/>
          <w:iCs/>
          <w:color w:val="333333"/>
          <w:sz w:val="20"/>
          <w:szCs w:val="20"/>
        </w:rPr>
        <w:t>s</w:t>
      </w:r>
      <w:r>
        <w:rPr>
          <w:rFonts w:ascii="Calibri" w:eastAsia="Times New Roman" w:hAnsi="Calibri" w:cs="Times New Roman"/>
          <w:i/>
          <w:iCs/>
          <w:color w:val="333333"/>
          <w:sz w:val="20"/>
          <w:szCs w:val="20"/>
          <w:vertAlign w:val="subscript"/>
        </w:rPr>
        <w:t>d</w:t>
      </w:r>
      <w:r>
        <w:rPr>
          <w:rFonts w:ascii="Calibri" w:eastAsia="Times New Roman" w:hAnsi="Calibri" w:cs="Times New Roman"/>
          <w:color w:val="333333"/>
          <w:sz w:val="20"/>
          <w:szCs w:val="20"/>
        </w:rPr>
        <w:t> of the population of differences is as shown.</w:t>
      </w:r>
    </w:p>
    <w:p w:rsidR="00AD77BB" w:rsidRDefault="00B45BA0">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80% confidence, to within 6 units, </w:t>
      </w:r>
      <w:r>
        <w:rPr>
          <w:rFonts w:ascii="MathJax_Math" w:eastAsia="Times New Roman" w:hAnsi="MathJax_Math" w:cs="Times New Roman"/>
          <w:i/>
          <w:iCs/>
          <w:color w:val="333333"/>
          <w:sz w:val="15"/>
          <w:szCs w:val="15"/>
        </w:rPr>
        <w:t>σ</w:t>
      </w:r>
      <w:r>
        <w:rPr>
          <w:rFonts w:ascii="MathJax_Math" w:eastAsia="Times New Roman" w:hAnsi="MathJax_Math" w:cs="Times New Roman"/>
          <w:i/>
          <w:iCs/>
          <w:color w:val="333333"/>
          <w:sz w:val="12"/>
          <w:szCs w:val="12"/>
        </w:rPr>
        <w:t>d</w:t>
      </w:r>
      <w:r>
        <w:rPr>
          <w:rFonts w:ascii="MathJax_Main" w:eastAsia="Times New Roman" w:hAnsi="MathJax_Main" w:cs="Times New Roman"/>
          <w:color w:val="333333"/>
          <w:sz w:val="15"/>
          <w:szCs w:val="15"/>
        </w:rPr>
        <w:t>=26.5</w:t>
      </w:r>
    </w:p>
    <w:p w:rsidR="00AD77BB" w:rsidRDefault="00B45BA0">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95% confidence, to within 4 units, </w:t>
      </w:r>
      <w:r>
        <w:rPr>
          <w:rFonts w:ascii="MathJax_Math" w:eastAsia="Times New Roman" w:hAnsi="MathJax_Math" w:cs="Times New Roman"/>
          <w:i/>
          <w:iCs/>
          <w:color w:val="333333"/>
          <w:sz w:val="15"/>
          <w:szCs w:val="15"/>
        </w:rPr>
        <w:t>σ</w:t>
      </w:r>
      <w:r>
        <w:rPr>
          <w:rFonts w:ascii="MathJax_Math" w:eastAsia="Times New Roman" w:hAnsi="MathJax_Math" w:cs="Times New Roman"/>
          <w:i/>
          <w:iCs/>
          <w:color w:val="333333"/>
          <w:sz w:val="12"/>
          <w:szCs w:val="12"/>
        </w:rPr>
        <w:t>d</w:t>
      </w:r>
      <w:r>
        <w:rPr>
          <w:rFonts w:ascii="MathJax_Main" w:eastAsia="Times New Roman" w:hAnsi="MathJax_Main" w:cs="Times New Roman"/>
          <w:color w:val="333333"/>
          <w:sz w:val="15"/>
          <w:szCs w:val="15"/>
        </w:rPr>
        <w:t>=12</w:t>
      </w:r>
    </w:p>
    <w:p w:rsidR="00AD77BB" w:rsidRDefault="00B45BA0">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90% confidence, to within 5.2 units, </w:t>
      </w:r>
      <w:r>
        <w:rPr>
          <w:rFonts w:ascii="MathJax_Math" w:eastAsia="Times New Roman" w:hAnsi="MathJax_Math" w:cs="Times New Roman"/>
          <w:i/>
          <w:iCs/>
          <w:color w:val="333333"/>
          <w:sz w:val="15"/>
          <w:szCs w:val="15"/>
        </w:rPr>
        <w:t>σ</w:t>
      </w:r>
      <w:r>
        <w:rPr>
          <w:rFonts w:ascii="MathJax_Math" w:eastAsia="Times New Roman" w:hAnsi="MathJax_Math" w:cs="Times New Roman"/>
          <w:i/>
          <w:iCs/>
          <w:color w:val="333333"/>
          <w:sz w:val="12"/>
          <w:szCs w:val="12"/>
        </w:rPr>
        <w:t>d</w:t>
      </w:r>
      <w:r>
        <w:rPr>
          <w:rFonts w:ascii="MathJax_Main" w:eastAsia="Times New Roman" w:hAnsi="MathJax_Main" w:cs="Times New Roman"/>
          <w:color w:val="333333"/>
          <w:sz w:val="15"/>
          <w:szCs w:val="15"/>
        </w:rPr>
        <w:t>=11.3</w:t>
      </w:r>
    </w:p>
    <w:p w:rsidR="00AD77BB" w:rsidRDefault="00B45BA0">
      <w:pPr>
        <w:numPr>
          <w:ilvl w:val="0"/>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Estimate the number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of pairs that must be sampled in order to estimate </w:t>
      </w:r>
      <w:r>
        <w:rPr>
          <w:rFonts w:ascii="MathJax_Math" w:eastAsia="Times New Roman" w:hAnsi="MathJax_Math" w:cs="Times New Roman"/>
          <w:i/>
          <w:iCs/>
          <w:color w:val="333333"/>
          <w:sz w:val="15"/>
          <w:szCs w:val="15"/>
        </w:rPr>
        <w:t>μ</w:t>
      </w:r>
      <w:r>
        <w:rPr>
          <w:rFonts w:ascii="MathJax_Math" w:eastAsia="Times New Roman" w:hAnsi="MathJax_Math" w:cs="Times New Roman"/>
          <w:i/>
          <w:iCs/>
          <w:color w:val="333333"/>
          <w:sz w:val="12"/>
          <w:szCs w:val="12"/>
        </w:rPr>
        <w:t>d</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rPr>
        <w:t>2</w:t>
      </w:r>
      <w:r>
        <w:rPr>
          <w:rFonts w:ascii="Calibri" w:eastAsia="Times New Roman" w:hAnsi="Calibri" w:cs="Times New Roman"/>
          <w:color w:val="333333"/>
          <w:sz w:val="20"/>
          <w:szCs w:val="20"/>
        </w:rPr>
        <w:t>as specified when the standard deviation </w:t>
      </w:r>
      <w:r>
        <w:rPr>
          <w:rFonts w:ascii="Calibri" w:eastAsia="Times New Roman" w:hAnsi="Calibri" w:cs="Times New Roman"/>
          <w:i/>
          <w:iCs/>
          <w:color w:val="333333"/>
          <w:sz w:val="20"/>
          <w:szCs w:val="20"/>
        </w:rPr>
        <w:t>s</w:t>
      </w:r>
      <w:r>
        <w:rPr>
          <w:rFonts w:ascii="Calibri" w:eastAsia="Times New Roman" w:hAnsi="Calibri" w:cs="Times New Roman"/>
          <w:i/>
          <w:iCs/>
          <w:color w:val="333333"/>
          <w:sz w:val="20"/>
          <w:szCs w:val="20"/>
          <w:vertAlign w:val="subscript"/>
        </w:rPr>
        <w:t>d</w:t>
      </w:r>
      <w:r>
        <w:rPr>
          <w:rFonts w:ascii="Calibri" w:eastAsia="Times New Roman" w:hAnsi="Calibri" w:cs="Times New Roman"/>
          <w:color w:val="333333"/>
          <w:sz w:val="20"/>
          <w:szCs w:val="20"/>
        </w:rPr>
        <w:t> of the population of differences is as shown.</w:t>
      </w:r>
    </w:p>
    <w:p w:rsidR="00AD77BB" w:rsidRDefault="00B45BA0">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90% confidence, to within 20 units, </w:t>
      </w:r>
      <w:r>
        <w:rPr>
          <w:rFonts w:ascii="MathJax_Math" w:eastAsia="Times New Roman" w:hAnsi="MathJax_Math" w:cs="Times New Roman"/>
          <w:i/>
          <w:iCs/>
          <w:color w:val="333333"/>
          <w:sz w:val="15"/>
          <w:szCs w:val="15"/>
        </w:rPr>
        <w:t>σ</w:t>
      </w:r>
      <w:r>
        <w:rPr>
          <w:rFonts w:ascii="MathJax_Math" w:eastAsia="Times New Roman" w:hAnsi="MathJax_Math" w:cs="Times New Roman"/>
          <w:i/>
          <w:iCs/>
          <w:color w:val="333333"/>
          <w:sz w:val="12"/>
          <w:szCs w:val="12"/>
        </w:rPr>
        <w:t>d</w:t>
      </w:r>
      <w:r>
        <w:rPr>
          <w:rFonts w:ascii="MathJax_Main" w:eastAsia="Times New Roman" w:hAnsi="MathJax_Main" w:cs="Times New Roman"/>
          <w:color w:val="333333"/>
          <w:sz w:val="15"/>
          <w:szCs w:val="15"/>
        </w:rPr>
        <w:t>=75.5</w:t>
      </w:r>
    </w:p>
    <w:p w:rsidR="00AD77BB" w:rsidRDefault="00B45BA0">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95% confidence, to within 11 units, </w:t>
      </w:r>
      <w:r>
        <w:rPr>
          <w:rFonts w:ascii="MathJax_Math" w:eastAsia="Times New Roman" w:hAnsi="MathJax_Math" w:cs="Times New Roman"/>
          <w:i/>
          <w:iCs/>
          <w:color w:val="333333"/>
          <w:sz w:val="15"/>
          <w:szCs w:val="15"/>
        </w:rPr>
        <w:t>σ</w:t>
      </w:r>
      <w:r>
        <w:rPr>
          <w:rFonts w:ascii="MathJax_Math" w:eastAsia="Times New Roman" w:hAnsi="MathJax_Math" w:cs="Times New Roman"/>
          <w:i/>
          <w:iCs/>
          <w:color w:val="333333"/>
          <w:sz w:val="12"/>
          <w:szCs w:val="12"/>
        </w:rPr>
        <w:t>d</w:t>
      </w:r>
      <w:r>
        <w:rPr>
          <w:rFonts w:ascii="MathJax_Main" w:eastAsia="Times New Roman" w:hAnsi="MathJax_Main" w:cs="Times New Roman"/>
          <w:color w:val="333333"/>
          <w:sz w:val="15"/>
          <w:szCs w:val="15"/>
        </w:rPr>
        <w:t>=31.4</w:t>
      </w:r>
    </w:p>
    <w:p w:rsidR="00AD77BB" w:rsidRDefault="00B45BA0">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99% confidence, to within 1.8 units, </w:t>
      </w:r>
      <w:r>
        <w:rPr>
          <w:rFonts w:ascii="MathJax_Math" w:eastAsia="Times New Roman" w:hAnsi="MathJax_Math" w:cs="Times New Roman"/>
          <w:i/>
          <w:iCs/>
          <w:color w:val="333333"/>
          <w:sz w:val="15"/>
          <w:szCs w:val="15"/>
        </w:rPr>
        <w:t>σ</w:t>
      </w:r>
      <w:r>
        <w:rPr>
          <w:rFonts w:ascii="MathJax_Math" w:eastAsia="Times New Roman" w:hAnsi="MathJax_Math" w:cs="Times New Roman"/>
          <w:i/>
          <w:iCs/>
          <w:color w:val="333333"/>
          <w:sz w:val="12"/>
          <w:szCs w:val="12"/>
        </w:rPr>
        <w:t>d</w:t>
      </w:r>
      <w:r>
        <w:rPr>
          <w:rFonts w:ascii="MathJax_Main" w:eastAsia="Times New Roman" w:hAnsi="MathJax_Main" w:cs="Times New Roman"/>
          <w:color w:val="333333"/>
          <w:sz w:val="15"/>
          <w:szCs w:val="15"/>
        </w:rPr>
        <w:t>=4</w:t>
      </w:r>
    </w:p>
    <w:p w:rsidR="00AD77BB" w:rsidRDefault="00B45BA0">
      <w:pPr>
        <w:numPr>
          <w:ilvl w:val="0"/>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Estimate the minimum equal sample sizes </w:t>
      </w:r>
      <w:r>
        <w:rPr>
          <w:rFonts w:ascii="MathJax_Math" w:eastAsia="Times New Roman" w:hAnsi="MathJax_Math" w:cs="Times New Roman"/>
          <w:i/>
          <w:iCs/>
          <w:color w:val="333333"/>
          <w:sz w:val="15"/>
          <w:szCs w:val="15"/>
        </w:rPr>
        <w:t>n</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n</w:t>
      </w:r>
      <w:r>
        <w:rPr>
          <w:rFonts w:ascii="MathJax_Main" w:eastAsia="Times New Roman" w:hAnsi="MathJax_Main" w:cs="Times New Roman"/>
          <w:color w:val="333333"/>
          <w:sz w:val="12"/>
          <w:szCs w:val="12"/>
        </w:rPr>
        <w:t>2</w:t>
      </w:r>
      <w:r>
        <w:rPr>
          <w:rFonts w:ascii="Calibri" w:eastAsia="Times New Roman" w:hAnsi="Calibri" w:cs="Times New Roman"/>
          <w:color w:val="333333"/>
          <w:sz w:val="20"/>
          <w:szCs w:val="20"/>
        </w:rPr>
        <w:t> necessary in order to estimate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2"/>
          <w:szCs w:val="12"/>
        </w:rPr>
        <w:t>2</w:t>
      </w:r>
      <w:r>
        <w:rPr>
          <w:rFonts w:ascii="Calibri" w:eastAsia="Times New Roman" w:hAnsi="Calibri" w:cs="Times New Roman"/>
          <w:color w:val="333333"/>
          <w:sz w:val="20"/>
          <w:szCs w:val="20"/>
        </w:rPr>
        <w:t> as specified.</w:t>
      </w:r>
    </w:p>
    <w:p w:rsidR="00AD77BB" w:rsidRDefault="00B45BA0">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80% confidence, to within 0.05 (five percentage points)</w:t>
      </w:r>
    </w:p>
    <w:p w:rsidR="00AD77BB" w:rsidRDefault="00B45BA0">
      <w:pPr>
        <w:numPr>
          <w:ilvl w:val="2"/>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no prior knowledge of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vertAlign w:val="subscript"/>
        </w:rPr>
        <w:t>1</w:t>
      </w:r>
      <w:r>
        <w:rPr>
          <w:rFonts w:ascii="Calibri" w:eastAsia="Times New Roman" w:hAnsi="Calibri" w:cs="Times New Roman"/>
          <w:color w:val="333333"/>
          <w:sz w:val="20"/>
          <w:szCs w:val="20"/>
        </w:rPr>
        <w:t> or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vertAlign w:val="subscript"/>
        </w:rPr>
        <w:t>2</w:t>
      </w:r>
      <w:r>
        <w:rPr>
          <w:rFonts w:ascii="Calibri" w:eastAsia="Times New Roman" w:hAnsi="Calibri" w:cs="Times New Roman"/>
          <w:color w:val="333333"/>
          <w:sz w:val="20"/>
          <w:szCs w:val="20"/>
        </w:rPr>
        <w:t> is available</w:t>
      </w:r>
    </w:p>
    <w:p w:rsidR="00AD77BB" w:rsidRDefault="00B45BA0">
      <w:pPr>
        <w:numPr>
          <w:ilvl w:val="2"/>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prior studies indicate that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≈0.20</w:t>
      </w:r>
      <w:r>
        <w:rPr>
          <w:rFonts w:ascii="Calibri" w:eastAsia="Times New Roman" w:hAnsi="Calibri" w:cs="Times New Roman"/>
          <w:color w:val="333333"/>
          <w:sz w:val="20"/>
          <w:szCs w:val="20"/>
        </w:rPr>
        <w:t> and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2"/>
          <w:szCs w:val="12"/>
        </w:rPr>
        <w:t>2</w:t>
      </w:r>
      <w:r>
        <w:rPr>
          <w:rFonts w:ascii="MathJax_Main" w:eastAsia="Times New Roman" w:hAnsi="MathJax_Main" w:cs="Times New Roman"/>
          <w:color w:val="333333"/>
          <w:sz w:val="15"/>
          <w:szCs w:val="15"/>
        </w:rPr>
        <w:t>≈0.65</w:t>
      </w:r>
    </w:p>
    <w:p w:rsidR="00AD77BB" w:rsidRDefault="00B45BA0">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90% confidence, to within 0.02 (two percentage points)</w:t>
      </w:r>
    </w:p>
    <w:p w:rsidR="00AD77BB" w:rsidRDefault="00B45BA0">
      <w:pPr>
        <w:numPr>
          <w:ilvl w:val="2"/>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no prior knowledge of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vertAlign w:val="subscript"/>
        </w:rPr>
        <w:t>1</w:t>
      </w:r>
      <w:r>
        <w:rPr>
          <w:rFonts w:ascii="Calibri" w:eastAsia="Times New Roman" w:hAnsi="Calibri" w:cs="Times New Roman"/>
          <w:color w:val="333333"/>
          <w:sz w:val="20"/>
          <w:szCs w:val="20"/>
        </w:rPr>
        <w:t> or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vertAlign w:val="subscript"/>
        </w:rPr>
        <w:t>2</w:t>
      </w:r>
      <w:r>
        <w:rPr>
          <w:rFonts w:ascii="Calibri" w:eastAsia="Times New Roman" w:hAnsi="Calibri" w:cs="Times New Roman"/>
          <w:color w:val="333333"/>
          <w:sz w:val="20"/>
          <w:szCs w:val="20"/>
        </w:rPr>
        <w:t> is available</w:t>
      </w:r>
    </w:p>
    <w:p w:rsidR="00AD77BB" w:rsidRDefault="00B45BA0">
      <w:pPr>
        <w:numPr>
          <w:ilvl w:val="2"/>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prior studies indicate that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≈0.75</w:t>
      </w:r>
      <w:r>
        <w:rPr>
          <w:rFonts w:ascii="Calibri" w:eastAsia="Times New Roman" w:hAnsi="Calibri" w:cs="Times New Roman"/>
          <w:color w:val="333333"/>
          <w:sz w:val="20"/>
          <w:szCs w:val="20"/>
        </w:rPr>
        <w:t> and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2"/>
          <w:szCs w:val="12"/>
        </w:rPr>
        <w:t>2</w:t>
      </w:r>
      <w:r>
        <w:rPr>
          <w:rFonts w:ascii="MathJax_Main" w:eastAsia="Times New Roman" w:hAnsi="MathJax_Main" w:cs="Times New Roman"/>
          <w:color w:val="333333"/>
          <w:sz w:val="15"/>
          <w:szCs w:val="15"/>
        </w:rPr>
        <w:t>≈0.63</w:t>
      </w:r>
    </w:p>
    <w:p w:rsidR="00AD77BB" w:rsidRDefault="00B45BA0">
      <w:pPr>
        <w:numPr>
          <w:ilvl w:val="1"/>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95% confidence, to within 0.10 (ten percentage points)</w:t>
      </w:r>
    </w:p>
    <w:p w:rsidR="00AD77BB" w:rsidRDefault="00B45BA0">
      <w:pPr>
        <w:numPr>
          <w:ilvl w:val="2"/>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no prior knowledge of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vertAlign w:val="subscript"/>
        </w:rPr>
        <w:t>1</w:t>
      </w:r>
      <w:r>
        <w:rPr>
          <w:rFonts w:ascii="Calibri" w:eastAsia="Times New Roman" w:hAnsi="Calibri" w:cs="Times New Roman"/>
          <w:color w:val="333333"/>
          <w:sz w:val="20"/>
          <w:szCs w:val="20"/>
        </w:rPr>
        <w:t> or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vertAlign w:val="subscript"/>
        </w:rPr>
        <w:t>2</w:t>
      </w:r>
      <w:r>
        <w:rPr>
          <w:rFonts w:ascii="Calibri" w:eastAsia="Times New Roman" w:hAnsi="Calibri" w:cs="Times New Roman"/>
          <w:color w:val="333333"/>
          <w:sz w:val="20"/>
          <w:szCs w:val="20"/>
        </w:rPr>
        <w:t> is available</w:t>
      </w:r>
    </w:p>
    <w:p w:rsidR="00AD77BB" w:rsidRDefault="00B45BA0">
      <w:pPr>
        <w:numPr>
          <w:ilvl w:val="2"/>
          <w:numId w:val="249"/>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prior studies indicate that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≈0.11</w:t>
      </w:r>
      <w:r>
        <w:rPr>
          <w:rFonts w:ascii="Calibri" w:eastAsia="Times New Roman" w:hAnsi="Calibri" w:cs="Times New Roman"/>
          <w:color w:val="333333"/>
          <w:sz w:val="20"/>
          <w:szCs w:val="20"/>
        </w:rPr>
        <w:t> and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2"/>
          <w:szCs w:val="12"/>
        </w:rPr>
        <w:t>2</w:t>
      </w:r>
      <w:r>
        <w:rPr>
          <w:rFonts w:ascii="MathJax_Main" w:eastAsia="Times New Roman" w:hAnsi="MathJax_Main" w:cs="Times New Roman"/>
          <w:color w:val="333333"/>
          <w:sz w:val="15"/>
          <w:szCs w:val="15"/>
        </w:rPr>
        <w:t>≈0.37</w:t>
      </w:r>
    </w:p>
    <w:p w:rsidR="00AD77BB" w:rsidRDefault="00B45BA0">
      <w:pPr>
        <w:pStyle w:val="ListParagraph"/>
        <w:numPr>
          <w:ilvl w:val="0"/>
          <w:numId w:val="249"/>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Estimate the minimum equal sample sizes </w:t>
      </w:r>
      <w:r>
        <w:rPr>
          <w:rFonts w:ascii="MathJax_Math" w:eastAsia="Times New Roman" w:hAnsi="MathJax_Math" w:cs="Times New Roman"/>
          <w:i/>
          <w:iCs/>
          <w:color w:val="333333"/>
          <w:sz w:val="15"/>
          <w:szCs w:val="15"/>
        </w:rPr>
        <w:t>n</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n</w:t>
      </w:r>
      <w:r>
        <w:rPr>
          <w:rFonts w:ascii="MathJax_Main" w:eastAsia="Times New Roman" w:hAnsi="MathJax_Main" w:cs="Times New Roman"/>
          <w:color w:val="333333"/>
          <w:sz w:val="12"/>
          <w:szCs w:val="12"/>
        </w:rPr>
        <w:t>2</w:t>
      </w:r>
      <w:r>
        <w:rPr>
          <w:rFonts w:ascii="Calibri" w:eastAsia="Times New Roman" w:hAnsi="Calibri" w:cs="Times New Roman"/>
          <w:color w:val="333333"/>
          <w:sz w:val="20"/>
          <w:szCs w:val="20"/>
        </w:rPr>
        <w:t> necessary in order to estimate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2"/>
          <w:szCs w:val="12"/>
        </w:rPr>
        <w:t>2</w:t>
      </w:r>
      <w:r>
        <w:rPr>
          <w:rFonts w:ascii="Calibri" w:eastAsia="Times New Roman" w:hAnsi="Calibri" w:cs="Times New Roman"/>
          <w:color w:val="333333"/>
          <w:sz w:val="20"/>
          <w:szCs w:val="20"/>
        </w:rPr>
        <w:t> as specified.</w:t>
      </w:r>
    </w:p>
    <w:p w:rsidR="00AD77BB" w:rsidRDefault="00B45BA0">
      <w:pPr>
        <w:pStyle w:val="ListParagraph"/>
        <w:numPr>
          <w:ilvl w:val="0"/>
          <w:numId w:val="250"/>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80% confidence, to within 0.02 (two percentage points)</w:t>
      </w:r>
    </w:p>
    <w:p w:rsidR="00AD77BB" w:rsidRDefault="00B45BA0">
      <w:pPr>
        <w:numPr>
          <w:ilvl w:val="2"/>
          <w:numId w:val="250"/>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no prior knowledge of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vertAlign w:val="subscript"/>
        </w:rPr>
        <w:t>1</w:t>
      </w:r>
      <w:r>
        <w:rPr>
          <w:rFonts w:ascii="Calibri" w:eastAsia="Times New Roman" w:hAnsi="Calibri" w:cs="Times New Roman"/>
          <w:color w:val="333333"/>
          <w:sz w:val="20"/>
          <w:szCs w:val="20"/>
        </w:rPr>
        <w:t> or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vertAlign w:val="subscript"/>
        </w:rPr>
        <w:t>2</w:t>
      </w:r>
      <w:r>
        <w:rPr>
          <w:rFonts w:ascii="Calibri" w:eastAsia="Times New Roman" w:hAnsi="Calibri" w:cs="Times New Roman"/>
          <w:color w:val="333333"/>
          <w:sz w:val="20"/>
          <w:szCs w:val="20"/>
        </w:rPr>
        <w:t> is available</w:t>
      </w:r>
    </w:p>
    <w:p w:rsidR="00AD77BB" w:rsidRDefault="00B45BA0">
      <w:pPr>
        <w:numPr>
          <w:ilvl w:val="2"/>
          <w:numId w:val="250"/>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prior studies indicate that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≈0.78</w:t>
      </w:r>
      <w:r>
        <w:rPr>
          <w:rFonts w:ascii="Calibri" w:eastAsia="Times New Roman" w:hAnsi="Calibri" w:cs="Times New Roman"/>
          <w:color w:val="333333"/>
          <w:sz w:val="20"/>
          <w:szCs w:val="20"/>
        </w:rPr>
        <w:t> and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2"/>
          <w:szCs w:val="12"/>
        </w:rPr>
        <w:t>2</w:t>
      </w:r>
      <w:r>
        <w:rPr>
          <w:rFonts w:ascii="MathJax_Main" w:eastAsia="Times New Roman" w:hAnsi="MathJax_Main" w:cs="Times New Roman"/>
          <w:color w:val="333333"/>
          <w:sz w:val="15"/>
          <w:szCs w:val="15"/>
        </w:rPr>
        <w:t>≈0.65</w:t>
      </w:r>
    </w:p>
    <w:p w:rsidR="00AD77BB" w:rsidRDefault="00B45BA0">
      <w:pPr>
        <w:pStyle w:val="ListParagraph"/>
        <w:numPr>
          <w:ilvl w:val="0"/>
          <w:numId w:val="251"/>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90% confidence, to within 0.05 (two percentage points)</w:t>
      </w:r>
    </w:p>
    <w:p w:rsidR="00AD77BB" w:rsidRDefault="00B45BA0">
      <w:pPr>
        <w:numPr>
          <w:ilvl w:val="2"/>
          <w:numId w:val="251"/>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no prior knowledge of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vertAlign w:val="subscript"/>
        </w:rPr>
        <w:t>1</w:t>
      </w:r>
      <w:r>
        <w:rPr>
          <w:rFonts w:ascii="Calibri" w:eastAsia="Times New Roman" w:hAnsi="Calibri" w:cs="Times New Roman"/>
          <w:color w:val="333333"/>
          <w:sz w:val="20"/>
          <w:szCs w:val="20"/>
        </w:rPr>
        <w:t> or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vertAlign w:val="subscript"/>
        </w:rPr>
        <w:t>2</w:t>
      </w:r>
      <w:r>
        <w:rPr>
          <w:rFonts w:ascii="Calibri" w:eastAsia="Times New Roman" w:hAnsi="Calibri" w:cs="Times New Roman"/>
          <w:color w:val="333333"/>
          <w:sz w:val="20"/>
          <w:szCs w:val="20"/>
        </w:rPr>
        <w:t> is available</w:t>
      </w:r>
    </w:p>
    <w:p w:rsidR="00AD77BB" w:rsidRDefault="00B45BA0">
      <w:pPr>
        <w:numPr>
          <w:ilvl w:val="2"/>
          <w:numId w:val="251"/>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prior studies indicate that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≈0.12</w:t>
      </w:r>
      <w:r>
        <w:rPr>
          <w:rFonts w:ascii="Calibri" w:eastAsia="Times New Roman" w:hAnsi="Calibri" w:cs="Times New Roman"/>
          <w:color w:val="333333"/>
          <w:sz w:val="20"/>
          <w:szCs w:val="20"/>
        </w:rPr>
        <w:t> and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2"/>
          <w:szCs w:val="12"/>
        </w:rPr>
        <w:t>2</w:t>
      </w:r>
      <w:r>
        <w:rPr>
          <w:rFonts w:ascii="MathJax_Main" w:eastAsia="Times New Roman" w:hAnsi="MathJax_Main" w:cs="Times New Roman"/>
          <w:color w:val="333333"/>
          <w:sz w:val="15"/>
          <w:szCs w:val="15"/>
        </w:rPr>
        <w:t>≈0.24</w:t>
      </w:r>
    </w:p>
    <w:p w:rsidR="00AD77BB" w:rsidRDefault="00B45BA0">
      <w:pPr>
        <w:pStyle w:val="ListParagraph"/>
        <w:numPr>
          <w:ilvl w:val="0"/>
          <w:numId w:val="251"/>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95% confidence, to within 0.10 (ten percentage points)</w:t>
      </w:r>
    </w:p>
    <w:p w:rsidR="00AD77BB" w:rsidRDefault="00B45BA0">
      <w:pPr>
        <w:pStyle w:val="ListParagraph"/>
        <w:numPr>
          <w:ilvl w:val="1"/>
          <w:numId w:val="251"/>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no prior knowledge of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vertAlign w:val="subscript"/>
        </w:rPr>
        <w:t>1</w:t>
      </w:r>
      <w:r>
        <w:rPr>
          <w:rFonts w:ascii="Calibri" w:eastAsia="Times New Roman" w:hAnsi="Calibri" w:cs="Times New Roman"/>
          <w:color w:val="333333"/>
          <w:sz w:val="20"/>
          <w:szCs w:val="20"/>
        </w:rPr>
        <w:t> or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vertAlign w:val="subscript"/>
        </w:rPr>
        <w:t>2</w:t>
      </w:r>
      <w:r>
        <w:rPr>
          <w:rFonts w:ascii="Calibri" w:eastAsia="Times New Roman" w:hAnsi="Calibri" w:cs="Times New Roman"/>
          <w:color w:val="333333"/>
          <w:sz w:val="20"/>
          <w:szCs w:val="20"/>
        </w:rPr>
        <w:t> is available</w:t>
      </w:r>
    </w:p>
    <w:p w:rsidR="00AD77BB" w:rsidRDefault="00B45BA0">
      <w:pPr>
        <w:pStyle w:val="ListParagraph"/>
        <w:numPr>
          <w:ilvl w:val="1"/>
          <w:numId w:val="251"/>
        </w:numPr>
        <w:shd w:val="clear" w:color="auto" w:fill="E3EFF7"/>
        <w:spacing w:after="0" w:line="366"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when prior studies indicate that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≈0.14</w:t>
      </w:r>
      <w:r>
        <w:rPr>
          <w:rFonts w:ascii="Calibri" w:eastAsia="Times New Roman" w:hAnsi="Calibri" w:cs="Times New Roman"/>
          <w:color w:val="333333"/>
          <w:sz w:val="20"/>
          <w:szCs w:val="20"/>
        </w:rPr>
        <w:t> and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2"/>
          <w:szCs w:val="12"/>
        </w:rPr>
        <w:t>2</w:t>
      </w:r>
      <w:r>
        <w:rPr>
          <w:rFonts w:ascii="MathJax_Main" w:eastAsia="Times New Roman" w:hAnsi="MathJax_Main" w:cs="Times New Roman"/>
          <w:color w:val="333333"/>
          <w:sz w:val="15"/>
          <w:szCs w:val="15"/>
        </w:rPr>
        <w:t>≈0.21</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APPLICATIONS</w:t>
      </w:r>
    </w:p>
    <w:p w:rsidR="00AD77BB" w:rsidRDefault="00B45BA0">
      <w:pPr>
        <w:numPr>
          <w:ilvl w:val="0"/>
          <w:numId w:val="252"/>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educational researcher wishes to estimate the difference in average scores of elementary school children on two versions of a 100-point standardized test, at 99% confidence and to within two points. Estimate the minimum equal sample sizes necessary if it is known that the standard deviation of scores on different versions of such tests is 4.9.</w:t>
      </w:r>
    </w:p>
    <w:p w:rsidR="00AD77BB" w:rsidRDefault="00B45BA0">
      <w:pPr>
        <w:numPr>
          <w:ilvl w:val="0"/>
          <w:numId w:val="252"/>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A university administrator wishes to estimate the difference in mean grade point averages among all men affiliated with fraternities and all unaffiliated men, with 95% confidence and to within 0.15. It is known from </w:t>
      </w:r>
      <w:r>
        <w:rPr>
          <w:rFonts w:ascii="Calibri" w:eastAsia="Times New Roman" w:hAnsi="Calibri" w:cs="Times New Roman"/>
          <w:color w:val="333333"/>
          <w:sz w:val="20"/>
          <w:szCs w:val="20"/>
        </w:rPr>
        <w:lastRenderedPageBreak/>
        <w:t>prior studies that the standard deviations of grade point averages in the two groups have common value 0.4. Estimate the minimum equal sample sizes necessary to meet these criteria.</w:t>
      </w:r>
    </w:p>
    <w:p w:rsidR="00AD77BB" w:rsidRDefault="00B45BA0">
      <w:pPr>
        <w:numPr>
          <w:ilvl w:val="0"/>
          <w:numId w:val="252"/>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automotive tire manufacturer wishes to estimate the difference in mean wear of tires manufactured with an experimental material and ordinary production tire, with 90% confidence and to within 0.5 mm. To eliminate extraneous factors arising from different driving conditions the tires will be tested in pairs on the same vehicles. It is known from prior studies that the standard deviations of the differences of wear of tires constructed with the two kinds of materials is 1.75 mm. Estimate the minimum number of pairs in the sample necessary to meet these criteria.</w:t>
      </w:r>
    </w:p>
    <w:p w:rsidR="00AD77BB" w:rsidRDefault="00B45BA0">
      <w:pPr>
        <w:numPr>
          <w:ilvl w:val="0"/>
          <w:numId w:val="252"/>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assess to the relative happiness of men and women in their marriages, a marriage counselor plans to administer a test measuring happiness in marriage to</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randomly selected married couples, record the their test scores, find the differences, and then draw inferences on the possible difference. Let </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rPr>
        <w:t>1</w:t>
      </w:r>
      <w:r>
        <w:rPr>
          <w:rFonts w:ascii="Calibri" w:eastAsia="Times New Roman" w:hAnsi="Calibri" w:cs="Times New Roman"/>
          <w:color w:val="333333"/>
          <w:sz w:val="20"/>
          <w:szCs w:val="20"/>
        </w:rPr>
        <w:t> and </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rPr>
        <w:t>2</w:t>
      </w:r>
      <w:r>
        <w:rPr>
          <w:rFonts w:ascii="Calibri" w:eastAsia="Times New Roman" w:hAnsi="Calibri" w:cs="Times New Roman"/>
          <w:color w:val="333333"/>
          <w:sz w:val="20"/>
          <w:szCs w:val="20"/>
        </w:rPr>
        <w:t> be the true average levels of happiness in marriage for men and women respectively as measured by this test. Suppose it is desired to find a 90% confidence interval for estimating </w:t>
      </w:r>
      <w:r>
        <w:rPr>
          <w:rFonts w:ascii="MathJax_Math" w:eastAsia="Times New Roman" w:hAnsi="MathJax_Math" w:cs="Times New Roman"/>
          <w:i/>
          <w:iCs/>
          <w:color w:val="333333"/>
          <w:sz w:val="15"/>
          <w:szCs w:val="15"/>
        </w:rPr>
        <w:t>μ</w:t>
      </w:r>
      <w:r>
        <w:rPr>
          <w:rFonts w:ascii="MathJax_Math" w:eastAsia="Times New Roman" w:hAnsi="MathJax_Math" w:cs="Times New Roman"/>
          <w:i/>
          <w:iCs/>
          <w:color w:val="333333"/>
          <w:sz w:val="12"/>
          <w:szCs w:val="12"/>
        </w:rPr>
        <w:t>d</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μ</w:t>
      </w:r>
      <w:r>
        <w:rPr>
          <w:rFonts w:ascii="MathJax_Main" w:eastAsia="Times New Roman" w:hAnsi="MathJax_Main" w:cs="Times New Roman"/>
          <w:color w:val="333333"/>
          <w:sz w:val="12"/>
          <w:szCs w:val="12"/>
        </w:rPr>
        <w:t>2</w:t>
      </w:r>
      <w:r>
        <w:rPr>
          <w:rFonts w:ascii="Calibri" w:eastAsia="Times New Roman" w:hAnsi="Calibri" w:cs="Times New Roman"/>
          <w:color w:val="333333"/>
          <w:sz w:val="20"/>
          <w:szCs w:val="20"/>
        </w:rPr>
        <w:t> to within two test points. Suppose further that, from prior studies, it is known that the standard deviation of the differences in test scores is </w:t>
      </w:r>
      <w:r>
        <w:rPr>
          <w:rFonts w:ascii="MathJax_Math" w:eastAsia="Times New Roman" w:hAnsi="MathJax_Math" w:cs="Times New Roman"/>
          <w:i/>
          <w:iCs/>
          <w:color w:val="333333"/>
          <w:sz w:val="15"/>
          <w:szCs w:val="15"/>
        </w:rPr>
        <w:t>σ</w:t>
      </w:r>
      <w:r>
        <w:rPr>
          <w:rFonts w:ascii="MathJax_Math" w:eastAsia="Times New Roman" w:hAnsi="MathJax_Math" w:cs="Times New Roman"/>
          <w:i/>
          <w:iCs/>
          <w:color w:val="333333"/>
          <w:sz w:val="12"/>
          <w:szCs w:val="12"/>
        </w:rPr>
        <w:t>d</w:t>
      </w:r>
      <w:r>
        <w:rPr>
          <w:rFonts w:ascii="MathJax_Main" w:eastAsia="Times New Roman" w:hAnsi="MathJax_Main" w:cs="Times New Roman"/>
          <w:color w:val="333333"/>
          <w:sz w:val="15"/>
          <w:szCs w:val="15"/>
        </w:rPr>
        <w:t>≈10.</w:t>
      </w:r>
      <w:r>
        <w:rPr>
          <w:rFonts w:ascii="Calibri" w:eastAsia="Times New Roman" w:hAnsi="Calibri" w:cs="Times New Roman"/>
          <w:color w:val="333333"/>
          <w:sz w:val="20"/>
          <w:szCs w:val="20"/>
        </w:rPr>
        <w:t> What is the minimum number of married couples that must be included in this study?</w:t>
      </w:r>
    </w:p>
    <w:p w:rsidR="00AD77BB" w:rsidRDefault="00B45BA0">
      <w:pPr>
        <w:numPr>
          <w:ilvl w:val="0"/>
          <w:numId w:val="252"/>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journalist plans to interview an equal number of members of two political parties to compare the proportions in each party who favor a proposal to allow citizens with a proper license to carry a concealed handgun in public parks. Let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vertAlign w:val="subscript"/>
        </w:rPr>
        <w:t>1</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vertAlign w:val="subscript"/>
        </w:rPr>
        <w:t>2</w:t>
      </w:r>
      <w:r>
        <w:rPr>
          <w:rFonts w:ascii="Calibri" w:eastAsia="Times New Roman" w:hAnsi="Calibri" w:cs="Times New Roman"/>
          <w:color w:val="333333"/>
          <w:sz w:val="20"/>
          <w:szCs w:val="20"/>
        </w:rPr>
        <w:t> be the true proportions of members of the two parties who are in favor of the proposal. Suppose it is desired to find a 95% confidence interval for estimating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2"/>
          <w:szCs w:val="12"/>
        </w:rPr>
        <w:t>2</w:t>
      </w:r>
      <w:r>
        <w:rPr>
          <w:rFonts w:ascii="Calibri" w:eastAsia="Times New Roman" w:hAnsi="Calibri" w:cs="Times New Roman"/>
          <w:color w:val="333333"/>
          <w:sz w:val="20"/>
          <w:szCs w:val="20"/>
        </w:rPr>
        <w:t> to within 0.05. Estimate the minimum equal number of members of each party that must be sampled to meet these criteria.</w:t>
      </w:r>
    </w:p>
    <w:p w:rsidR="00AD77BB" w:rsidRDefault="00B45BA0">
      <w:pPr>
        <w:numPr>
          <w:ilvl w:val="0"/>
          <w:numId w:val="252"/>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member of the state board of education wants to compare the proportions of National Board Certified (NBC) teachers in private high schools and in public high schools in the state. His study plan calls for an equal number of private school teachers and public school teachers to be included in the study. Let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vertAlign w:val="subscript"/>
        </w:rPr>
        <w:t>1</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vertAlign w:val="subscript"/>
        </w:rPr>
        <w:t>2</w:t>
      </w:r>
      <w:r>
        <w:rPr>
          <w:rFonts w:ascii="Calibri" w:eastAsia="Times New Roman" w:hAnsi="Calibri" w:cs="Times New Roman"/>
          <w:color w:val="333333"/>
          <w:sz w:val="20"/>
          <w:szCs w:val="20"/>
        </w:rPr>
        <w:t> be these proportions. Suppose it is desired to find a 99% confidence interval that estimates </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p</w:t>
      </w:r>
      <w:r>
        <w:rPr>
          <w:rFonts w:ascii="MathJax_Main" w:eastAsia="Times New Roman" w:hAnsi="MathJax_Main" w:cs="Times New Roman"/>
          <w:color w:val="333333"/>
          <w:sz w:val="12"/>
          <w:szCs w:val="12"/>
        </w:rPr>
        <w:t>2</w:t>
      </w:r>
      <w:r>
        <w:rPr>
          <w:rFonts w:ascii="Calibri" w:eastAsia="Times New Roman" w:hAnsi="Calibri" w:cs="Times New Roman"/>
          <w:color w:val="333333"/>
          <w:sz w:val="20"/>
          <w:szCs w:val="20"/>
        </w:rPr>
        <w:t> to within 0.05.</w:t>
      </w:r>
    </w:p>
    <w:p w:rsidR="00AD77BB" w:rsidRDefault="00B45BA0">
      <w:pPr>
        <w:numPr>
          <w:ilvl w:val="1"/>
          <w:numId w:val="25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Supposing that both proportions are known, from a prior study, to be approximately 0.15, compute the minimum common sample size needed.</w:t>
      </w:r>
    </w:p>
    <w:p w:rsidR="00AD77BB" w:rsidRDefault="00B45BA0">
      <w:pPr>
        <w:numPr>
          <w:ilvl w:val="1"/>
          <w:numId w:val="25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minimum common sample size needed on the supposition that nothing is known about the values of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vertAlign w:val="subscript"/>
        </w:rPr>
        <w:t>1</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p</w:t>
      </w:r>
      <w:r>
        <w:rPr>
          <w:rFonts w:ascii="Calibri" w:eastAsia="Times New Roman" w:hAnsi="Calibri" w:cs="Times New Roman"/>
          <w:color w:val="333333"/>
          <w:sz w:val="20"/>
          <w:szCs w:val="20"/>
          <w:vertAlign w:val="subscript"/>
        </w:rPr>
        <w:t>2</w:t>
      </w:r>
      <w:r>
        <w:rPr>
          <w:rFonts w:ascii="Calibri" w:eastAsia="Times New Roman" w:hAnsi="Calibri" w:cs="Times New Roman"/>
          <w:color w:val="333333"/>
          <w:sz w:val="20"/>
          <w:szCs w:val="20"/>
        </w:rPr>
        <w:t>.</w:t>
      </w:r>
    </w:p>
    <w:p w:rsidR="00AD77BB" w:rsidRDefault="00AD77BB">
      <w:p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p>
    <w:p w:rsidR="00AD77BB" w:rsidRDefault="00AD77BB">
      <w:pPr>
        <w:shd w:val="clear" w:color="auto" w:fill="DAEEF3" w:themeFill="accent5" w:themeFillTint="33"/>
        <w:spacing w:after="0" w:line="439" w:lineRule="atLeast"/>
        <w:ind w:left="1440"/>
        <w:textAlignment w:val="baseline"/>
        <w:rPr>
          <w:rFonts w:ascii="Calibri" w:eastAsia="Times New Roman" w:hAnsi="Calibri" w:cs="Times New Roman"/>
          <w:color w:val="333333"/>
          <w:sz w:val="20"/>
          <w:szCs w:val="20"/>
        </w:rPr>
      </w:pPr>
    </w:p>
    <w:p w:rsidR="00AD77BB" w:rsidRDefault="00B45BA0">
      <w:pPr>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372A3EA" wp14:editId="40074417">
            <wp:extent cx="5305425" cy="5362575"/>
            <wp:effectExtent l="0" t="0" r="9525" b="9525"/>
            <wp:docPr id="373"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305425" cy="5362575"/>
                    </a:xfrm>
                    <a:prstGeom prst="rect">
                      <a:avLst/>
                    </a:prstGeom>
                    <a:noFill/>
                    <a:ln>
                      <a:noFill/>
                    </a:ln>
                  </pic:spPr>
                </pic:pic>
              </a:graphicData>
            </a:graphic>
          </wp:inline>
        </w:drawing>
      </w: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B45BA0">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10</w:t>
      </w:r>
    </w:p>
    <w:p w:rsidR="00AD77BB" w:rsidRDefault="00B45BA0">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Correlation and Regression</w:t>
      </w:r>
    </w:p>
    <w:p w:rsidR="00AD77BB" w:rsidRDefault="00AD77BB">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Our interest in this chapter is in situations in which we can associate to each element of a population or sample two measurements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y</w:t>
      </w:r>
      <w:r>
        <w:rPr>
          <w:rFonts w:ascii="Georgia" w:hAnsi="Georgia"/>
          <w:color w:val="333333"/>
          <w:sz w:val="21"/>
          <w:szCs w:val="21"/>
        </w:rPr>
        <w:t>, particularly in the case that it is of interest to use the value of</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to predict the value of</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y</w:t>
      </w:r>
      <w:r>
        <w:rPr>
          <w:rFonts w:ascii="Georgia" w:hAnsi="Georgia"/>
          <w:color w:val="333333"/>
          <w:sz w:val="21"/>
          <w:szCs w:val="21"/>
        </w:rPr>
        <w:t>. For example, the population could be the air in automobile garages,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could be the electrical current produced by an electrochemical reaction taking place in a carbon monoxide meter, 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y</w:t>
      </w:r>
      <w:r>
        <w:rPr>
          <w:rStyle w:val="apple-converted-space"/>
          <w:rFonts w:ascii="Georgia" w:hAnsi="Georgia"/>
          <w:color w:val="333333"/>
          <w:sz w:val="21"/>
          <w:szCs w:val="21"/>
        </w:rPr>
        <w:t> </w:t>
      </w:r>
      <w:r>
        <w:rPr>
          <w:rFonts w:ascii="Georgia" w:hAnsi="Georgia"/>
          <w:color w:val="333333"/>
          <w:sz w:val="21"/>
          <w:szCs w:val="21"/>
        </w:rPr>
        <w:t>the concentration of carbon monoxide in the air. In this chapter we will learn statistical methods for analyzing the relationship between variables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y</w:t>
      </w:r>
      <w:r>
        <w:rPr>
          <w:rStyle w:val="apple-converted-space"/>
          <w:rFonts w:ascii="Georgia" w:hAnsi="Georgia"/>
          <w:color w:val="333333"/>
          <w:sz w:val="21"/>
          <w:szCs w:val="21"/>
        </w:rPr>
        <w:t> </w:t>
      </w:r>
      <w:r>
        <w:rPr>
          <w:rFonts w:ascii="Georgia" w:hAnsi="Georgia"/>
          <w:color w:val="333333"/>
          <w:sz w:val="21"/>
          <w:szCs w:val="21"/>
        </w:rPr>
        <w:t>in this context.</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 list of all the formulas that appear anywhere in this chapter are collected in the last section for ease of reference.</w:t>
      </w: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AD77BB">
      <w:pPr>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B45B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10.1</w:t>
      </w:r>
      <w:r>
        <w:rPr>
          <w:rStyle w:val="apple-converted-space"/>
          <w:rFonts w:ascii="Calibri" w:hAnsi="Calibri"/>
          <w:color w:val="333333"/>
        </w:rPr>
        <w:t> </w:t>
      </w:r>
      <w:r>
        <w:rPr>
          <w:rFonts w:ascii="Calibri" w:hAnsi="Calibri"/>
          <w:color w:val="333333"/>
        </w:rPr>
        <w:t>Linear Relationships Between Variables</w:t>
      </w:r>
    </w:p>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AD77BB" w:rsidRDefault="00B45BA0">
      <w:pPr>
        <w:numPr>
          <w:ilvl w:val="0"/>
          <w:numId w:val="253"/>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To learn what it means for two variables to exhibit a relationship that is close to linear but which contains an element of randomness.</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following table gives examples of the kinds of pairs of variables which could be of interest from a statistical point of view.</w:t>
      </w:r>
    </w:p>
    <w:tbl>
      <w:tblPr>
        <w:tblW w:w="0" w:type="auto"/>
        <w:tblCellMar>
          <w:left w:w="0" w:type="dxa"/>
          <w:right w:w="0" w:type="dxa"/>
        </w:tblCellMar>
        <w:tblLook w:val="04A0" w:firstRow="1" w:lastRow="0" w:firstColumn="1" w:lastColumn="0" w:noHBand="0" w:noVBand="1"/>
      </w:tblPr>
      <w:tblGrid>
        <w:gridCol w:w="4578"/>
        <w:gridCol w:w="318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1"/>
                <w:szCs w:val="21"/>
              </w:rPr>
            </w:pPr>
            <w:r>
              <w:rPr>
                <w:rStyle w:val="Emphasis"/>
                <w:b/>
                <w:bCs/>
                <w:color w:val="F48800"/>
                <w:sz w:val="21"/>
                <w:szCs w:val="21"/>
              </w:rPr>
              <w:t>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1"/>
                <w:szCs w:val="21"/>
              </w:rPr>
            </w:pPr>
            <w:r>
              <w:rPr>
                <w:rStyle w:val="Emphasis"/>
                <w:b/>
                <w:bCs/>
                <w:color w:val="F48800"/>
                <w:sz w:val="21"/>
                <w:szCs w:val="21"/>
              </w:rPr>
              <w:t>y</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Predictor or independent variable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Response or dependent variable</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Temperature in degrees Celsius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Temperature in degrees Fahrenheit</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Area of a house (sq.ft.)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Value of the house</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Age of a particular make and model car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Resale value of the car</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Amount spent by a business on advertising in a year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Revenue received that year</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Height of a 25-year-old man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Weight of the man</w:t>
            </w:r>
          </w:p>
        </w:tc>
      </w:tr>
    </w:tbl>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first line in the table is different from all the rest because in that case and no other the relationship between the variables is</w:t>
      </w:r>
      <w:r>
        <w:rPr>
          <w:rStyle w:val="apple-converted-space"/>
          <w:rFonts w:ascii="Georgia" w:hAnsi="Georgia"/>
          <w:color w:val="333333"/>
          <w:sz w:val="21"/>
          <w:szCs w:val="21"/>
        </w:rPr>
        <w:t> </w:t>
      </w:r>
      <w:r>
        <w:rPr>
          <w:rStyle w:val="Strong"/>
          <w:rFonts w:ascii="Georgia" w:eastAsiaTheme="majorEastAsia" w:hAnsi="Georgia"/>
          <w:color w:val="333333"/>
          <w:sz w:val="20"/>
          <w:szCs w:val="20"/>
        </w:rPr>
        <w:t>deterministic</w:t>
      </w:r>
      <w:r>
        <w:rPr>
          <w:rFonts w:ascii="Georgia" w:hAnsi="Georgia"/>
          <w:color w:val="333333"/>
          <w:sz w:val="21"/>
          <w:szCs w:val="21"/>
        </w:rPr>
        <w:t>: once the value of</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is known the value of</w:t>
      </w:r>
      <w:r>
        <w:rPr>
          <w:rStyle w:val="apple-converted-space"/>
          <w:rFonts w:ascii="Georgia" w:hAnsi="Georgia"/>
          <w:color w:val="333333"/>
          <w:sz w:val="21"/>
          <w:szCs w:val="21"/>
        </w:rPr>
        <w:t> </w:t>
      </w:r>
      <w:r>
        <w:rPr>
          <w:rStyle w:val="Emphasis"/>
          <w:rFonts w:ascii="Georgia" w:hAnsi="Georgia"/>
          <w:color w:val="333333"/>
          <w:sz w:val="20"/>
          <w:szCs w:val="20"/>
        </w:rPr>
        <w:t>y</w:t>
      </w:r>
      <w:r>
        <w:rPr>
          <w:rStyle w:val="apple-converted-space"/>
          <w:rFonts w:ascii="Georgia" w:hAnsi="Georgia"/>
          <w:color w:val="333333"/>
          <w:sz w:val="21"/>
          <w:szCs w:val="21"/>
        </w:rPr>
        <w:t> </w:t>
      </w:r>
      <w:r>
        <w:rPr>
          <w:rFonts w:ascii="Georgia" w:hAnsi="Georgia"/>
          <w:color w:val="333333"/>
          <w:sz w:val="21"/>
          <w:szCs w:val="21"/>
        </w:rPr>
        <w:t>is completely determined. In fact there is a formula for</w:t>
      </w:r>
      <w:r>
        <w:rPr>
          <w:rStyle w:val="apple-converted-space"/>
          <w:rFonts w:ascii="Georgia" w:hAnsi="Georgia"/>
          <w:color w:val="333333"/>
          <w:sz w:val="21"/>
          <w:szCs w:val="21"/>
        </w:rPr>
        <w:t> </w:t>
      </w:r>
      <w:r>
        <w:rPr>
          <w:rStyle w:val="Emphasis"/>
          <w:rFonts w:ascii="Georgia" w:hAnsi="Georgia"/>
          <w:color w:val="333333"/>
          <w:sz w:val="20"/>
          <w:szCs w:val="20"/>
        </w:rPr>
        <w:t>y</w:t>
      </w:r>
      <w:r>
        <w:rPr>
          <w:rStyle w:val="apple-converted-space"/>
          <w:rFonts w:ascii="Georgia" w:hAnsi="Georgia"/>
          <w:color w:val="333333"/>
          <w:sz w:val="21"/>
          <w:szCs w:val="21"/>
        </w:rPr>
        <w:t> </w:t>
      </w:r>
      <w:r>
        <w:rPr>
          <w:rFonts w:ascii="Georgia" w:hAnsi="Georgia"/>
          <w:color w:val="333333"/>
          <w:sz w:val="21"/>
          <w:szCs w:val="21"/>
        </w:rPr>
        <w:t>in terms of</w:t>
      </w:r>
      <w:r>
        <w:rPr>
          <w:rStyle w:val="apple-converted-space"/>
          <w:rFonts w:ascii="Georgia" w:hAnsi="Georgia"/>
          <w:color w:val="333333"/>
          <w:sz w:val="21"/>
          <w:szCs w:val="21"/>
        </w:rPr>
        <w:t> </w:t>
      </w:r>
      <w:r>
        <w:rPr>
          <w:rStyle w:val="Emphasis"/>
          <w:rFonts w:ascii="Georgia" w:hAnsi="Georgia"/>
          <w:color w:val="333333"/>
          <w:sz w:val="20"/>
          <w:szCs w:val="20"/>
        </w:rPr>
        <w:t>x</w:t>
      </w:r>
      <w:r>
        <w:rPr>
          <w:rFonts w:ascii="Georgia" w:hAnsi="Georgia"/>
          <w:color w:val="333333"/>
          <w:sz w:val="21"/>
          <w:szCs w:val="21"/>
        </w:rPr>
        <w:t>:</w:t>
      </w:r>
      <w:r>
        <w:rPr>
          <w:rStyle w:val="apple-converted-space"/>
          <w:rFonts w:ascii="Georgia" w:hAnsi="Georgia"/>
          <w:color w:val="333333"/>
          <w:sz w:val="21"/>
          <w:szCs w:val="21"/>
        </w:rPr>
        <w:t> </w:t>
      </w:r>
      <w:r>
        <w:rPr>
          <w:rStyle w:val="mi"/>
          <w:rFonts w:ascii="MathJax_Math" w:hAnsi="MathJax_Math"/>
          <w:i/>
          <w:iCs/>
          <w:color w:val="333333"/>
          <w:sz w:val="18"/>
          <w:szCs w:val="18"/>
        </w:rPr>
        <w:t>y</w:t>
      </w:r>
      <w:r>
        <w:rPr>
          <w:rStyle w:val="mo"/>
          <w:rFonts w:ascii="MathJax_Main" w:hAnsi="MathJax_Main"/>
          <w:color w:val="333333"/>
          <w:sz w:val="18"/>
          <w:szCs w:val="18"/>
        </w:rPr>
        <w:t>=</w:t>
      </w:r>
      <w:r>
        <w:rPr>
          <w:rStyle w:val="mn"/>
          <w:rFonts w:ascii="MathJax_Main" w:hAnsi="MathJax_Main"/>
          <w:color w:val="333333"/>
          <w:sz w:val="14"/>
          <w:szCs w:val="14"/>
        </w:rPr>
        <w:t>95</w:t>
      </w:r>
      <w:r>
        <w:rPr>
          <w:rStyle w:val="mi"/>
          <w:rFonts w:ascii="MathJax_Math" w:hAnsi="MathJax_Math"/>
          <w:i/>
          <w:iCs/>
          <w:color w:val="333333"/>
          <w:sz w:val="18"/>
          <w:szCs w:val="18"/>
        </w:rPr>
        <w:t>x</w:t>
      </w:r>
      <w:r>
        <w:rPr>
          <w:rStyle w:val="mo"/>
          <w:rFonts w:ascii="MathJax_Main" w:hAnsi="MathJax_Main"/>
          <w:color w:val="333333"/>
          <w:sz w:val="18"/>
          <w:szCs w:val="18"/>
        </w:rPr>
        <w:t>+</w:t>
      </w:r>
      <w:r>
        <w:rPr>
          <w:rStyle w:val="mn"/>
          <w:rFonts w:ascii="MathJax_Main" w:hAnsi="MathJax_Main"/>
          <w:color w:val="333333"/>
          <w:sz w:val="18"/>
          <w:szCs w:val="18"/>
        </w:rPr>
        <w:t>32</w:t>
      </w:r>
      <w:r>
        <w:rPr>
          <w:rStyle w:val="mo"/>
          <w:rFonts w:ascii="MathJax_Main" w:hAnsi="MathJax_Main"/>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Choosing several values for</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and computing the corresponding value for</w:t>
      </w:r>
      <w:r>
        <w:rPr>
          <w:rStyle w:val="apple-converted-space"/>
          <w:rFonts w:ascii="Georgia" w:hAnsi="Georgia"/>
          <w:color w:val="333333"/>
          <w:sz w:val="21"/>
          <w:szCs w:val="21"/>
        </w:rPr>
        <w:t> </w:t>
      </w:r>
      <w:r>
        <w:rPr>
          <w:rStyle w:val="Emphasis"/>
          <w:rFonts w:ascii="Georgia" w:hAnsi="Georgia"/>
          <w:color w:val="333333"/>
          <w:sz w:val="20"/>
          <w:szCs w:val="20"/>
        </w:rPr>
        <w:t>y</w:t>
      </w:r>
      <w:r>
        <w:rPr>
          <w:rStyle w:val="apple-converted-space"/>
          <w:rFonts w:ascii="Georgia" w:hAnsi="Georgia"/>
          <w:color w:val="333333"/>
          <w:sz w:val="21"/>
          <w:szCs w:val="21"/>
        </w:rPr>
        <w:t> </w:t>
      </w:r>
      <w:r>
        <w:rPr>
          <w:rFonts w:ascii="Georgia" w:hAnsi="Georgia"/>
          <w:color w:val="333333"/>
          <w:sz w:val="21"/>
          <w:szCs w:val="21"/>
        </w:rPr>
        <w:t>for each one using the formula gives the table</w:t>
      </w:r>
    </w:p>
    <w:p w:rsidR="00AD77BB" w:rsidRDefault="00B45BA0">
      <w:pPr>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1CBF866" wp14:editId="39055D49">
            <wp:extent cx="5543550" cy="4448175"/>
            <wp:effectExtent l="0" t="0" r="0" b="9525"/>
            <wp:docPr id="374"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543550" cy="4448175"/>
                    </a:xfrm>
                    <a:prstGeom prst="rect">
                      <a:avLst/>
                    </a:prstGeom>
                    <a:noFill/>
                    <a:ln>
                      <a:noFill/>
                    </a:ln>
                  </pic:spPr>
                </pic:pic>
              </a:graphicData>
            </a:graphic>
          </wp:inline>
        </w:drawing>
      </w: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t>Figure 10.1</w:t>
      </w:r>
      <w:r>
        <w:rPr>
          <w:rFonts w:ascii="Georgia" w:eastAsia="Times New Roman" w:hAnsi="Georgia" w:cs="Times New Roman"/>
          <w:i/>
          <w:iCs/>
          <w:color w:val="BB9966"/>
          <w:sz w:val="19"/>
          <w:szCs w:val="19"/>
        </w:rPr>
        <w:t> Plot of Celsius and Fahrenheit Temperature Pairs</w:t>
      </w:r>
      <w:r>
        <w:rPr>
          <w:rFonts w:ascii="Calibri" w:eastAsia="Times New Roman" w:hAnsi="Calibri" w:cs="Times New Roman"/>
          <w:noProof/>
          <w:color w:val="2689C6"/>
          <w:sz w:val="26"/>
          <w:szCs w:val="26"/>
          <w:shd w:val="clear" w:color="auto" w:fill="FFFFFF"/>
        </w:rPr>
        <w:drawing>
          <wp:inline distT="0" distB="0" distL="0" distR="0" wp14:anchorId="1DD89981" wp14:editId="1985B77E">
            <wp:extent cx="4276725" cy="3371850"/>
            <wp:effectExtent l="0" t="0" r="9525" b="0"/>
            <wp:docPr id="375" name="Picture 388" descr="http://images.flatworldknowledge.com/shafer/shafer-fig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images.flatworldknowledge.com/shafer/shafer-fig10_001.jp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276725" cy="3371850"/>
                    </a:xfrm>
                    <a:prstGeom prst="rect">
                      <a:avLst/>
                    </a:prstGeom>
                    <a:noFill/>
                    <a:ln>
                      <a:noFill/>
                    </a:ln>
                  </pic:spPr>
                </pic:pic>
              </a:graphicData>
            </a:graphic>
          </wp:inline>
        </w:drawing>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lastRenderedPageBreak/>
        <w:t>The relationship between</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rPr>
        <w:t>y</w:t>
      </w:r>
      <w:r>
        <w:rPr>
          <w:rStyle w:val="apple-converted-space"/>
          <w:rFonts w:ascii="Georgia" w:hAnsi="Georgia"/>
          <w:color w:val="333333"/>
          <w:sz w:val="21"/>
          <w:szCs w:val="21"/>
        </w:rPr>
        <w:t> </w:t>
      </w:r>
      <w:r>
        <w:rPr>
          <w:rFonts w:ascii="Georgia" w:hAnsi="Georgia"/>
          <w:color w:val="333333"/>
          <w:sz w:val="21"/>
          <w:szCs w:val="21"/>
        </w:rPr>
        <w:t>in the temperature example is deterministic because once the value of</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is known, the value of</w:t>
      </w:r>
      <w:r>
        <w:rPr>
          <w:rStyle w:val="apple-converted-space"/>
          <w:rFonts w:ascii="Georgia" w:hAnsi="Georgia"/>
          <w:color w:val="333333"/>
          <w:sz w:val="21"/>
          <w:szCs w:val="21"/>
        </w:rPr>
        <w:t> </w:t>
      </w:r>
      <w:r>
        <w:rPr>
          <w:rStyle w:val="Emphasis"/>
          <w:rFonts w:ascii="Georgia" w:hAnsi="Georgia"/>
          <w:color w:val="333333"/>
          <w:sz w:val="20"/>
          <w:szCs w:val="20"/>
        </w:rPr>
        <w:t>y</w:t>
      </w:r>
      <w:r>
        <w:rPr>
          <w:rStyle w:val="apple-converted-space"/>
          <w:rFonts w:ascii="Georgia" w:hAnsi="Georgia"/>
          <w:color w:val="333333"/>
          <w:sz w:val="21"/>
          <w:szCs w:val="21"/>
        </w:rPr>
        <w:t> </w:t>
      </w:r>
      <w:r>
        <w:rPr>
          <w:rFonts w:ascii="Georgia" w:hAnsi="Georgia"/>
          <w:color w:val="333333"/>
          <w:sz w:val="21"/>
          <w:szCs w:val="21"/>
        </w:rPr>
        <w:t>is completely determined. In contrast, all the other relationships listed in the table above have an element of randomness in them. Consider the relationship described in the last line of the table, the height</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of a man aged 25 and his weight</w:t>
      </w:r>
      <w:r>
        <w:rPr>
          <w:rStyle w:val="apple-converted-space"/>
          <w:rFonts w:ascii="Georgia" w:hAnsi="Georgia"/>
          <w:color w:val="333333"/>
          <w:sz w:val="21"/>
          <w:szCs w:val="21"/>
        </w:rPr>
        <w:t> </w:t>
      </w:r>
      <w:r>
        <w:rPr>
          <w:rStyle w:val="Emphasis"/>
          <w:rFonts w:ascii="Georgia" w:hAnsi="Georgia"/>
          <w:color w:val="333333"/>
          <w:sz w:val="20"/>
          <w:szCs w:val="20"/>
        </w:rPr>
        <w:t>y</w:t>
      </w:r>
      <w:r>
        <w:rPr>
          <w:rFonts w:ascii="Georgia" w:hAnsi="Georgia"/>
          <w:color w:val="333333"/>
          <w:sz w:val="21"/>
          <w:szCs w:val="21"/>
        </w:rPr>
        <w:t>. If we were to randomly select several 25-year-old men and measure the height and weight of each one, we might obtain a collection of</w:t>
      </w:r>
      <w:r>
        <w:rPr>
          <w:rStyle w:val="apple-converted-space"/>
          <w:rFonts w:ascii="Georgia" w:hAnsi="Georgia"/>
          <w:color w:val="333333"/>
          <w:sz w:val="21"/>
          <w:szCs w:val="21"/>
        </w:rPr>
        <w:t> </w:t>
      </w:r>
      <w:r>
        <w:rPr>
          <w:rStyle w:val="mo"/>
          <w:rFonts w:ascii="MathJax_Main" w:hAnsi="MathJax_Main"/>
          <w:color w:val="333333"/>
          <w:sz w:val="18"/>
          <w:szCs w:val="18"/>
        </w:rPr>
        <w:t>(</w:t>
      </w:r>
      <w:r>
        <w:rPr>
          <w:rStyle w:val="mi"/>
          <w:rFonts w:ascii="MathJax_Math" w:hAnsi="MathJax_Math"/>
          <w:i/>
          <w:iCs/>
          <w:color w:val="333333"/>
          <w:sz w:val="18"/>
          <w:szCs w:val="18"/>
        </w:rPr>
        <w:t>x</w:t>
      </w:r>
      <w:r>
        <w:rPr>
          <w:rStyle w:val="mo"/>
          <w:rFonts w:ascii="MathJax_Main" w:hAnsi="MathJax_Main"/>
          <w:color w:val="333333"/>
          <w:sz w:val="18"/>
          <w:szCs w:val="18"/>
        </w:rPr>
        <w:t>,</w:t>
      </w:r>
      <w:r>
        <w:rPr>
          <w:rStyle w:val="mi"/>
          <w:rFonts w:ascii="MathJax_Math" w:hAnsi="MathJax_Math"/>
          <w:i/>
          <w:iCs/>
          <w:color w:val="333333"/>
          <w:sz w:val="18"/>
          <w:szCs w:val="18"/>
        </w:rPr>
        <w:t>y</w:t>
      </w:r>
      <w:r>
        <w:rPr>
          <w:rStyle w:val="mo"/>
          <w:rFonts w:ascii="MathJax_Main" w:hAnsi="MathJax_Main"/>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pairs something like this:</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spacing w:line="360" w:lineRule="auto"/>
        <w:jc w:val="center"/>
        <w:textAlignment w:val="baseline"/>
        <w:rPr>
          <w:rStyle w:val="mo"/>
          <w:rFonts w:ascii="MathJax_Main" w:hAnsi="MathJax_Main"/>
          <w:b/>
          <w:color w:val="555555"/>
          <w:sz w:val="18"/>
          <w:szCs w:val="18"/>
          <w:shd w:val="clear" w:color="auto" w:fill="FFFFFF"/>
        </w:rPr>
      </w:pPr>
      <w:r>
        <w:rPr>
          <w:rStyle w:val="mo"/>
          <w:rFonts w:ascii="MathJax_Main" w:hAnsi="MathJax_Main"/>
          <w:b/>
          <w:color w:val="555555"/>
          <w:sz w:val="18"/>
          <w:szCs w:val="18"/>
          <w:shd w:val="clear" w:color="auto" w:fill="FFFFFF"/>
        </w:rPr>
        <w:t>(</w:t>
      </w:r>
      <w:r>
        <w:rPr>
          <w:rStyle w:val="mn"/>
          <w:rFonts w:ascii="MathJax_Main" w:hAnsi="MathJax_Main"/>
          <w:b/>
          <w:color w:val="555555"/>
          <w:sz w:val="18"/>
          <w:szCs w:val="18"/>
          <w:shd w:val="clear" w:color="auto" w:fill="FFFFFF"/>
        </w:rPr>
        <w:t>68,151</w:t>
      </w:r>
      <w:r>
        <w:rPr>
          <w:rStyle w:val="mo"/>
          <w:rFonts w:ascii="MathJax_Main" w:hAnsi="MathJax_Main"/>
          <w:b/>
          <w:color w:val="555555"/>
          <w:sz w:val="18"/>
          <w:szCs w:val="18"/>
          <w:shd w:val="clear" w:color="auto" w:fill="FFFFFF"/>
        </w:rPr>
        <w:t>) (</w:t>
      </w:r>
      <w:r>
        <w:rPr>
          <w:rStyle w:val="mn"/>
          <w:rFonts w:ascii="MathJax_Main" w:hAnsi="MathJax_Main"/>
          <w:b/>
          <w:color w:val="555555"/>
          <w:sz w:val="18"/>
          <w:szCs w:val="18"/>
          <w:shd w:val="clear" w:color="auto" w:fill="FFFFFF"/>
        </w:rPr>
        <w:t>69,146</w:t>
      </w:r>
      <w:r>
        <w:rPr>
          <w:rStyle w:val="mo"/>
          <w:rFonts w:ascii="MathJax_Main" w:hAnsi="MathJax_Main"/>
          <w:b/>
          <w:color w:val="555555"/>
          <w:sz w:val="18"/>
          <w:szCs w:val="18"/>
          <w:shd w:val="clear" w:color="auto" w:fill="FFFFFF"/>
        </w:rPr>
        <w:t>) (</w:t>
      </w:r>
      <w:r>
        <w:rPr>
          <w:rStyle w:val="mn"/>
          <w:rFonts w:ascii="MathJax_Main" w:hAnsi="MathJax_Main"/>
          <w:b/>
          <w:color w:val="555555"/>
          <w:sz w:val="18"/>
          <w:szCs w:val="18"/>
          <w:shd w:val="clear" w:color="auto" w:fill="FFFFFF"/>
        </w:rPr>
        <w:t>70,157</w:t>
      </w:r>
      <w:r>
        <w:rPr>
          <w:rStyle w:val="mo"/>
          <w:rFonts w:ascii="MathJax_Main" w:hAnsi="MathJax_Main"/>
          <w:b/>
          <w:color w:val="555555"/>
          <w:sz w:val="18"/>
          <w:szCs w:val="18"/>
          <w:shd w:val="clear" w:color="auto" w:fill="FFFFFF"/>
        </w:rPr>
        <w:t>) (</w:t>
      </w:r>
      <w:r>
        <w:rPr>
          <w:rStyle w:val="mn"/>
          <w:rFonts w:ascii="MathJax_Main" w:hAnsi="MathJax_Main"/>
          <w:b/>
          <w:color w:val="555555"/>
          <w:sz w:val="18"/>
          <w:szCs w:val="18"/>
          <w:shd w:val="clear" w:color="auto" w:fill="FFFFFF"/>
        </w:rPr>
        <w:t>70,164</w:t>
      </w:r>
      <w:r>
        <w:rPr>
          <w:rStyle w:val="mo"/>
          <w:rFonts w:ascii="MathJax_Main" w:hAnsi="MathJax_Main"/>
          <w:b/>
          <w:color w:val="555555"/>
          <w:sz w:val="18"/>
          <w:szCs w:val="18"/>
          <w:shd w:val="clear" w:color="auto" w:fill="FFFFFF"/>
        </w:rPr>
        <w:t>) (</w:t>
      </w:r>
      <w:r>
        <w:rPr>
          <w:rStyle w:val="mn"/>
          <w:rFonts w:ascii="MathJax_Main" w:hAnsi="MathJax_Main"/>
          <w:b/>
          <w:color w:val="555555"/>
          <w:sz w:val="18"/>
          <w:szCs w:val="18"/>
          <w:shd w:val="clear" w:color="auto" w:fill="FFFFFF"/>
        </w:rPr>
        <w:t>71,171</w:t>
      </w:r>
      <w:r>
        <w:rPr>
          <w:rStyle w:val="mo"/>
          <w:rFonts w:ascii="MathJax_Main" w:hAnsi="MathJax_Main"/>
          <w:b/>
          <w:color w:val="555555"/>
          <w:sz w:val="18"/>
          <w:szCs w:val="18"/>
          <w:shd w:val="clear" w:color="auto" w:fill="FFFFFF"/>
        </w:rPr>
        <w:t>) (</w:t>
      </w:r>
      <w:r>
        <w:rPr>
          <w:rStyle w:val="mn"/>
          <w:rFonts w:ascii="MathJax_Main" w:hAnsi="MathJax_Main"/>
          <w:b/>
          <w:color w:val="555555"/>
          <w:sz w:val="18"/>
          <w:szCs w:val="18"/>
          <w:shd w:val="clear" w:color="auto" w:fill="FFFFFF"/>
        </w:rPr>
        <w:t>72,160</w:t>
      </w:r>
      <w:r>
        <w:rPr>
          <w:rStyle w:val="mo"/>
          <w:rFonts w:ascii="MathJax_Main" w:hAnsi="MathJax_Main"/>
          <w:b/>
          <w:color w:val="555555"/>
          <w:sz w:val="18"/>
          <w:szCs w:val="18"/>
          <w:shd w:val="clear" w:color="auto" w:fill="FFFFFF"/>
        </w:rPr>
        <w:t>)</w:t>
      </w:r>
    </w:p>
    <w:p w:rsidR="00AD77BB" w:rsidRDefault="00B45BA0">
      <w:pPr>
        <w:spacing w:line="360" w:lineRule="auto"/>
        <w:jc w:val="center"/>
        <w:textAlignment w:val="baseline"/>
        <w:rPr>
          <w:rFonts w:ascii="Calibri" w:hAnsi="Calibri"/>
          <w:sz w:val="23"/>
          <w:szCs w:val="23"/>
        </w:rPr>
      </w:pPr>
      <w:r>
        <w:rPr>
          <w:rStyle w:val="mo"/>
          <w:rFonts w:ascii="MathJax_Main" w:hAnsi="MathJax_Main"/>
          <w:b/>
          <w:color w:val="555555"/>
          <w:sz w:val="18"/>
          <w:szCs w:val="18"/>
          <w:shd w:val="clear" w:color="auto" w:fill="FFFFFF"/>
        </w:rPr>
        <w:t>(</w:t>
      </w:r>
      <w:r>
        <w:rPr>
          <w:rStyle w:val="mn"/>
          <w:rFonts w:ascii="MathJax_Main" w:hAnsi="MathJax_Main"/>
          <w:b/>
          <w:color w:val="555555"/>
          <w:sz w:val="18"/>
          <w:szCs w:val="18"/>
          <w:shd w:val="clear" w:color="auto" w:fill="FFFFFF"/>
        </w:rPr>
        <w:t>72,163</w:t>
      </w:r>
      <w:r>
        <w:rPr>
          <w:rStyle w:val="mo"/>
          <w:rFonts w:ascii="MathJax_Main" w:hAnsi="MathJax_Main"/>
          <w:b/>
          <w:color w:val="555555"/>
          <w:sz w:val="18"/>
          <w:szCs w:val="18"/>
          <w:shd w:val="clear" w:color="auto" w:fill="FFFFFF"/>
        </w:rPr>
        <w:t>)(</w:t>
      </w:r>
      <w:r>
        <w:rPr>
          <w:rStyle w:val="mn"/>
          <w:rFonts w:ascii="MathJax_Main" w:hAnsi="MathJax_Main"/>
          <w:b/>
          <w:color w:val="555555"/>
          <w:sz w:val="18"/>
          <w:szCs w:val="18"/>
          <w:shd w:val="clear" w:color="auto" w:fill="FFFFFF"/>
        </w:rPr>
        <w:t>72,180</w:t>
      </w:r>
      <w:r>
        <w:rPr>
          <w:rStyle w:val="mo"/>
          <w:rFonts w:ascii="MathJax_Main" w:hAnsi="MathJax_Main"/>
          <w:b/>
          <w:color w:val="555555"/>
          <w:sz w:val="18"/>
          <w:szCs w:val="18"/>
          <w:shd w:val="clear" w:color="auto" w:fill="FFFFFF"/>
        </w:rPr>
        <w:t>)(</w:t>
      </w:r>
      <w:r>
        <w:rPr>
          <w:rStyle w:val="mn"/>
          <w:rFonts w:ascii="MathJax_Main" w:hAnsi="MathJax_Main"/>
          <w:b/>
          <w:color w:val="555555"/>
          <w:sz w:val="18"/>
          <w:szCs w:val="18"/>
          <w:shd w:val="clear" w:color="auto" w:fill="FFFFFF"/>
        </w:rPr>
        <w:t>73,170</w:t>
      </w:r>
      <w:r>
        <w:rPr>
          <w:rStyle w:val="mo"/>
          <w:rFonts w:ascii="MathJax_Main" w:hAnsi="MathJax_Main"/>
          <w:b/>
          <w:color w:val="555555"/>
          <w:sz w:val="18"/>
          <w:szCs w:val="18"/>
          <w:shd w:val="clear" w:color="auto" w:fill="FFFFFF"/>
        </w:rPr>
        <w:t>)(</w:t>
      </w:r>
      <w:r>
        <w:rPr>
          <w:rStyle w:val="mn"/>
          <w:rFonts w:ascii="MathJax_Main" w:hAnsi="MathJax_Main"/>
          <w:b/>
          <w:color w:val="555555"/>
          <w:sz w:val="18"/>
          <w:szCs w:val="18"/>
          <w:shd w:val="clear" w:color="auto" w:fill="FFFFFF"/>
        </w:rPr>
        <w:t>73,175</w:t>
      </w:r>
      <w:r>
        <w:rPr>
          <w:rStyle w:val="mo"/>
          <w:rFonts w:ascii="MathJax_Main" w:hAnsi="MathJax_Main"/>
          <w:b/>
          <w:color w:val="555555"/>
          <w:sz w:val="18"/>
          <w:szCs w:val="18"/>
          <w:shd w:val="clear" w:color="auto" w:fill="FFFFFF"/>
        </w:rPr>
        <w:t>)</w:t>
      </w:r>
      <w:r>
        <w:rPr>
          <w:rStyle w:val="mn"/>
          <w:rFonts w:ascii="MathJax_Main" w:hAnsi="MathJax_Main"/>
          <w:b/>
          <w:color w:val="555555"/>
          <w:sz w:val="18"/>
          <w:szCs w:val="18"/>
          <w:shd w:val="clear" w:color="auto" w:fill="FFFFFF"/>
        </w:rPr>
        <w:t>(74,178</w:t>
      </w:r>
      <w:r>
        <w:rPr>
          <w:rStyle w:val="mo"/>
          <w:rFonts w:ascii="MathJax_Main" w:hAnsi="MathJax_Main"/>
          <w:b/>
          <w:color w:val="555555"/>
          <w:sz w:val="18"/>
          <w:szCs w:val="18"/>
          <w:shd w:val="clear" w:color="auto" w:fill="FFFFFF"/>
        </w:rPr>
        <w:t>)(</w:t>
      </w:r>
      <w:r>
        <w:rPr>
          <w:rStyle w:val="mn"/>
          <w:rFonts w:ascii="MathJax_Main" w:hAnsi="MathJax_Main"/>
          <w:b/>
          <w:color w:val="555555"/>
          <w:sz w:val="18"/>
          <w:szCs w:val="18"/>
          <w:shd w:val="clear" w:color="auto" w:fill="FFFFFF"/>
        </w:rPr>
        <w:t>75,188</w:t>
      </w:r>
      <w:r>
        <w:rPr>
          <w:rStyle w:val="mo"/>
          <w:rFonts w:ascii="MathJax_Main" w:hAnsi="MathJax_Main"/>
          <w:b/>
          <w:color w:val="555555"/>
          <w:sz w:val="18"/>
          <w:szCs w:val="18"/>
          <w:shd w:val="clear" w:color="auto" w:fill="FFFFFF"/>
        </w:rPr>
        <w:t>)</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 plot of these data is shown in</w:t>
      </w:r>
      <w:r>
        <w:rPr>
          <w:rStyle w:val="apple-converted-space"/>
          <w:rFonts w:ascii="Georgia" w:hAnsi="Georgia"/>
          <w:color w:val="333333"/>
          <w:sz w:val="21"/>
          <w:szCs w:val="21"/>
        </w:rPr>
        <w:t> </w:t>
      </w:r>
      <w:r>
        <w:rPr>
          <w:rFonts w:ascii="Georgia" w:hAnsi="Georgia"/>
          <w:color w:val="2689C6"/>
          <w:sz w:val="21"/>
          <w:szCs w:val="21"/>
        </w:rPr>
        <w:t>Figure 10.2 "Plot of Height and Weight Pairs"</w:t>
      </w:r>
      <w:r>
        <w:rPr>
          <w:rFonts w:ascii="Georgia" w:hAnsi="Georgia"/>
          <w:color w:val="333333"/>
          <w:sz w:val="21"/>
          <w:szCs w:val="21"/>
        </w:rPr>
        <w:t>. Such a plot is called a</w:t>
      </w:r>
      <w:r>
        <w:rPr>
          <w:rStyle w:val="apple-converted-space"/>
          <w:rFonts w:ascii="Georgia" w:hAnsi="Georgia"/>
          <w:color w:val="333333"/>
          <w:sz w:val="21"/>
          <w:szCs w:val="21"/>
        </w:rPr>
        <w:t> </w:t>
      </w:r>
      <w:r>
        <w:rPr>
          <w:rStyle w:val="Strong"/>
          <w:rFonts w:ascii="Georgia" w:hAnsi="Georgia"/>
          <w:color w:val="333333"/>
          <w:sz w:val="20"/>
          <w:szCs w:val="20"/>
        </w:rPr>
        <w:t>scatter diagram</w:t>
      </w:r>
      <w:r>
        <w:rPr>
          <w:rStyle w:val="apple-converted-space"/>
          <w:rFonts w:ascii="Georgia" w:hAnsi="Georgia"/>
          <w:color w:val="333333"/>
          <w:sz w:val="21"/>
          <w:szCs w:val="21"/>
        </w:rPr>
        <w:t> </w:t>
      </w:r>
      <w:r>
        <w:rPr>
          <w:rFonts w:ascii="Georgia" w:hAnsi="Georgia"/>
          <w:color w:val="333333"/>
          <w:sz w:val="21"/>
          <w:szCs w:val="21"/>
        </w:rPr>
        <w:t>or</w:t>
      </w:r>
      <w:r>
        <w:rPr>
          <w:rStyle w:val="apple-converted-space"/>
          <w:rFonts w:ascii="Georgia" w:hAnsi="Georgia"/>
          <w:color w:val="333333"/>
          <w:sz w:val="21"/>
          <w:szCs w:val="21"/>
        </w:rPr>
        <w:t> </w:t>
      </w:r>
      <w:r>
        <w:rPr>
          <w:rStyle w:val="Strong"/>
          <w:rFonts w:ascii="Georgia" w:hAnsi="Georgia"/>
          <w:color w:val="333333"/>
          <w:sz w:val="20"/>
          <w:szCs w:val="20"/>
        </w:rPr>
        <w:t>scatter plot</w:t>
      </w:r>
      <w:r>
        <w:rPr>
          <w:rFonts w:ascii="Georgia" w:hAnsi="Georgia"/>
          <w:color w:val="333333"/>
          <w:sz w:val="21"/>
          <w:szCs w:val="21"/>
        </w:rPr>
        <w:t>. Looking at the plot it is evident that there exists a linear relationship between height</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and weight</w:t>
      </w:r>
      <w:r>
        <w:rPr>
          <w:rStyle w:val="apple-converted-space"/>
          <w:rFonts w:ascii="Georgia" w:hAnsi="Georgia"/>
          <w:color w:val="333333"/>
          <w:sz w:val="21"/>
          <w:szCs w:val="21"/>
        </w:rPr>
        <w:t> </w:t>
      </w:r>
      <w:r>
        <w:rPr>
          <w:rStyle w:val="Emphasis"/>
          <w:rFonts w:ascii="Georgia" w:hAnsi="Georgia"/>
          <w:color w:val="333333"/>
          <w:sz w:val="20"/>
          <w:szCs w:val="20"/>
        </w:rPr>
        <w:t>y</w:t>
      </w:r>
      <w:r>
        <w:rPr>
          <w:rFonts w:ascii="Georgia" w:hAnsi="Georgia"/>
          <w:color w:val="333333"/>
          <w:sz w:val="21"/>
          <w:szCs w:val="21"/>
        </w:rPr>
        <w:t>, but not a perfect one. The points appear to be following a line, but not exactly. There is an element of randomness present.</w:t>
      </w: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t>Figure 10.2</w:t>
      </w:r>
      <w:r>
        <w:rPr>
          <w:rFonts w:ascii="Georgia" w:eastAsia="Times New Roman" w:hAnsi="Georgia" w:cs="Times New Roman"/>
          <w:i/>
          <w:iCs/>
          <w:color w:val="BB9966"/>
          <w:sz w:val="19"/>
          <w:szCs w:val="19"/>
        </w:rPr>
        <w:t> Plot of Height and Weight Pairs</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Calibri" w:hAnsi="Calibri"/>
          <w:noProof/>
          <w:color w:val="2689C6"/>
          <w:sz w:val="26"/>
          <w:szCs w:val="26"/>
          <w:shd w:val="clear" w:color="auto" w:fill="FFFFFF"/>
        </w:rPr>
        <w:drawing>
          <wp:inline distT="0" distB="0" distL="0" distR="0" wp14:anchorId="39DD1725" wp14:editId="71CDAD05">
            <wp:extent cx="4705350" cy="3667125"/>
            <wp:effectExtent l="0" t="0" r="0" b="9525"/>
            <wp:docPr id="376" name="Picture 389" descr="http://images.flatworldknowledge.com/shafer/shafer-fig1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images.flatworldknowledge.com/shafer/shafer-fig10_002.jpg"/>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4705350" cy="3667125"/>
                    </a:xfrm>
                    <a:prstGeom prst="rect">
                      <a:avLst/>
                    </a:prstGeom>
                    <a:noFill/>
                    <a:ln>
                      <a:noFill/>
                    </a:ln>
                  </pic:spPr>
                </pic:pic>
              </a:graphicData>
            </a:graphic>
          </wp:inline>
        </w:drawing>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In this chapter we will analyze situations in which variables </w:t>
      </w:r>
      <w:r>
        <w:rPr>
          <w:rFonts w:ascii="Georgia" w:eastAsia="Times New Roman" w:hAnsi="Georgia" w:cs="Times New Roman"/>
          <w:i/>
          <w:iCs/>
          <w:color w:val="333333"/>
          <w:sz w:val="20"/>
          <w:szCs w:val="20"/>
        </w:rPr>
        <w:t>x</w:t>
      </w:r>
      <w:r>
        <w:rPr>
          <w:rFonts w:ascii="Georgia" w:eastAsia="Times New Roman" w:hAnsi="Georgia" w:cs="Times New Roman"/>
          <w:color w:val="333333"/>
          <w:sz w:val="21"/>
          <w:szCs w:val="21"/>
        </w:rPr>
        <w:t> and </w:t>
      </w:r>
      <w:r>
        <w:rPr>
          <w:rFonts w:ascii="Georgia" w:eastAsia="Times New Roman" w:hAnsi="Georgia" w:cs="Times New Roman"/>
          <w:i/>
          <w:iCs/>
          <w:color w:val="333333"/>
          <w:sz w:val="20"/>
          <w:szCs w:val="20"/>
        </w:rPr>
        <w:t>y</w:t>
      </w:r>
      <w:r>
        <w:rPr>
          <w:rFonts w:ascii="Georgia" w:eastAsia="Times New Roman" w:hAnsi="Georgia" w:cs="Times New Roman"/>
          <w:color w:val="333333"/>
          <w:sz w:val="21"/>
          <w:szCs w:val="21"/>
        </w:rPr>
        <w:t> exhibit such a linear relationship with randomness. The level of randomness will vary from situation to situation. In the introductory example connecting an electric current and the level of carbon monoxide in air, the relationship is almost perfect. In other situations, such as the height and weights of individuals, the connection between the two variables involves a high degree of randomness. In the next section we will see how to quantify the strength of the linear relationship between two variables.</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39892F"/>
        <w:spacing w:after="150" w:line="360" w:lineRule="auto"/>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rsidR="00AD77BB" w:rsidRDefault="00B45BA0">
      <w:pPr>
        <w:numPr>
          <w:ilvl w:val="0"/>
          <w:numId w:val="254"/>
        </w:numPr>
        <w:shd w:val="clear" w:color="auto" w:fill="ECF9EA"/>
        <w:spacing w:after="0"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Two variables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have a deterministic linear relationship if points plotted from </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y</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pairs lie exactly along a single straight line.</w:t>
      </w:r>
    </w:p>
    <w:p w:rsidR="00AD77BB" w:rsidRDefault="00B45BA0">
      <w:pPr>
        <w:numPr>
          <w:ilvl w:val="0"/>
          <w:numId w:val="254"/>
        </w:numPr>
        <w:shd w:val="clear" w:color="auto" w:fill="ECF9EA"/>
        <w:spacing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practice it is common for two variables to exhibit a relationship that is close to linear but which contains an element, possibly large, of randomness.</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EXERCISES</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BASIC</w:t>
      </w:r>
    </w:p>
    <w:p w:rsidR="00AD77BB" w:rsidRDefault="00B45BA0">
      <w:pPr>
        <w:numPr>
          <w:ilvl w:val="0"/>
          <w:numId w:val="255"/>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line has equation </w:t>
      </w:r>
      <w:r>
        <w:rPr>
          <w:rFonts w:ascii="MathJax_Math" w:eastAsia="Times New Roman" w:hAnsi="MathJax_Math" w:cs="Times New Roman"/>
          <w:i/>
          <w:iCs/>
          <w:color w:val="333333"/>
          <w:sz w:val="15"/>
          <w:szCs w:val="15"/>
        </w:rPr>
        <w:t>y</w:t>
      </w:r>
      <w:r>
        <w:rPr>
          <w:rFonts w:ascii="MathJax_Main" w:eastAsia="Times New Roman" w:hAnsi="MathJax_Main" w:cs="Times New Roman"/>
          <w:color w:val="333333"/>
          <w:sz w:val="15"/>
          <w:szCs w:val="15"/>
        </w:rPr>
        <w:t>=0.5</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+2.</w:t>
      </w:r>
    </w:p>
    <w:p w:rsidR="00AD77BB" w:rsidRDefault="00B45BA0">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Pick five distinct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-values, use the equation to compute the corresponding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-values, and plot the five points obtained.</w:t>
      </w:r>
    </w:p>
    <w:p w:rsidR="00AD77BB" w:rsidRDefault="00B45BA0">
      <w:pPr>
        <w:pStyle w:val="ListParagraph"/>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Give the value of the slope of the line; give the value of the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-intercept.</w:t>
      </w:r>
    </w:p>
    <w:p w:rsidR="00AD77BB" w:rsidRDefault="00B45BA0">
      <w:pPr>
        <w:numPr>
          <w:ilvl w:val="0"/>
          <w:numId w:val="255"/>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line has equation </w:t>
      </w:r>
      <w:r>
        <w:rPr>
          <w:rFonts w:ascii="MathJax_Math" w:eastAsia="Times New Roman" w:hAnsi="MathJax_Math" w:cs="Times New Roman"/>
          <w:i/>
          <w:iCs/>
          <w:color w:val="333333"/>
          <w:sz w:val="15"/>
          <w:szCs w:val="15"/>
        </w:rPr>
        <w:t>y</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−0.5.</w:t>
      </w:r>
    </w:p>
    <w:p w:rsidR="00AD77BB" w:rsidRDefault="00B45BA0">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Pick five distinct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-values, use the equation to compute the corresponding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-values, and plot the five points obtained.</w:t>
      </w:r>
    </w:p>
    <w:p w:rsidR="00AD77BB" w:rsidRDefault="00B45BA0">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the value of the slope of the line; give the value of the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-intercept.</w:t>
      </w:r>
    </w:p>
    <w:p w:rsidR="00AD77BB" w:rsidRDefault="00B45BA0">
      <w:pPr>
        <w:numPr>
          <w:ilvl w:val="0"/>
          <w:numId w:val="255"/>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line has equation </w:t>
      </w:r>
      <w:r>
        <w:rPr>
          <w:rFonts w:ascii="MathJax_Math" w:eastAsia="Times New Roman" w:hAnsi="MathJax_Math" w:cs="Times New Roman"/>
          <w:i/>
          <w:iCs/>
          <w:color w:val="333333"/>
          <w:sz w:val="15"/>
          <w:szCs w:val="15"/>
        </w:rPr>
        <w:t>y</w:t>
      </w:r>
      <w:r>
        <w:rPr>
          <w:rFonts w:ascii="MathJax_Main" w:eastAsia="Times New Roman" w:hAnsi="MathJax_Main" w:cs="Times New Roman"/>
          <w:color w:val="333333"/>
          <w:sz w:val="15"/>
          <w:szCs w:val="15"/>
        </w:rPr>
        <w:t>=−2</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+4.</w:t>
      </w:r>
    </w:p>
    <w:p w:rsidR="00AD77BB" w:rsidRDefault="00B45BA0">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Pick five distinct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-values, use the equation to compute the corresponding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-values, and plot the five points obtained.</w:t>
      </w:r>
    </w:p>
    <w:p w:rsidR="00AD77BB" w:rsidRDefault="00B45BA0">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the value of the slope of the line; give the value of the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-intercept.</w:t>
      </w:r>
    </w:p>
    <w:p w:rsidR="00AD77BB" w:rsidRDefault="00B45BA0">
      <w:pPr>
        <w:numPr>
          <w:ilvl w:val="0"/>
          <w:numId w:val="255"/>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line has equation </w:t>
      </w:r>
      <w:r>
        <w:rPr>
          <w:rFonts w:ascii="MathJax_Math" w:eastAsia="Times New Roman" w:hAnsi="MathJax_Math" w:cs="Times New Roman"/>
          <w:i/>
          <w:iCs/>
          <w:color w:val="333333"/>
          <w:sz w:val="15"/>
          <w:szCs w:val="15"/>
        </w:rPr>
        <w:t>y</w:t>
      </w:r>
      <w:r>
        <w:rPr>
          <w:rFonts w:ascii="MathJax_Main" w:eastAsia="Times New Roman" w:hAnsi="MathJax_Main" w:cs="Times New Roman"/>
          <w:color w:val="333333"/>
          <w:sz w:val="15"/>
          <w:szCs w:val="15"/>
        </w:rPr>
        <w:t>=−1.5</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+1.</w:t>
      </w:r>
    </w:p>
    <w:p w:rsidR="00AD77BB" w:rsidRDefault="00B45BA0">
      <w:pPr>
        <w:pStyle w:val="ListParagraph"/>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Pick five distinct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-values, use the equation to compute the corresponding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-values, and plot the five points obtained.</w:t>
      </w:r>
    </w:p>
    <w:p w:rsidR="00AD77BB" w:rsidRDefault="00B45BA0">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Give the value of the slope of the line; give the value of the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-intercept.</w:t>
      </w:r>
    </w:p>
    <w:p w:rsidR="00AD77BB" w:rsidRDefault="00B45BA0">
      <w:pPr>
        <w:numPr>
          <w:ilvl w:val="0"/>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Based on the information given about a line, determine how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will change (increase, decrease, or stay the same) when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increased, and explain. In some cases it might be impossible to tell from the information given.</w:t>
      </w:r>
    </w:p>
    <w:p w:rsidR="00AD77BB" w:rsidRDefault="00B45BA0">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slope is positive.</w:t>
      </w:r>
    </w:p>
    <w:p w:rsidR="00AD77BB" w:rsidRDefault="00B45BA0">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The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-intercept is positive.</w:t>
      </w:r>
    </w:p>
    <w:p w:rsidR="00AD77BB" w:rsidRDefault="00B45BA0">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slope is zero.</w:t>
      </w:r>
    </w:p>
    <w:p w:rsidR="00AD77BB" w:rsidRDefault="00B45BA0">
      <w:pPr>
        <w:numPr>
          <w:ilvl w:val="0"/>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Based on the information given about a line, determine how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will change (increase, decrease, or stay the same) when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increased, and explain. In some cases it might be impossible to tell from the information given.</w:t>
      </w:r>
    </w:p>
    <w:p w:rsidR="00AD77BB" w:rsidRDefault="00B45BA0">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-intercept is negative.</w:t>
      </w:r>
    </w:p>
    <w:p w:rsidR="00AD77BB" w:rsidRDefault="00B45BA0">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-intercept is zero.</w:t>
      </w:r>
    </w:p>
    <w:p w:rsidR="00AD77BB" w:rsidRDefault="00B45BA0">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slope is negative.</w:t>
      </w:r>
    </w:p>
    <w:p w:rsidR="00AD77BB" w:rsidRDefault="00B45BA0">
      <w:pPr>
        <w:numPr>
          <w:ilvl w:val="0"/>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data set consists of eight </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y</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pairs of numbers:</w:t>
      </w:r>
    </w:p>
    <w:p w:rsidR="00AD77BB" w:rsidRDefault="00B45BA0">
      <w:pPr>
        <w:shd w:val="clear" w:color="auto" w:fill="DAEEF3" w:themeFill="accent5" w:themeFillTint="33"/>
        <w:spacing w:after="0" w:line="360" w:lineRule="auto"/>
        <w:ind w:left="450"/>
        <w:jc w:val="center"/>
        <w:textAlignment w:val="baseline"/>
        <w:rPr>
          <w:rFonts w:ascii="Calibri" w:eastAsia="Times New Roman" w:hAnsi="Calibri" w:cs="Times New Roman"/>
          <w:color w:val="333333"/>
          <w:sz w:val="20"/>
          <w:szCs w:val="20"/>
        </w:rPr>
      </w:pPr>
      <w:r>
        <w:rPr>
          <w:rFonts w:ascii="MathJax_Main" w:eastAsia="Times New Roman" w:hAnsi="MathJax_Main" w:cs="Times New Roman"/>
          <w:color w:val="333333"/>
          <w:sz w:val="15"/>
          <w:szCs w:val="15"/>
        </w:rPr>
        <w:t>(0,12)(2,15)(4,16)(5,14)(8,22)(13,24)(15,28)(20,30)</w:t>
      </w:r>
    </w:p>
    <w:p w:rsidR="00AD77BB" w:rsidRDefault="00B45BA0">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Plot the data in a scatter diagram.</w:t>
      </w:r>
    </w:p>
    <w:p w:rsidR="00AD77BB" w:rsidRDefault="00B45BA0">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Based on the plot, explain whether the relationship between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appears to be deterministic or to involve randomness.</w:t>
      </w:r>
    </w:p>
    <w:p w:rsidR="00AD77BB" w:rsidRDefault="00B45BA0">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Based on the plot, explain whether the relationship between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appears to be linear or not linear.</w:t>
      </w:r>
    </w:p>
    <w:p w:rsidR="00AD77BB" w:rsidRDefault="00B45BA0">
      <w:pPr>
        <w:numPr>
          <w:ilvl w:val="0"/>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data set consists of ten </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y</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pairs of numbers:</w:t>
      </w:r>
    </w:p>
    <w:p w:rsidR="00AD77BB" w:rsidRDefault="00B45BA0">
      <w:pPr>
        <w:shd w:val="clear" w:color="auto" w:fill="DAEEF3" w:themeFill="accent5" w:themeFillTint="33"/>
        <w:spacing w:after="0" w:line="360" w:lineRule="auto"/>
        <w:ind w:left="450"/>
        <w:jc w:val="center"/>
        <w:textAlignment w:val="baseline"/>
        <w:rPr>
          <w:rFonts w:ascii="Calibri" w:eastAsia="Times New Roman" w:hAnsi="Calibri" w:cs="Times New Roman"/>
          <w:color w:val="333333"/>
          <w:sz w:val="20"/>
          <w:szCs w:val="20"/>
        </w:rPr>
      </w:pPr>
      <w:r>
        <w:rPr>
          <w:rFonts w:ascii="MathJax_Main" w:eastAsia="Times New Roman" w:hAnsi="MathJax_Main" w:cs="Times New Roman"/>
          <w:color w:val="333333"/>
          <w:sz w:val="15"/>
          <w:szCs w:val="15"/>
        </w:rPr>
        <w:t>(3,20)(5,13)(6,9)(8,4)(11,0)(12,0)(14,1)(17,6)(18,9)(20,16)</w:t>
      </w:r>
    </w:p>
    <w:p w:rsidR="00AD77BB" w:rsidRDefault="00B45BA0">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Plot the data in a scatter diagram.</w:t>
      </w:r>
    </w:p>
    <w:p w:rsidR="00AD77BB" w:rsidRDefault="00B45BA0">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Based on the plot, explain whether the relationship between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appears to be deterministic or to involve randomness.</w:t>
      </w:r>
    </w:p>
    <w:p w:rsidR="00AD77BB" w:rsidRDefault="00B45BA0">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Based on the plot, explain whether the relationship between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appears to be linear or not linear.</w:t>
      </w:r>
    </w:p>
    <w:p w:rsidR="00AD77BB" w:rsidRDefault="00B45BA0">
      <w:pPr>
        <w:numPr>
          <w:ilvl w:val="0"/>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data set consists of nine </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y</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pairs of numbers:</w:t>
      </w:r>
    </w:p>
    <w:p w:rsidR="00AD77BB" w:rsidRDefault="00B45BA0">
      <w:pPr>
        <w:shd w:val="clear" w:color="auto" w:fill="DAEEF3" w:themeFill="accent5" w:themeFillTint="33"/>
        <w:spacing w:after="0" w:line="360" w:lineRule="auto"/>
        <w:ind w:left="450"/>
        <w:jc w:val="center"/>
        <w:textAlignment w:val="baseline"/>
        <w:rPr>
          <w:rFonts w:ascii="Calibri" w:eastAsia="Times New Roman" w:hAnsi="Calibri" w:cs="Times New Roman"/>
          <w:color w:val="333333"/>
          <w:sz w:val="20"/>
          <w:szCs w:val="20"/>
        </w:rPr>
      </w:pPr>
      <w:r>
        <w:rPr>
          <w:rFonts w:ascii="MathJax_Main" w:eastAsia="Times New Roman" w:hAnsi="MathJax_Main" w:cs="Times New Roman"/>
          <w:color w:val="333333"/>
          <w:sz w:val="15"/>
          <w:szCs w:val="15"/>
        </w:rPr>
        <w:t>(8,16)(9,9)(10,4)(11,1)(12,0)(13,1)(14,4)(15,9)(16,16)</w:t>
      </w:r>
    </w:p>
    <w:p w:rsidR="00AD77BB" w:rsidRDefault="00B45BA0">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Plot the data in a scatter diagram.</w:t>
      </w:r>
    </w:p>
    <w:p w:rsidR="00AD77BB" w:rsidRDefault="00B45BA0">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Based on the plot, explain whether the relationship between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appears to be deterministic or to involve randomness.</w:t>
      </w:r>
    </w:p>
    <w:p w:rsidR="00AD77BB" w:rsidRDefault="00B45BA0">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Based on the plot, explain whether the relationship between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appears to be linear or not linear.</w:t>
      </w:r>
    </w:p>
    <w:p w:rsidR="00AD77BB" w:rsidRDefault="00B45BA0">
      <w:pPr>
        <w:numPr>
          <w:ilvl w:val="0"/>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data set consists of five </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y</w:t>
      </w:r>
      <w:r>
        <w:rPr>
          <w:rFonts w:ascii="MathJax_Main" w:eastAsia="Times New Roman" w:hAnsi="MathJax_Main" w:cs="Times New Roman"/>
          <w:color w:val="333333"/>
          <w:sz w:val="15"/>
          <w:szCs w:val="15"/>
        </w:rPr>
        <w:t>)</w:t>
      </w:r>
      <w:r>
        <w:rPr>
          <w:rFonts w:ascii="Calibri" w:eastAsia="Times New Roman" w:hAnsi="Calibri" w:cs="Times New Roman"/>
          <w:color w:val="333333"/>
          <w:sz w:val="20"/>
          <w:szCs w:val="20"/>
        </w:rPr>
        <w:t> pairs of numbers:</w:t>
      </w:r>
    </w:p>
    <w:p w:rsidR="00AD77BB" w:rsidRDefault="00B45BA0">
      <w:pPr>
        <w:shd w:val="clear" w:color="auto" w:fill="DAEEF3" w:themeFill="accent5" w:themeFillTint="33"/>
        <w:spacing w:after="0" w:line="360" w:lineRule="auto"/>
        <w:ind w:left="450"/>
        <w:jc w:val="center"/>
        <w:textAlignment w:val="baseline"/>
        <w:rPr>
          <w:rFonts w:ascii="Calibri" w:eastAsia="Times New Roman" w:hAnsi="Calibri" w:cs="Times New Roman"/>
          <w:color w:val="333333"/>
          <w:sz w:val="20"/>
          <w:szCs w:val="20"/>
        </w:rPr>
      </w:pPr>
      <w:r>
        <w:rPr>
          <w:rFonts w:ascii="MathJax_Main" w:eastAsia="Times New Roman" w:hAnsi="MathJax_Main" w:cs="Times New Roman"/>
          <w:color w:val="333333"/>
          <w:sz w:val="15"/>
          <w:szCs w:val="15"/>
        </w:rPr>
        <w:t>(0,1)</w:t>
      </w:r>
      <w:r>
        <w:rPr>
          <w:rFonts w:ascii="MathJax_Main" w:eastAsia="Times New Roman" w:hAnsi="MathJax_Main" w:cs="Times New Roman"/>
          <w:color w:val="333333"/>
          <w:sz w:val="15"/>
          <w:szCs w:val="15"/>
        </w:rPr>
        <w:t> </w:t>
      </w:r>
      <w:r>
        <w:rPr>
          <w:rFonts w:ascii="MathJax_Main" w:eastAsia="Times New Roman" w:hAnsi="MathJax_Main" w:cs="Times New Roman"/>
          <w:color w:val="333333"/>
          <w:sz w:val="15"/>
          <w:szCs w:val="15"/>
        </w:rPr>
        <w:t>(2,5)</w:t>
      </w:r>
      <w:r>
        <w:rPr>
          <w:rFonts w:ascii="MathJax_Main" w:eastAsia="Times New Roman" w:hAnsi="MathJax_Main" w:cs="Times New Roman"/>
          <w:color w:val="333333"/>
          <w:sz w:val="15"/>
          <w:szCs w:val="15"/>
        </w:rPr>
        <w:t> </w:t>
      </w:r>
      <w:r>
        <w:rPr>
          <w:rFonts w:ascii="MathJax_Main" w:eastAsia="Times New Roman" w:hAnsi="MathJax_Main" w:cs="Times New Roman"/>
          <w:color w:val="333333"/>
          <w:sz w:val="15"/>
          <w:szCs w:val="15"/>
        </w:rPr>
        <w:t>(3,7)</w:t>
      </w:r>
      <w:r>
        <w:rPr>
          <w:rFonts w:ascii="MathJax_Main" w:eastAsia="Times New Roman" w:hAnsi="MathJax_Main" w:cs="Times New Roman"/>
          <w:color w:val="333333"/>
          <w:sz w:val="15"/>
          <w:szCs w:val="15"/>
        </w:rPr>
        <w:t> </w:t>
      </w:r>
      <w:r>
        <w:rPr>
          <w:rFonts w:ascii="MathJax_Main" w:eastAsia="Times New Roman" w:hAnsi="MathJax_Main" w:cs="Times New Roman"/>
          <w:color w:val="333333"/>
          <w:sz w:val="15"/>
          <w:szCs w:val="15"/>
        </w:rPr>
        <w:t>(5,11)</w:t>
      </w:r>
      <w:r>
        <w:rPr>
          <w:rFonts w:ascii="MathJax_Main" w:eastAsia="Times New Roman" w:hAnsi="MathJax_Main" w:cs="Times New Roman"/>
          <w:color w:val="333333"/>
          <w:sz w:val="15"/>
          <w:szCs w:val="15"/>
        </w:rPr>
        <w:t> </w:t>
      </w:r>
      <w:r>
        <w:rPr>
          <w:rFonts w:ascii="MathJax_Main" w:eastAsia="Times New Roman" w:hAnsi="MathJax_Main" w:cs="Times New Roman"/>
          <w:color w:val="333333"/>
          <w:sz w:val="15"/>
          <w:szCs w:val="15"/>
        </w:rPr>
        <w:t>(8,17)</w:t>
      </w:r>
    </w:p>
    <w:p w:rsidR="00AD77BB" w:rsidRDefault="00B45BA0">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Plot the data in a scatter diagram.</w:t>
      </w:r>
    </w:p>
    <w:p w:rsidR="00AD77BB" w:rsidRDefault="00B45BA0">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Based on the plot, explain whether the relationship between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appears to be deterministic or to involve randomness.</w:t>
      </w:r>
    </w:p>
    <w:p w:rsidR="00AD77BB" w:rsidRDefault="00B45BA0">
      <w:pPr>
        <w:numPr>
          <w:ilvl w:val="1"/>
          <w:numId w:val="25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Based on the plot, explain whether the relationship between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appears to be linear or not linear.</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lastRenderedPageBreak/>
        <w:t>APPLICATIONS</w:t>
      </w:r>
    </w:p>
    <w:p w:rsidR="00AD77BB" w:rsidRDefault="00B45BA0">
      <w:pPr>
        <w:numPr>
          <w:ilvl w:val="0"/>
          <w:numId w:val="256"/>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At 60°F a particular blend of automotive gasoline weights 6.17 lb/gal. The weight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of gasoline on a tank truck that is loaded with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gallons of gasoline is given by the linear equation</w:t>
      </w:r>
    </w:p>
    <w:p w:rsidR="00AD77BB" w:rsidRDefault="00B45BA0">
      <w:pPr>
        <w:shd w:val="clear" w:color="auto" w:fill="DAEEF3" w:themeFill="accent5" w:themeFillTint="33"/>
        <w:spacing w:after="0" w:line="439" w:lineRule="atLeast"/>
        <w:ind w:left="450"/>
        <w:jc w:val="center"/>
        <w:textAlignment w:val="baseline"/>
        <w:rPr>
          <w:rFonts w:ascii="Calibri" w:eastAsia="Times New Roman" w:hAnsi="Calibri" w:cs="Times New Roman"/>
          <w:color w:val="333333"/>
          <w:sz w:val="20"/>
          <w:szCs w:val="20"/>
        </w:rPr>
      </w:pPr>
      <w:r>
        <w:rPr>
          <w:rFonts w:ascii="MathJax_Math" w:eastAsia="Times New Roman" w:hAnsi="MathJax_Math" w:cs="Times New Roman"/>
          <w:i/>
          <w:iCs/>
          <w:color w:val="333333"/>
          <w:sz w:val="15"/>
          <w:szCs w:val="15"/>
        </w:rPr>
        <w:t>y</w:t>
      </w:r>
      <w:r>
        <w:rPr>
          <w:rFonts w:ascii="MathJax_Main" w:eastAsia="Times New Roman" w:hAnsi="MathJax_Main" w:cs="Times New Roman"/>
          <w:color w:val="333333"/>
          <w:sz w:val="15"/>
          <w:szCs w:val="15"/>
        </w:rPr>
        <w:t>=6.17</w:t>
      </w:r>
      <w:r>
        <w:rPr>
          <w:rFonts w:ascii="MathJax_Math" w:eastAsia="Times New Roman" w:hAnsi="MathJax_Math" w:cs="Times New Roman"/>
          <w:i/>
          <w:iCs/>
          <w:color w:val="333333"/>
          <w:sz w:val="15"/>
          <w:szCs w:val="15"/>
        </w:rPr>
        <w:t>x</w:t>
      </w:r>
    </w:p>
    <w:p w:rsidR="00AD77BB" w:rsidRDefault="00B45BA0">
      <w:pPr>
        <w:numPr>
          <w:ilvl w:val="1"/>
          <w:numId w:val="25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Explain whether the relationship between the weight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and the amount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of gasoline is deterministic or contains an element of randomness.</w:t>
      </w:r>
    </w:p>
    <w:p w:rsidR="00AD77BB" w:rsidRDefault="00B45BA0">
      <w:pPr>
        <w:numPr>
          <w:ilvl w:val="1"/>
          <w:numId w:val="25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Predict the weight of gasoline on a tank truck that has just been loaded with 6,750 gallons of gasoline.</w:t>
      </w:r>
    </w:p>
    <w:p w:rsidR="00AD77BB" w:rsidRDefault="00B45BA0">
      <w:pPr>
        <w:numPr>
          <w:ilvl w:val="0"/>
          <w:numId w:val="256"/>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rate for renting a motor scooter for one day at a beach resort area is $25 plus 30 cents for each mile the scooter is driven. The total cost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in dollars for renting a scooter and driving it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miles is</w:t>
      </w:r>
    </w:p>
    <w:p w:rsidR="00AD77BB" w:rsidRDefault="00B45BA0">
      <w:pPr>
        <w:shd w:val="clear" w:color="auto" w:fill="DAEEF3" w:themeFill="accent5" w:themeFillTint="33"/>
        <w:spacing w:after="0" w:line="439" w:lineRule="atLeast"/>
        <w:ind w:left="450"/>
        <w:jc w:val="center"/>
        <w:textAlignment w:val="baseline"/>
        <w:rPr>
          <w:rFonts w:ascii="Calibri" w:eastAsia="Times New Roman" w:hAnsi="Calibri" w:cs="Times New Roman"/>
          <w:color w:val="333333"/>
          <w:sz w:val="20"/>
          <w:szCs w:val="20"/>
        </w:rPr>
      </w:pPr>
      <w:r>
        <w:rPr>
          <w:rFonts w:ascii="MathJax_Math" w:eastAsia="Times New Roman" w:hAnsi="MathJax_Math" w:cs="Times New Roman"/>
          <w:i/>
          <w:iCs/>
          <w:color w:val="333333"/>
          <w:sz w:val="15"/>
          <w:szCs w:val="15"/>
        </w:rPr>
        <w:t>y</w:t>
      </w:r>
      <w:r>
        <w:rPr>
          <w:rFonts w:ascii="MathJax_Main" w:eastAsia="Times New Roman" w:hAnsi="MathJax_Main" w:cs="Times New Roman"/>
          <w:color w:val="333333"/>
          <w:sz w:val="15"/>
          <w:szCs w:val="15"/>
        </w:rPr>
        <w:t>=0.30</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+25</w:t>
      </w:r>
    </w:p>
    <w:p w:rsidR="00AD77BB" w:rsidRDefault="00B45BA0">
      <w:pPr>
        <w:numPr>
          <w:ilvl w:val="1"/>
          <w:numId w:val="25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Explain whether the relationship between the cost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of renting the scooter for a day and the distance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that the scooter is driven that day is deterministic or contains an element of randomness.</w:t>
      </w:r>
    </w:p>
    <w:p w:rsidR="00AD77BB" w:rsidRDefault="00B45BA0">
      <w:pPr>
        <w:numPr>
          <w:ilvl w:val="1"/>
          <w:numId w:val="25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person intends to rent a scooter one day for a trip to an attraction 17 miles away. Assuming that the total distance the scooter is driven is 34 miles, predict the cost of the rental.</w:t>
      </w:r>
    </w:p>
    <w:p w:rsidR="00AD77BB" w:rsidRDefault="00B45BA0">
      <w:pPr>
        <w:numPr>
          <w:ilvl w:val="0"/>
          <w:numId w:val="256"/>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pricing schedule for labor on a service call by an elevator repair company is $150 plus $50 per hour on site.</w:t>
      </w:r>
    </w:p>
    <w:p w:rsidR="00AD77BB" w:rsidRDefault="00B45BA0">
      <w:pPr>
        <w:numPr>
          <w:ilvl w:val="1"/>
          <w:numId w:val="25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Write down the linear equation that relates the labor cost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to the number of hours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that the repairman is on site.</w:t>
      </w:r>
    </w:p>
    <w:p w:rsidR="00AD77BB" w:rsidRDefault="00B45BA0">
      <w:pPr>
        <w:numPr>
          <w:ilvl w:val="1"/>
          <w:numId w:val="25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Calculate the labor cost for a service call that lasts 2.5 hours.</w:t>
      </w:r>
    </w:p>
    <w:p w:rsidR="00AD77BB" w:rsidRDefault="00B45BA0">
      <w:pPr>
        <w:numPr>
          <w:ilvl w:val="0"/>
          <w:numId w:val="256"/>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cost of a telephone call made through a leased line service is 2.5 cents per minute.</w:t>
      </w:r>
    </w:p>
    <w:p w:rsidR="00AD77BB" w:rsidRDefault="00B45BA0">
      <w:pPr>
        <w:numPr>
          <w:ilvl w:val="1"/>
          <w:numId w:val="25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Write down the linear equation that relates the cost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(in cents) of a call to its length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w:t>
      </w:r>
    </w:p>
    <w:p w:rsidR="00AD77BB" w:rsidRDefault="00B45BA0">
      <w:pPr>
        <w:numPr>
          <w:ilvl w:val="1"/>
          <w:numId w:val="256"/>
        </w:numPr>
        <w:shd w:val="clear" w:color="auto" w:fill="DAEEF3" w:themeFill="accent5" w:themeFillTint="33"/>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Calculate the cost of a call that lasts 23 minutes.</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LARGE DATA SET EXERCISES</w:t>
      </w:r>
    </w:p>
    <w:p w:rsidR="00AD77BB" w:rsidRDefault="00B45BA0">
      <w:pPr>
        <w:numPr>
          <w:ilvl w:val="0"/>
          <w:numId w:val="257"/>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Large Data Set 1 lists the SAT scores and GPAs of 1,000 students. Plot the scatter diagram with SAT score as the independent variable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and GPA as the dependent variable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Comment on the appearance and strength of any linear trend.</w:t>
      </w:r>
    </w:p>
    <w:p w:rsidR="00AD77BB" w:rsidRDefault="00B45BA0">
      <w:p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http://www.1.xls</w:t>
      </w:r>
    </w:p>
    <w:p w:rsidR="00AD77BB" w:rsidRDefault="00B45BA0">
      <w:pPr>
        <w:numPr>
          <w:ilvl w:val="0"/>
          <w:numId w:val="257"/>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Large Data Set 12 lists the golf scores on one round of golf for 75 golfers first using their own original clubs, then using clubs of a new, experimental design (after two months of familiarization with the new clubs). Plot the scatter diagram with golf score using the original clubs as the independent variable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and golf score using the new clubs as the dependent variable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Comment on the appearance and strength of any linear trend.</w:t>
      </w:r>
    </w:p>
    <w:p w:rsidR="00AD77BB" w:rsidRDefault="00B45BA0">
      <w:p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http://www.12.xls</w:t>
      </w:r>
    </w:p>
    <w:p w:rsidR="00AD77BB" w:rsidRDefault="00B45BA0">
      <w:pPr>
        <w:numPr>
          <w:ilvl w:val="0"/>
          <w:numId w:val="257"/>
        </w:num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Large Data Set 13 records the number of bidders and sales price of a particular type of antique grandfather clock at 60 auctions. Plot the scatter diagram with the number of bidders at the auction as the independent variable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and the sales price as the dependent variable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Comment on the appearance and strength of any linear trend.</w:t>
      </w:r>
    </w:p>
    <w:p w:rsidR="00AD77BB" w:rsidRDefault="00B45BA0">
      <w:pPr>
        <w:shd w:val="clear" w:color="auto" w:fill="DAEEF3" w:themeFill="accent5" w:themeFillTint="33"/>
        <w:spacing w:after="0" w:line="439" w:lineRule="atLeast"/>
        <w:ind w:left="450"/>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http://www.13.</w:t>
      </w:r>
      <w:r>
        <w:rPr>
          <w:rFonts w:ascii="Calibri" w:eastAsia="Times New Roman" w:hAnsi="Calibri" w:cs="Times New Roman"/>
          <w:color w:val="333333"/>
          <w:sz w:val="20"/>
          <w:szCs w:val="20"/>
        </w:rPr>
        <w:t>xls</w:t>
      </w:r>
    </w:p>
    <w:p w:rsidR="00AD77BB" w:rsidRDefault="00AD77BB">
      <w:pPr>
        <w:shd w:val="clear" w:color="auto" w:fill="DAEEF3" w:themeFill="accent5" w:themeFillTint="33"/>
        <w:spacing w:after="0" w:line="360" w:lineRule="auto"/>
        <w:ind w:left="1440"/>
        <w:textAlignment w:val="baseline"/>
        <w:rPr>
          <w:rFonts w:ascii="Calibri" w:eastAsia="Times New Roman" w:hAnsi="Calibri" w:cs="Times New Roman"/>
          <w:color w:val="333333"/>
          <w:sz w:val="20"/>
          <w:szCs w:val="20"/>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shd w:val="clear" w:color="auto" w:fill="FFFFFF"/>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D2DB6DE" wp14:editId="0DCD41E3">
            <wp:extent cx="5105400" cy="6305550"/>
            <wp:effectExtent l="0" t="0" r="0" b="0"/>
            <wp:docPr id="377"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105400" cy="6305550"/>
                    </a:xfrm>
                    <a:prstGeom prst="rect">
                      <a:avLst/>
                    </a:prstGeom>
                    <a:noFill/>
                    <a:ln>
                      <a:noFill/>
                    </a:ln>
                  </pic:spPr>
                </pic:pic>
              </a:graphicData>
            </a:graphic>
          </wp:inline>
        </w:drawing>
      </w:r>
    </w:p>
    <w:p w:rsidR="00AD77BB" w:rsidRDefault="00B45B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10.2</w:t>
      </w:r>
      <w:r>
        <w:rPr>
          <w:rStyle w:val="apple-converted-space"/>
          <w:rFonts w:ascii="Calibri" w:hAnsi="Calibri"/>
          <w:color w:val="333333"/>
        </w:rPr>
        <w:t> </w:t>
      </w:r>
      <w:r>
        <w:rPr>
          <w:rFonts w:ascii="Calibri" w:hAnsi="Calibri"/>
          <w:color w:val="333333"/>
        </w:rPr>
        <w:t>The Linear Correlation Coefficient</w:t>
      </w:r>
    </w:p>
    <w:p w:rsidR="00AD77BB" w:rsidRDefault="00AD77BB"/>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AD77BB" w:rsidRDefault="00B45BA0">
      <w:pPr>
        <w:numPr>
          <w:ilvl w:val="0"/>
          <w:numId w:val="258"/>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To learn what the linear correlation coefficient is, how to compute it, and what it tells us about the relationship between two variables</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Emphasis"/>
          <w:rFonts w:ascii="Calibri" w:hAnsi="Calibri"/>
          <w:color w:val="333333"/>
          <w:sz w:val="20"/>
          <w:szCs w:val="20"/>
        </w:rPr>
        <w:t>y</w:t>
      </w:r>
      <w:r>
        <w:rPr>
          <w:rFonts w:ascii="Calibri" w:hAnsi="Calibri"/>
          <w:color w:val="333333"/>
          <w:sz w:val="20"/>
          <w:szCs w:val="20"/>
        </w:rPr>
        <w:t>.</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eastAsiaTheme="majorEastAsia" w:hAnsi="Georgia"/>
          <w:color w:val="2689C6"/>
          <w:sz w:val="21"/>
          <w:szCs w:val="21"/>
        </w:rPr>
        <w:lastRenderedPageBreak/>
        <w:t>Figure 10.3 "Linear Relationships of Varying Strengths"</w:t>
      </w:r>
      <w:r>
        <w:rPr>
          <w:rStyle w:val="apple-converted-space"/>
          <w:rFonts w:ascii="Georgia" w:hAnsi="Georgia"/>
          <w:color w:val="333333"/>
          <w:sz w:val="21"/>
          <w:szCs w:val="21"/>
        </w:rPr>
        <w:t> </w:t>
      </w:r>
      <w:r>
        <w:rPr>
          <w:rFonts w:ascii="Georgia" w:hAnsi="Georgia"/>
          <w:color w:val="333333"/>
          <w:sz w:val="21"/>
          <w:szCs w:val="21"/>
        </w:rPr>
        <w:t>illustrates linear relationships between two variables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y</w:t>
      </w:r>
      <w:r>
        <w:rPr>
          <w:rStyle w:val="apple-converted-space"/>
          <w:rFonts w:ascii="Georgia" w:hAnsi="Georgia"/>
          <w:color w:val="333333"/>
          <w:sz w:val="21"/>
          <w:szCs w:val="21"/>
        </w:rPr>
        <w:t> </w:t>
      </w:r>
      <w:r>
        <w:rPr>
          <w:rFonts w:ascii="Georgia" w:hAnsi="Georgia"/>
          <w:color w:val="333333"/>
          <w:sz w:val="21"/>
          <w:szCs w:val="21"/>
        </w:rPr>
        <w:t>of varying strengths. It is visually apparent that in the situation in panel (a),</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 xml:space="preserve">could serve as a useful predictor of </w:t>
      </w:r>
      <w:r>
        <w:rPr>
          <w:rStyle w:val="Emphasis"/>
          <w:rFonts w:ascii="Georgia" w:eastAsiaTheme="majorEastAsia" w:hAnsi="Georgia"/>
          <w:color w:val="333333"/>
          <w:sz w:val="20"/>
          <w:szCs w:val="20"/>
        </w:rPr>
        <w:t>y</w:t>
      </w:r>
      <w:r>
        <w:rPr>
          <w:rFonts w:ascii="Georgia" w:hAnsi="Georgia"/>
          <w:color w:val="333333"/>
          <w:sz w:val="21"/>
          <w:szCs w:val="21"/>
        </w:rPr>
        <w:t>, it would be less useful in the situation illustrated in panel (b), and in the situation of panel (c) the linear relationship is so weak as to be practically nonexistent. The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linear correlation coefficient</w:t>
      </w:r>
      <w:r>
        <w:rPr>
          <w:rStyle w:val="apple-converted-space"/>
          <w:rFonts w:ascii="Georgia" w:hAnsi="Georgia"/>
          <w:color w:val="333333"/>
          <w:sz w:val="21"/>
          <w:szCs w:val="21"/>
        </w:rPr>
        <w:t> </w:t>
      </w:r>
      <w:r>
        <w:rPr>
          <w:rFonts w:ascii="Georgia" w:hAnsi="Georgia"/>
          <w:color w:val="333333"/>
          <w:sz w:val="21"/>
          <w:szCs w:val="21"/>
        </w:rPr>
        <w:t>is a number computed directly from the data that measures the strength of the linear relationship between the two variables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and </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y</w:t>
      </w:r>
      <w:r>
        <w:rPr>
          <w:rFonts w:ascii="Georgia" w:hAnsi="Georgia"/>
          <w:color w:val="333333"/>
          <w:sz w:val="21"/>
          <w:szCs w:val="21"/>
        </w:rPr>
        <w:t>.</w:t>
      </w: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t>Figure 10.3</w:t>
      </w:r>
      <w:r>
        <w:rPr>
          <w:rFonts w:ascii="Georgia" w:eastAsia="Times New Roman" w:hAnsi="Georgia" w:cs="Times New Roman"/>
          <w:i/>
          <w:iCs/>
          <w:color w:val="BB9966"/>
          <w:sz w:val="19"/>
          <w:szCs w:val="19"/>
        </w:rPr>
        <w:t> Linear Relationships of Varying Strengths</w:t>
      </w:r>
    </w:p>
    <w:p w:rsidR="00AD77BB" w:rsidRDefault="00B45BA0">
      <w:pPr>
        <w:shd w:val="clear" w:color="auto" w:fill="FFFFFF"/>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2689C6"/>
          <w:sz w:val="26"/>
          <w:szCs w:val="26"/>
          <w:shd w:val="clear" w:color="auto" w:fill="FFFFFF"/>
        </w:rPr>
        <w:drawing>
          <wp:inline distT="0" distB="0" distL="0" distR="0" wp14:anchorId="16654FD9" wp14:editId="47B4FC04">
            <wp:extent cx="5781675" cy="1895475"/>
            <wp:effectExtent l="0" t="0" r="9525" b="9525"/>
            <wp:docPr id="378" name="Picture 391" descr="http://images.flatworldknowledge.com/shafer/shafer-fig1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images.flatworldknowledge.com/shafer/shafer-fig10_003.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781675" cy="1895475"/>
                    </a:xfrm>
                    <a:prstGeom prst="rect">
                      <a:avLst/>
                    </a:prstGeom>
                    <a:noFill/>
                    <a:ln>
                      <a:noFill/>
                    </a:ln>
                  </pic:spPr>
                </pic:pic>
              </a:graphicData>
            </a:graphic>
          </wp:inline>
        </w:drawing>
      </w:r>
    </w:p>
    <w:p w:rsidR="00AD77BB" w:rsidRDefault="00B45BA0">
      <w:pPr>
        <w:shd w:val="clear" w:color="auto" w:fill="FFFFFF"/>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5350A89" wp14:editId="5EE1DE84">
            <wp:extent cx="5619750" cy="6467475"/>
            <wp:effectExtent l="0" t="0" r="0" b="9525"/>
            <wp:docPr id="379"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619750" cy="6467475"/>
                    </a:xfrm>
                    <a:prstGeom prst="rect">
                      <a:avLst/>
                    </a:prstGeom>
                    <a:noFill/>
                    <a:ln>
                      <a:noFill/>
                    </a:ln>
                  </pic:spPr>
                </pic:pic>
              </a:graphicData>
            </a:graphic>
          </wp:inline>
        </w:drawing>
      </w:r>
    </w:p>
    <w:p w:rsidR="00AD77BB" w:rsidRDefault="00B45BA0">
      <w:pPr>
        <w:pStyle w:val="ListParagraph"/>
        <w:numPr>
          <w:ilvl w:val="0"/>
          <w:numId w:val="258"/>
        </w:numPr>
        <w:shd w:val="clear" w:color="auto" w:fill="FFFFFF"/>
        <w:spacing w:after="0" w:line="439" w:lineRule="atLeast"/>
        <w:textAlignment w:val="baseline"/>
        <w:rPr>
          <w:rFonts w:ascii="Georgia" w:hAnsi="Georgia"/>
          <w:color w:val="333333"/>
          <w:sz w:val="20"/>
          <w:szCs w:val="20"/>
        </w:rPr>
      </w:pPr>
      <w:r>
        <w:rPr>
          <w:rFonts w:ascii="Georgia" w:hAnsi="Georgia"/>
          <w:color w:val="333333"/>
          <w:sz w:val="20"/>
          <w:szCs w:val="20"/>
        </w:rPr>
        <w:t xml:space="preserve"> If |</w:t>
      </w:r>
      <w:r>
        <w:rPr>
          <w:rStyle w:val="Emphasis"/>
          <w:rFonts w:ascii="Georgia" w:hAnsi="Georgia"/>
          <w:color w:val="333333"/>
          <w:sz w:val="20"/>
          <w:szCs w:val="20"/>
        </w:rPr>
        <w:t>r</w:t>
      </w:r>
      <w:r>
        <w:rPr>
          <w:rFonts w:ascii="Georgia" w:hAnsi="Georgia"/>
          <w:color w:val="333333"/>
          <w:sz w:val="20"/>
          <w:szCs w:val="20"/>
        </w:rPr>
        <w:t>| is near 0 (that is, if</w:t>
      </w:r>
      <w:r>
        <w:rPr>
          <w:rStyle w:val="apple-converted-space"/>
          <w:rFonts w:ascii="Georgia" w:hAnsi="Georgia"/>
          <w:color w:val="333333"/>
          <w:sz w:val="20"/>
          <w:szCs w:val="20"/>
        </w:rPr>
        <w:t> </w:t>
      </w:r>
      <w:r>
        <w:rPr>
          <w:rStyle w:val="Emphasis"/>
          <w:rFonts w:ascii="Georgia" w:hAnsi="Georgia"/>
          <w:color w:val="333333"/>
          <w:sz w:val="20"/>
          <w:szCs w:val="20"/>
        </w:rPr>
        <w:t>r</w:t>
      </w:r>
      <w:r>
        <w:rPr>
          <w:rStyle w:val="apple-converted-space"/>
          <w:rFonts w:ascii="Georgia" w:hAnsi="Georgia"/>
          <w:color w:val="333333"/>
          <w:sz w:val="20"/>
          <w:szCs w:val="20"/>
        </w:rPr>
        <w:t> </w:t>
      </w:r>
      <w:r>
        <w:rPr>
          <w:rFonts w:ascii="Georgia" w:hAnsi="Georgia"/>
          <w:color w:val="333333"/>
          <w:sz w:val="20"/>
          <w:szCs w:val="20"/>
        </w:rPr>
        <w:t>is near 0 and of either sign) then the linear relationship between</w:t>
      </w:r>
      <w:r>
        <w:rPr>
          <w:rStyle w:val="apple-converted-space"/>
          <w:rFonts w:ascii="Georgia" w:hAnsi="Georgia"/>
          <w:color w:val="333333"/>
          <w:sz w:val="20"/>
          <w:szCs w:val="20"/>
        </w:rPr>
        <w:t> </w:t>
      </w:r>
      <w:r>
        <w:rPr>
          <w:rStyle w:val="Emphasis"/>
          <w:rFonts w:ascii="Georgia" w:hAnsi="Georgia"/>
          <w:color w:val="333333"/>
          <w:sz w:val="20"/>
          <w:szCs w:val="20"/>
        </w:rPr>
        <w:t>x</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rPr>
        <w:t>y</w:t>
      </w:r>
      <w:r>
        <w:rPr>
          <w:rStyle w:val="apple-converted-space"/>
          <w:rFonts w:ascii="Georgia" w:hAnsi="Georgia"/>
          <w:color w:val="333333"/>
          <w:sz w:val="20"/>
          <w:szCs w:val="20"/>
        </w:rPr>
        <w:t> </w:t>
      </w:r>
      <w:r>
        <w:rPr>
          <w:rFonts w:ascii="Georgia" w:hAnsi="Georgia"/>
          <w:color w:val="333333"/>
          <w:sz w:val="20"/>
          <w:szCs w:val="20"/>
        </w:rPr>
        <w:t>is weak.</w:t>
      </w:r>
    </w:p>
    <w:p w:rsidR="00AD77BB" w:rsidRDefault="00AD77BB">
      <w:pPr>
        <w:pStyle w:val="Title9"/>
        <w:shd w:val="clear" w:color="auto" w:fill="FFFFFF"/>
        <w:spacing w:before="0" w:beforeAutospacing="0" w:after="0" w:afterAutospacing="0" w:line="439" w:lineRule="atLeast"/>
        <w:textAlignment w:val="baseline"/>
        <w:rPr>
          <w:rStyle w:val="title-prefix"/>
          <w:rFonts w:eastAsiaTheme="majorEastAsia"/>
          <w:i/>
          <w:iCs/>
          <w:color w:val="000000"/>
        </w:rPr>
      </w:pPr>
    </w:p>
    <w:p w:rsidR="00AD77BB" w:rsidRDefault="00AD77BB">
      <w:pPr>
        <w:pStyle w:val="Title9"/>
        <w:shd w:val="clear" w:color="auto" w:fill="FFFFFF"/>
        <w:spacing w:before="0" w:beforeAutospacing="0" w:after="0" w:afterAutospacing="0" w:line="439" w:lineRule="atLeast"/>
        <w:textAlignment w:val="baseline"/>
        <w:rPr>
          <w:rStyle w:val="title-prefix"/>
          <w:rFonts w:ascii="Georgia" w:eastAsiaTheme="majorEastAsia" w:hAnsi="Georgia"/>
          <w:i/>
          <w:iCs/>
          <w:color w:val="000000"/>
          <w:sz w:val="20"/>
          <w:szCs w:val="20"/>
        </w:rPr>
      </w:pPr>
    </w:p>
    <w:p w:rsidR="00AD77BB" w:rsidRDefault="00AD77BB">
      <w:pPr>
        <w:pStyle w:val="Title9"/>
        <w:shd w:val="clear" w:color="auto" w:fill="FFFFFF"/>
        <w:spacing w:before="0" w:beforeAutospacing="0" w:after="0" w:afterAutospacing="0" w:line="439" w:lineRule="atLeast"/>
        <w:textAlignment w:val="baseline"/>
        <w:rPr>
          <w:rStyle w:val="title-prefix"/>
          <w:rFonts w:ascii="Georgia" w:eastAsiaTheme="majorEastAsia" w:hAnsi="Georgia"/>
          <w:i/>
          <w:iCs/>
          <w:color w:val="000000"/>
          <w:sz w:val="20"/>
          <w:szCs w:val="20"/>
        </w:rPr>
      </w:pPr>
    </w:p>
    <w:p w:rsidR="00AD77BB" w:rsidRDefault="00AD77BB">
      <w:pPr>
        <w:pStyle w:val="Title9"/>
        <w:shd w:val="clear" w:color="auto" w:fill="FFFFFF"/>
        <w:spacing w:before="0" w:beforeAutospacing="0" w:after="0" w:afterAutospacing="0" w:line="439" w:lineRule="atLeast"/>
        <w:textAlignment w:val="baseline"/>
        <w:rPr>
          <w:rStyle w:val="title-prefix"/>
          <w:rFonts w:ascii="Georgia" w:eastAsiaTheme="majorEastAsia" w:hAnsi="Georgia"/>
          <w:i/>
          <w:iCs/>
          <w:color w:val="000000"/>
          <w:sz w:val="20"/>
          <w:szCs w:val="20"/>
        </w:rPr>
      </w:pPr>
    </w:p>
    <w:p w:rsidR="00AD77BB" w:rsidRDefault="00B45BA0">
      <w:pPr>
        <w:pStyle w:val="Title9"/>
        <w:shd w:val="clear" w:color="auto" w:fill="FFFFFF"/>
        <w:spacing w:before="0" w:beforeAutospacing="0" w:after="0" w:afterAutospacing="0" w:line="439" w:lineRule="atLeast"/>
        <w:textAlignment w:val="baseline"/>
        <w:rPr>
          <w:color w:val="BB9966"/>
          <w:sz w:val="22"/>
          <w:szCs w:val="22"/>
        </w:rPr>
      </w:pPr>
      <w:r>
        <w:rPr>
          <w:rStyle w:val="title-prefix"/>
          <w:rFonts w:ascii="Georgia" w:eastAsiaTheme="majorEastAsia" w:hAnsi="Georgia"/>
          <w:i/>
          <w:iCs/>
          <w:color w:val="000000"/>
          <w:sz w:val="20"/>
          <w:szCs w:val="20"/>
        </w:rPr>
        <w:lastRenderedPageBreak/>
        <w:t>Figure 10.4</w:t>
      </w:r>
      <w:r>
        <w:rPr>
          <w:rStyle w:val="apple-converted-space"/>
          <w:rFonts w:ascii="Georgia" w:hAnsi="Georgia"/>
          <w:i/>
          <w:iCs/>
          <w:color w:val="BB9966"/>
          <w:sz w:val="22"/>
          <w:szCs w:val="22"/>
        </w:rPr>
        <w:t> </w:t>
      </w:r>
      <w:r>
        <w:rPr>
          <w:rFonts w:ascii="Georgia" w:hAnsi="Georgia"/>
          <w:i/>
          <w:iCs/>
          <w:color w:val="BB9966"/>
          <w:sz w:val="22"/>
          <w:szCs w:val="22"/>
        </w:rPr>
        <w:t>Linear Correlation Coefficient</w:t>
      </w:r>
      <w:r>
        <w:rPr>
          <w:rStyle w:val="apple-converted-space"/>
          <w:rFonts w:ascii="Georgia" w:hAnsi="Georgia"/>
          <w:i/>
          <w:iCs/>
          <w:color w:val="BB9966"/>
          <w:sz w:val="22"/>
          <w:szCs w:val="22"/>
        </w:rPr>
        <w:t> </w:t>
      </w:r>
      <w:r>
        <w:rPr>
          <w:rStyle w:val="Emphasis"/>
          <w:rFonts w:ascii="Georgia" w:hAnsi="Georgia"/>
          <w:color w:val="BB9966"/>
          <w:sz w:val="20"/>
          <w:szCs w:val="20"/>
        </w:rPr>
        <w:t>R</w:t>
      </w:r>
    </w:p>
    <w:p w:rsidR="00AD77BB" w:rsidRDefault="00B45BA0">
      <w:pPr>
        <w:shd w:val="clear" w:color="auto" w:fill="FFFFFF"/>
        <w:spacing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14:anchorId="1A22695D" wp14:editId="3530CE7B">
            <wp:extent cx="4972050" cy="3438525"/>
            <wp:effectExtent l="0" t="0" r="0" b="9525"/>
            <wp:docPr id="380" name="Picture 393" descr="http://images.flatworldknowledge.com/shafer/shafer-fig10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images.flatworldknowledge.com/shafer/shafer-fig10_004.jp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4972050" cy="3438525"/>
                    </a:xfrm>
                    <a:prstGeom prst="rect">
                      <a:avLst/>
                    </a:prstGeom>
                    <a:noFill/>
                    <a:ln>
                      <a:noFill/>
                    </a:ln>
                  </pic:spPr>
                </pic:pic>
              </a:graphicData>
            </a:graphic>
          </wp:inline>
        </w:drawing>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Pay particular attention to panel (f) in</w:t>
      </w:r>
      <w:r>
        <w:rPr>
          <w:rStyle w:val="apple-converted-space"/>
          <w:rFonts w:ascii="Georgia" w:hAnsi="Georgia"/>
          <w:color w:val="333333"/>
          <w:sz w:val="21"/>
          <w:szCs w:val="21"/>
        </w:rPr>
        <w:t> </w:t>
      </w:r>
      <w:r>
        <w:rPr>
          <w:rFonts w:ascii="Georgia" w:hAnsi="Georgia"/>
          <w:color w:val="2689C6"/>
          <w:sz w:val="21"/>
          <w:szCs w:val="21"/>
        </w:rPr>
        <w:t>Figure 10.4 "Linear Correlation Coefficient "</w:t>
      </w:r>
      <w:r>
        <w:rPr>
          <w:rFonts w:ascii="Georgia" w:hAnsi="Georgia"/>
          <w:color w:val="333333"/>
          <w:sz w:val="21"/>
          <w:szCs w:val="21"/>
        </w:rPr>
        <w:t>. It shows a perfectly deterministic relationship between</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rPr>
        <w:t>y</w:t>
      </w:r>
      <w:r>
        <w:rPr>
          <w:rFonts w:ascii="Georgia" w:hAnsi="Georgia"/>
          <w:color w:val="333333"/>
          <w:sz w:val="21"/>
          <w:szCs w:val="21"/>
        </w:rPr>
        <w:t>, but</w:t>
      </w:r>
      <w:r>
        <w:rPr>
          <w:rStyle w:val="apple-converted-space"/>
          <w:rFonts w:ascii="Georgia" w:hAnsi="Georgia"/>
          <w:color w:val="333333"/>
          <w:sz w:val="21"/>
          <w:szCs w:val="21"/>
        </w:rPr>
        <w:t> </w:t>
      </w:r>
      <w:r>
        <w:rPr>
          <w:rStyle w:val="mi"/>
          <w:rFonts w:ascii="MathJax_Math" w:hAnsi="MathJax_Math"/>
          <w:i/>
          <w:iCs/>
          <w:color w:val="333333"/>
          <w:sz w:val="18"/>
          <w:szCs w:val="18"/>
        </w:rPr>
        <w:t>r</w:t>
      </w:r>
      <w:r>
        <w:rPr>
          <w:rStyle w:val="mo"/>
          <w:rFonts w:ascii="MathJax_Main" w:hAnsi="MathJax_Main"/>
          <w:color w:val="333333"/>
          <w:sz w:val="18"/>
          <w:szCs w:val="18"/>
        </w:rPr>
        <w:t>=</w:t>
      </w:r>
      <w:r>
        <w:rPr>
          <w:rStyle w:val="mn"/>
          <w:rFonts w:ascii="MathJax_Main" w:hAnsi="MathJax_Main"/>
          <w:color w:val="333333"/>
          <w:sz w:val="18"/>
          <w:szCs w:val="18"/>
        </w:rPr>
        <w:t>0</w:t>
      </w:r>
      <w:r>
        <w:rPr>
          <w:rStyle w:val="apple-converted-space"/>
          <w:rFonts w:ascii="Georgia" w:hAnsi="Georgia"/>
          <w:color w:val="333333"/>
          <w:sz w:val="21"/>
          <w:szCs w:val="21"/>
        </w:rPr>
        <w:t> </w:t>
      </w:r>
      <w:r>
        <w:rPr>
          <w:rFonts w:ascii="Georgia" w:hAnsi="Georgia"/>
          <w:color w:val="333333"/>
          <w:sz w:val="21"/>
          <w:szCs w:val="21"/>
        </w:rPr>
        <w:t>because the relationship is not linear. (In this particular case the points lie on the top half of a circle.)</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EXAMPLE 1</w:t>
      </w:r>
    </w:p>
    <w:p w:rsidR="00AD77BB" w:rsidRDefault="00B45BA0">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Compute the linear correlation coefficient for the height and weight pairs plotted in </w:t>
      </w:r>
      <w:r>
        <w:rPr>
          <w:rFonts w:ascii="Calibri" w:eastAsia="Times New Roman" w:hAnsi="Calibri" w:cs="Times New Roman"/>
          <w:color w:val="2689C6"/>
          <w:sz w:val="21"/>
          <w:szCs w:val="21"/>
        </w:rPr>
        <w:t>Figure 10.2 "Plot of Height and Weight Pairs"</w:t>
      </w:r>
      <w:r>
        <w:rPr>
          <w:rFonts w:ascii="Calibri" w:eastAsia="Times New Roman" w:hAnsi="Calibri" w:cs="Times New Roman"/>
          <w:color w:val="333333"/>
          <w:sz w:val="21"/>
          <w:szCs w:val="21"/>
        </w:rPr>
        <w:t>.</w:t>
      </w:r>
    </w:p>
    <w:p w:rsidR="00AD77BB" w:rsidRDefault="00B45BA0">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Solution:</w:t>
      </w:r>
    </w:p>
    <w:p w:rsidR="00AD77BB" w:rsidRDefault="00AD77BB">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p>
    <w:p w:rsidR="00AD77BB" w:rsidRDefault="00B45BA0">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Even for small data sets like this one computations are too long to do completely by hand. In actual practice the data are entered into a calculator or computer and a statistics program is used. In order to clarify the meaning of the formulas we will display the data and related quantities in tabular form. For each </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x</w:t>
      </w:r>
      <w:r>
        <w:rPr>
          <w:rFonts w:ascii="MathJax_Main" w:eastAsia="Times New Roman" w:hAnsi="MathJax_Main" w:cs="Times New Roman"/>
          <w:color w:val="333333"/>
          <w:sz w:val="15"/>
          <w:szCs w:val="15"/>
        </w:rPr>
        <w:t>,</w:t>
      </w:r>
      <w:r>
        <w:rPr>
          <w:rFonts w:ascii="MathJax_Math" w:eastAsia="Times New Roman" w:hAnsi="MathJax_Math" w:cs="Times New Roman"/>
          <w:i/>
          <w:iCs/>
          <w:color w:val="333333"/>
          <w:sz w:val="15"/>
          <w:szCs w:val="15"/>
        </w:rPr>
        <w:t>y</w:t>
      </w:r>
      <w:r>
        <w:rPr>
          <w:rFonts w:ascii="MathJax_Main" w:eastAsia="Times New Roman" w:hAnsi="MathJax_Main" w:cs="Times New Roman"/>
          <w:color w:val="333333"/>
          <w:sz w:val="15"/>
          <w:szCs w:val="15"/>
        </w:rPr>
        <w:t>)</w:t>
      </w:r>
      <w:r>
        <w:rPr>
          <w:rFonts w:ascii="Calibri" w:eastAsia="Times New Roman" w:hAnsi="Calibri" w:cs="Times New Roman"/>
          <w:color w:val="333333"/>
          <w:sz w:val="21"/>
          <w:szCs w:val="21"/>
        </w:rPr>
        <w:t>pair we compute three numbers: </w:t>
      </w:r>
      <w:r>
        <w:rPr>
          <w:rFonts w:ascii="Calibri" w:eastAsia="Times New Roman" w:hAnsi="Calibri" w:cs="Times New Roman"/>
          <w:i/>
          <w:iCs/>
          <w:color w:val="333333"/>
          <w:sz w:val="20"/>
          <w:szCs w:val="20"/>
        </w:rPr>
        <w:t>x</w:t>
      </w:r>
      <w:r>
        <w:rPr>
          <w:rFonts w:ascii="Calibri" w:eastAsia="Times New Roman" w:hAnsi="Calibri" w:cs="Times New Roman"/>
          <w:color w:val="333333"/>
          <w:sz w:val="15"/>
          <w:szCs w:val="15"/>
          <w:vertAlign w:val="superscript"/>
        </w:rPr>
        <w:t>2</w:t>
      </w:r>
      <w:r>
        <w:rPr>
          <w:rFonts w:ascii="Calibri" w:eastAsia="Times New Roman" w:hAnsi="Calibri" w:cs="Times New Roman"/>
          <w:color w:val="333333"/>
          <w:sz w:val="21"/>
          <w:szCs w:val="21"/>
        </w:rPr>
        <w:t>, </w:t>
      </w:r>
      <w:r>
        <w:rPr>
          <w:rFonts w:ascii="MathJax_Math" w:eastAsia="Times New Roman" w:hAnsi="MathJax_Math" w:cs="Times New Roman"/>
          <w:i/>
          <w:iCs/>
          <w:color w:val="333333"/>
          <w:sz w:val="15"/>
          <w:szCs w:val="15"/>
        </w:rPr>
        <w:t>xy</w:t>
      </w:r>
      <w:r>
        <w:rPr>
          <w:rFonts w:ascii="Calibri" w:eastAsia="Times New Roman" w:hAnsi="Calibri" w:cs="Times New Roman"/>
          <w:color w:val="333333"/>
          <w:sz w:val="21"/>
          <w:szCs w:val="21"/>
        </w:rPr>
        <w:t>, and </w:t>
      </w:r>
      <w:r>
        <w:rPr>
          <w:rFonts w:ascii="Calibri" w:eastAsia="Times New Roman" w:hAnsi="Calibri" w:cs="Times New Roman"/>
          <w:i/>
          <w:iCs/>
          <w:color w:val="333333"/>
          <w:sz w:val="20"/>
          <w:szCs w:val="20"/>
        </w:rPr>
        <w:t>y</w:t>
      </w:r>
      <w:r>
        <w:rPr>
          <w:rFonts w:ascii="Calibri" w:eastAsia="Times New Roman" w:hAnsi="Calibri" w:cs="Times New Roman"/>
          <w:color w:val="333333"/>
          <w:sz w:val="15"/>
          <w:szCs w:val="15"/>
          <w:vertAlign w:val="superscript"/>
        </w:rPr>
        <w:t>2</w:t>
      </w:r>
      <w:r>
        <w:rPr>
          <w:rFonts w:ascii="Calibri" w:eastAsia="Times New Roman" w:hAnsi="Calibri" w:cs="Times New Roman"/>
          <w:color w:val="333333"/>
          <w:sz w:val="21"/>
          <w:szCs w:val="21"/>
        </w:rPr>
        <w:t>, as shown in the table provided. In the last line of the table we have the sum of the numbers in each column. Using them we compute:</w:t>
      </w:r>
    </w:p>
    <w:p w:rsidR="00AD77BB" w:rsidRDefault="00AD77BB">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p>
    <w:p w:rsidR="00AD77BB" w:rsidRDefault="00AD77BB">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p>
    <w:p w:rsidR="00AD77BB" w:rsidRDefault="00AD77BB">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p>
    <w:tbl>
      <w:tblPr>
        <w:tblW w:w="0" w:type="auto"/>
        <w:tblCellMar>
          <w:left w:w="0" w:type="dxa"/>
          <w:right w:w="0" w:type="dxa"/>
        </w:tblCellMar>
        <w:tblLook w:val="04A0" w:firstRow="1" w:lastRow="0" w:firstColumn="1" w:lastColumn="0" w:noHBand="0" w:noVBand="1"/>
      </w:tblPr>
      <w:tblGrid>
        <w:gridCol w:w="273"/>
        <w:gridCol w:w="465"/>
        <w:gridCol w:w="570"/>
        <w:gridCol w:w="675"/>
        <w:gridCol w:w="780"/>
        <w:gridCol w:w="78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i/>
                <w:iCs/>
                <w:color w:val="F48800"/>
                <w:sz w:val="21"/>
                <w:szCs w:val="21"/>
              </w:rPr>
              <w:t>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i/>
                <w:iCs/>
                <w:color w:val="F48800"/>
                <w:sz w:val="21"/>
                <w:szCs w:val="21"/>
              </w:rPr>
              <w: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i/>
                <w:iCs/>
                <w:color w:val="F48800"/>
                <w:sz w:val="21"/>
                <w:szCs w:val="21"/>
              </w:rPr>
              <w:t>x</w:t>
            </w:r>
            <w:r>
              <w:rPr>
                <w:rFonts w:ascii="Times New Roman" w:eastAsia="Times New Roman" w:hAnsi="Times New Roman" w:cs="Times New Roman"/>
                <w:b/>
                <w:bCs/>
                <w:color w:val="F48800"/>
                <w:sz w:val="15"/>
                <w:szCs w:val="15"/>
                <w:vertAlign w:val="superscript"/>
              </w:rPr>
              <w:t>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1"/>
                <w:szCs w:val="21"/>
              </w:rPr>
            </w:pPr>
            <w:r>
              <w:rPr>
                <w:rFonts w:ascii="MathJax_Math" w:eastAsia="Times New Roman" w:hAnsi="MathJax_Math" w:cs="Times New Roman"/>
                <w:i/>
                <w:iCs/>
                <w:color w:val="F48800"/>
                <w:sz w:val="18"/>
                <w:szCs w:val="18"/>
              </w:rPr>
              <w:t>xy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i/>
                <w:iCs/>
                <w:color w:val="F48800"/>
                <w:sz w:val="21"/>
                <w:szCs w:val="21"/>
              </w:rPr>
              <w:t>y</w:t>
            </w:r>
            <w:r>
              <w:rPr>
                <w:rFonts w:ascii="Times New Roman" w:eastAsia="Times New Roman" w:hAnsi="Times New Roman" w:cs="Times New Roman"/>
                <w:b/>
                <w:bCs/>
                <w:color w:val="F48800"/>
                <w:sz w:val="15"/>
                <w:szCs w:val="15"/>
                <w:vertAlign w:val="superscript"/>
              </w:rPr>
              <w:t>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4624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10268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22801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4761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10074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21316</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4900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10990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24649</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4900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11480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26896</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5041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12141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29241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5184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11520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25600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5184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11736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26569</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5184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12960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32400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5329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12410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28900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5329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12775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30625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5476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13172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31684</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5625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14100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35344</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Σ</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859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2003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61537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143626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1"/>
                <w:szCs w:val="21"/>
              </w:rPr>
            </w:pPr>
            <w:r>
              <w:rPr>
                <w:rFonts w:ascii="Times New Roman" w:eastAsia="Times New Roman" w:hAnsi="Times New Roman" w:cs="Times New Roman"/>
                <w:sz w:val="21"/>
                <w:szCs w:val="21"/>
              </w:rPr>
              <w:t>336025</w:t>
            </w:r>
          </w:p>
        </w:tc>
      </w:tr>
    </w:tbl>
    <w:p w:rsidR="00AD77BB" w:rsidRDefault="00B45BA0">
      <w:pPr>
        <w:shd w:val="clear" w:color="auto" w:fill="FFFFFF"/>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2C6E1947" wp14:editId="16CC9568">
            <wp:extent cx="4752975" cy="3409950"/>
            <wp:effectExtent l="0" t="0" r="9525" b="0"/>
            <wp:docPr id="381"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4752975" cy="3409950"/>
                    </a:xfrm>
                    <a:prstGeom prst="rect">
                      <a:avLst/>
                    </a:prstGeom>
                    <a:noFill/>
                    <a:ln>
                      <a:noFill/>
                    </a:ln>
                  </pic:spPr>
                </pic:pic>
              </a:graphicData>
            </a:graphic>
          </wp:inline>
        </w:drawing>
      </w:r>
    </w:p>
    <w:p w:rsidR="00AD77BB" w:rsidRDefault="00B45BA0">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lastRenderedPageBreak/>
        <w:t>KEY TAKEAWAYS</w:t>
      </w:r>
    </w:p>
    <w:p w:rsidR="00AD77BB" w:rsidRDefault="00B45BA0">
      <w:pPr>
        <w:numPr>
          <w:ilvl w:val="0"/>
          <w:numId w:val="259"/>
        </w:numPr>
        <w:shd w:val="clear" w:color="auto" w:fill="ECF9EA"/>
        <w:spacing w:after="0" w:line="360" w:lineRule="auto"/>
        <w:ind w:left="360" w:right="375"/>
        <w:textAlignment w:val="baseline"/>
        <w:rPr>
          <w:rFonts w:ascii="Calibri" w:hAnsi="Calibri"/>
          <w:color w:val="333333"/>
          <w:sz w:val="20"/>
          <w:szCs w:val="20"/>
        </w:rPr>
      </w:pPr>
      <w:r>
        <w:rPr>
          <w:rFonts w:ascii="Calibri" w:hAnsi="Calibri"/>
          <w:color w:val="333333"/>
          <w:sz w:val="20"/>
          <w:szCs w:val="20"/>
        </w:rPr>
        <w:t>The linear correlation coefficient measures the strength and direction of the linear relationship between two variables</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Emphasis"/>
          <w:rFonts w:ascii="Calibri" w:hAnsi="Calibri"/>
          <w:color w:val="333333"/>
          <w:sz w:val="20"/>
          <w:szCs w:val="20"/>
        </w:rPr>
        <w:t>y</w:t>
      </w:r>
      <w:r>
        <w:rPr>
          <w:rFonts w:ascii="Calibri" w:hAnsi="Calibri"/>
          <w:color w:val="333333"/>
          <w:sz w:val="20"/>
          <w:szCs w:val="20"/>
        </w:rPr>
        <w:t>.</w:t>
      </w:r>
    </w:p>
    <w:p w:rsidR="00AD77BB" w:rsidRDefault="00B45BA0">
      <w:pPr>
        <w:numPr>
          <w:ilvl w:val="0"/>
          <w:numId w:val="259"/>
        </w:numPr>
        <w:shd w:val="clear" w:color="auto" w:fill="ECF9EA"/>
        <w:spacing w:after="0" w:line="360" w:lineRule="auto"/>
        <w:ind w:left="360" w:right="375"/>
        <w:textAlignment w:val="baseline"/>
        <w:rPr>
          <w:rFonts w:ascii="Calibri" w:hAnsi="Calibri"/>
          <w:color w:val="333333"/>
          <w:sz w:val="20"/>
          <w:szCs w:val="20"/>
        </w:rPr>
      </w:pPr>
      <w:r>
        <w:rPr>
          <w:rFonts w:ascii="Calibri" w:hAnsi="Calibri"/>
          <w:color w:val="333333"/>
          <w:sz w:val="20"/>
          <w:szCs w:val="20"/>
        </w:rPr>
        <w:t>The sign of the linear correlation coefficient indicates the direction of the linear relationship between</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Emphasis"/>
          <w:rFonts w:ascii="Calibri" w:hAnsi="Calibri"/>
          <w:color w:val="333333"/>
          <w:sz w:val="20"/>
          <w:szCs w:val="20"/>
        </w:rPr>
        <w:t>y</w:t>
      </w:r>
      <w:r>
        <w:rPr>
          <w:rFonts w:ascii="Calibri" w:hAnsi="Calibri"/>
          <w:color w:val="333333"/>
          <w:sz w:val="20"/>
          <w:szCs w:val="20"/>
        </w:rPr>
        <w:t>.</w:t>
      </w:r>
    </w:p>
    <w:p w:rsidR="00AD77BB" w:rsidRDefault="00B45BA0">
      <w:pPr>
        <w:numPr>
          <w:ilvl w:val="0"/>
          <w:numId w:val="259"/>
        </w:numPr>
        <w:shd w:val="clear" w:color="auto" w:fill="ECF9EA"/>
        <w:spacing w:after="0" w:line="360" w:lineRule="auto"/>
        <w:ind w:left="360" w:right="375"/>
        <w:textAlignment w:val="baseline"/>
        <w:rPr>
          <w:rFonts w:ascii="Calibri" w:hAnsi="Calibri"/>
          <w:color w:val="333333"/>
          <w:sz w:val="20"/>
          <w:szCs w:val="20"/>
        </w:rPr>
      </w:pPr>
      <w:r>
        <w:rPr>
          <w:rFonts w:ascii="Calibri" w:hAnsi="Calibri"/>
          <w:color w:val="333333"/>
          <w:sz w:val="20"/>
          <w:szCs w:val="20"/>
        </w:rPr>
        <w:t>When</w:t>
      </w:r>
      <w:r>
        <w:rPr>
          <w:rStyle w:val="apple-converted-space"/>
          <w:rFonts w:ascii="Calibri" w:hAnsi="Calibri"/>
          <w:color w:val="333333"/>
          <w:sz w:val="20"/>
          <w:szCs w:val="20"/>
        </w:rPr>
        <w:t> </w:t>
      </w:r>
      <w:r>
        <w:rPr>
          <w:rStyle w:val="Emphasis"/>
          <w:rFonts w:ascii="Calibri" w:hAnsi="Calibri"/>
          <w:color w:val="333333"/>
          <w:sz w:val="20"/>
          <w:szCs w:val="20"/>
        </w:rPr>
        <w:t>r</w:t>
      </w:r>
      <w:r>
        <w:rPr>
          <w:rStyle w:val="apple-converted-space"/>
          <w:rFonts w:ascii="Calibri" w:hAnsi="Calibri"/>
          <w:color w:val="333333"/>
          <w:sz w:val="20"/>
          <w:szCs w:val="20"/>
        </w:rPr>
        <w:t> </w:t>
      </w:r>
      <w:r>
        <w:rPr>
          <w:rFonts w:ascii="Calibri" w:hAnsi="Calibri"/>
          <w:color w:val="333333"/>
          <w:sz w:val="20"/>
          <w:szCs w:val="20"/>
        </w:rPr>
        <w:t>is near 1 or −1 the linear relationship is strong; when it is near 0 the linear relationship is weak.</w:t>
      </w:r>
    </w:p>
    <w:p w:rsidR="00AD77BB" w:rsidRDefault="00B45BA0">
      <w:pPr>
        <w:pStyle w:val="Heading3"/>
        <w:shd w:val="clear" w:color="auto" w:fill="08629A"/>
        <w:spacing w:before="0" w:beforeAutospacing="0" w:after="150" w:afterAutospacing="0" w:line="360" w:lineRule="auto"/>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AD77BB" w:rsidRDefault="00B45BA0">
      <w:pPr>
        <w:pStyle w:val="Heading3"/>
        <w:shd w:val="clear" w:color="auto" w:fill="08629A"/>
        <w:spacing w:before="0" w:beforeAutospacing="0" w:after="150" w:afterAutospacing="0" w:line="360" w:lineRule="auto"/>
        <w:jc w:val="center"/>
        <w:textAlignment w:val="baseline"/>
        <w:rPr>
          <w:rFonts w:ascii="Calibri" w:hAnsi="Calibri"/>
          <w:caps/>
          <w:color w:val="FFFFFF"/>
          <w:spacing w:val="30"/>
          <w:sz w:val="22"/>
          <w:szCs w:val="22"/>
        </w:rPr>
      </w:pPr>
      <w:r>
        <w:rPr>
          <w:rFonts w:ascii="Calibri" w:hAnsi="Calibri"/>
          <w:caps/>
          <w:color w:val="FFFFFF"/>
          <w:spacing w:val="30"/>
          <w:sz w:val="22"/>
          <w:szCs w:val="22"/>
        </w:rPr>
        <w:t>BASIC</w:t>
      </w:r>
    </w:p>
    <w:p w:rsidR="00AD77BB" w:rsidRDefault="00B45BA0">
      <w:pPr>
        <w:pStyle w:val="para"/>
        <w:shd w:val="clear" w:color="auto" w:fill="E3EFF7"/>
        <w:spacing w:before="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With the exception of the exercises at the end of</w:t>
      </w:r>
      <w:r>
        <w:rPr>
          <w:rStyle w:val="apple-converted-space"/>
          <w:rFonts w:ascii="Calibri" w:hAnsi="Calibri"/>
          <w:color w:val="333333"/>
          <w:sz w:val="20"/>
          <w:szCs w:val="20"/>
        </w:rPr>
        <w:t> </w:t>
      </w:r>
      <w:r>
        <w:rPr>
          <w:rFonts w:ascii="Calibri" w:eastAsiaTheme="majorEastAsia" w:hAnsi="Calibri"/>
          <w:color w:val="2689C6"/>
          <w:sz w:val="20"/>
          <w:szCs w:val="20"/>
        </w:rPr>
        <w:t>Section 10.3 "Modelling Linear Relationships with Randomness Present"</w:t>
      </w:r>
      <w:r>
        <w:rPr>
          <w:rFonts w:ascii="Calibri" w:hAnsi="Calibri"/>
          <w:color w:val="333333"/>
          <w:sz w:val="20"/>
          <w:szCs w:val="20"/>
        </w:rPr>
        <w:t>, the first Basic exercise in each of the following sections through</w:t>
      </w:r>
      <w:r>
        <w:rPr>
          <w:rStyle w:val="apple-converted-space"/>
          <w:rFonts w:ascii="Calibri" w:hAnsi="Calibri"/>
          <w:color w:val="333333"/>
          <w:sz w:val="20"/>
          <w:szCs w:val="20"/>
        </w:rPr>
        <w:t> </w:t>
      </w:r>
      <w:r>
        <w:rPr>
          <w:rFonts w:ascii="Calibri" w:eastAsiaTheme="majorEastAsia" w:hAnsi="Calibri"/>
          <w:color w:val="2689C6"/>
          <w:sz w:val="20"/>
          <w:szCs w:val="20"/>
        </w:rPr>
        <w:t>Section 10.7 "Estimation and Prediction"</w:t>
      </w:r>
      <w:r>
        <w:rPr>
          <w:rStyle w:val="apple-converted-space"/>
          <w:rFonts w:ascii="Calibri" w:hAnsi="Calibri"/>
          <w:color w:val="333333"/>
          <w:sz w:val="20"/>
          <w:szCs w:val="20"/>
        </w:rPr>
        <w:t> </w:t>
      </w:r>
      <w:r>
        <w:rPr>
          <w:rFonts w:ascii="Calibri" w:hAnsi="Calibri"/>
          <w:color w:val="333333"/>
          <w:sz w:val="20"/>
          <w:szCs w:val="20"/>
        </w:rPr>
        <w:t>uses the data from the first exercise here, the second Basic exercise uses the data from the second exercise here, and so on, and similarly for the Application exercises. Save your computations done on these exercises so that you do not need to repeat them later.</w:t>
      </w:r>
    </w:p>
    <w:p w:rsidR="00AD77BB" w:rsidRDefault="00B45BA0">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418C7DBD" wp14:editId="45C09606">
            <wp:extent cx="4933950" cy="4591050"/>
            <wp:effectExtent l="0" t="0" r="0" b="0"/>
            <wp:docPr id="382"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933950" cy="4591050"/>
                    </a:xfrm>
                    <a:prstGeom prst="rect">
                      <a:avLst/>
                    </a:prstGeom>
                    <a:noFill/>
                    <a:ln>
                      <a:noFill/>
                    </a:ln>
                  </pic:spPr>
                </pic:pic>
              </a:graphicData>
            </a:graphic>
          </wp:inline>
        </w:drawing>
      </w:r>
    </w:p>
    <w:p w:rsidR="00AD77BB" w:rsidRDefault="00B45BA0">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8484045" wp14:editId="56D6539B">
            <wp:extent cx="4933950" cy="5819775"/>
            <wp:effectExtent l="0" t="0" r="0" b="9525"/>
            <wp:docPr id="383"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4933950" cy="5819775"/>
                    </a:xfrm>
                    <a:prstGeom prst="rect">
                      <a:avLst/>
                    </a:prstGeom>
                    <a:noFill/>
                    <a:ln>
                      <a:noFill/>
                    </a:ln>
                  </pic:spPr>
                </pic:pic>
              </a:graphicData>
            </a:graphic>
          </wp:inline>
        </w:drawing>
      </w:r>
    </w:p>
    <w:p w:rsidR="00AD77BB" w:rsidRDefault="00B45BA0">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7525884" wp14:editId="2D1ABFC8">
            <wp:extent cx="5200650" cy="5410200"/>
            <wp:effectExtent l="0" t="0" r="0" b="0"/>
            <wp:docPr id="384"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393">
                      <a:extLst>
                        <a:ext uri="{28A0092B-C50C-407E-A947-70E740481C1C}">
                          <a14:useLocalDpi xmlns:a14="http://schemas.microsoft.com/office/drawing/2010/main" val="0"/>
                        </a:ext>
                      </a:extLst>
                    </a:blip>
                    <a:srcRect b="8844"/>
                    <a:stretch>
                      <a:fillRect/>
                    </a:stretch>
                  </pic:blipFill>
                  <pic:spPr bwMode="auto">
                    <a:xfrm>
                      <a:off x="0" y="0"/>
                      <a:ext cx="5200650" cy="5410200"/>
                    </a:xfrm>
                    <a:prstGeom prst="rect">
                      <a:avLst/>
                    </a:prstGeom>
                    <a:noFill/>
                    <a:ln>
                      <a:noFill/>
                    </a:ln>
                  </pic:spPr>
                </pic:pic>
              </a:graphicData>
            </a:graphic>
          </wp:inline>
        </w:drawing>
      </w:r>
    </w:p>
    <w:p w:rsidR="00AD77BB" w:rsidRDefault="00B45BA0">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63C30D9" wp14:editId="7E2AE2D3">
            <wp:extent cx="5314950" cy="5829300"/>
            <wp:effectExtent l="0" t="0" r="0" b="0"/>
            <wp:docPr id="385"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314950" cy="5829300"/>
                    </a:xfrm>
                    <a:prstGeom prst="rect">
                      <a:avLst/>
                    </a:prstGeom>
                    <a:noFill/>
                    <a:ln>
                      <a:noFill/>
                    </a:ln>
                  </pic:spPr>
                </pic:pic>
              </a:graphicData>
            </a:graphic>
          </wp:inline>
        </w:drawing>
      </w:r>
    </w:p>
    <w:p w:rsidR="00AD77BB" w:rsidRDefault="00B45BA0">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4E4CAB5E" wp14:editId="6E571295">
            <wp:extent cx="5295900" cy="5810250"/>
            <wp:effectExtent l="0" t="0" r="0" b="0"/>
            <wp:docPr id="386"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295900" cy="5810250"/>
                    </a:xfrm>
                    <a:prstGeom prst="rect">
                      <a:avLst/>
                    </a:prstGeom>
                    <a:noFill/>
                    <a:ln>
                      <a:noFill/>
                    </a:ln>
                  </pic:spPr>
                </pic:pic>
              </a:graphicData>
            </a:graphic>
          </wp:inline>
        </w:drawing>
      </w:r>
    </w:p>
    <w:p w:rsidR="00AD77BB" w:rsidRDefault="00B45BA0">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D70CB60" wp14:editId="0B36F546">
            <wp:extent cx="5238750" cy="6105525"/>
            <wp:effectExtent l="0" t="0" r="0" b="9525"/>
            <wp:docPr id="387"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238750" cy="6105525"/>
                    </a:xfrm>
                    <a:prstGeom prst="rect">
                      <a:avLst/>
                    </a:prstGeom>
                    <a:noFill/>
                    <a:ln>
                      <a:noFill/>
                    </a:ln>
                  </pic:spPr>
                </pic:pic>
              </a:graphicData>
            </a:graphic>
          </wp:inline>
        </w:drawing>
      </w:r>
    </w:p>
    <w:p w:rsidR="00AD77BB" w:rsidRDefault="00B45BA0">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66C3846" wp14:editId="10B7B7F7">
            <wp:extent cx="5143500" cy="5791200"/>
            <wp:effectExtent l="0" t="0" r="0" b="0"/>
            <wp:docPr id="388"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143500" cy="5791200"/>
                    </a:xfrm>
                    <a:prstGeom prst="rect">
                      <a:avLst/>
                    </a:prstGeom>
                    <a:noFill/>
                    <a:ln>
                      <a:noFill/>
                    </a:ln>
                  </pic:spPr>
                </pic:pic>
              </a:graphicData>
            </a:graphic>
          </wp:inline>
        </w:drawing>
      </w:r>
    </w:p>
    <w:p w:rsidR="00AD77BB" w:rsidRDefault="00B45BA0">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73192CBC" wp14:editId="27D6165E">
            <wp:extent cx="5334000" cy="5810250"/>
            <wp:effectExtent l="0" t="0" r="0" b="0"/>
            <wp:docPr id="389"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334000" cy="5810250"/>
                    </a:xfrm>
                    <a:prstGeom prst="rect">
                      <a:avLst/>
                    </a:prstGeom>
                    <a:noFill/>
                    <a:ln>
                      <a:noFill/>
                    </a:ln>
                  </pic:spPr>
                </pic:pic>
              </a:graphicData>
            </a:graphic>
          </wp:inline>
        </w:drawing>
      </w:r>
    </w:p>
    <w:p w:rsidR="00AD77BB" w:rsidRDefault="00B45BA0">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B24E78B" wp14:editId="31D39FB5">
            <wp:extent cx="5210175" cy="5867400"/>
            <wp:effectExtent l="0" t="0" r="9525" b="0"/>
            <wp:docPr id="390"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210175" cy="5867400"/>
                    </a:xfrm>
                    <a:prstGeom prst="rect">
                      <a:avLst/>
                    </a:prstGeom>
                    <a:noFill/>
                    <a:ln>
                      <a:noFill/>
                    </a:ln>
                  </pic:spPr>
                </pic:pic>
              </a:graphicData>
            </a:graphic>
          </wp:inline>
        </w:drawing>
      </w:r>
    </w:p>
    <w:p w:rsidR="00AD77BB" w:rsidRDefault="00B45BA0">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2689C6"/>
          <w:sz w:val="20"/>
          <w:szCs w:val="20"/>
        </w:rPr>
        <w:t>http://www.1.xls</w:t>
      </w:r>
    </w:p>
    <w:p w:rsidR="00AD77BB" w:rsidRDefault="00AD77BB">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rsidR="00AD77BB" w:rsidRDefault="00B45BA0">
      <w:pPr>
        <w:pStyle w:val="para"/>
        <w:numPr>
          <w:ilvl w:val="0"/>
          <w:numId w:val="260"/>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Large Data Set 12 lists the golf scores on one round of golf for 75 golfers first using their own original clubs, then using clubs of a new, experimental design (after two months of familiarization with the new clubs). Compute the linear correlation coefficient</w:t>
      </w:r>
      <w:r>
        <w:rPr>
          <w:rStyle w:val="apple-converted-space"/>
          <w:rFonts w:ascii="Calibri" w:hAnsi="Calibri"/>
          <w:color w:val="333333"/>
          <w:sz w:val="20"/>
          <w:szCs w:val="20"/>
        </w:rPr>
        <w:t> </w:t>
      </w:r>
      <w:r>
        <w:rPr>
          <w:rStyle w:val="Emphasis"/>
          <w:rFonts w:ascii="Calibri" w:eastAsiaTheme="majorEastAsia" w:hAnsi="Calibri"/>
          <w:color w:val="333333"/>
          <w:sz w:val="20"/>
          <w:szCs w:val="20"/>
        </w:rPr>
        <w:t>r</w:t>
      </w:r>
      <w:r>
        <w:rPr>
          <w:rFonts w:ascii="Calibri" w:hAnsi="Calibri"/>
          <w:color w:val="333333"/>
          <w:sz w:val="20"/>
          <w:szCs w:val="20"/>
        </w:rPr>
        <w:t>. Compare its value to your comments on the appearance and strength of any linear trend in the scatter diagram that you constructed in the second large data set problem for</w:t>
      </w:r>
      <w:r>
        <w:rPr>
          <w:rStyle w:val="apple-converted-space"/>
          <w:rFonts w:ascii="Calibri" w:hAnsi="Calibri"/>
          <w:color w:val="333333"/>
          <w:sz w:val="20"/>
          <w:szCs w:val="20"/>
        </w:rPr>
        <w:t> </w:t>
      </w:r>
      <w:r>
        <w:rPr>
          <w:rFonts w:ascii="Calibri" w:hAnsi="Calibri"/>
          <w:color w:val="2689C6"/>
          <w:sz w:val="20"/>
          <w:szCs w:val="20"/>
        </w:rPr>
        <w:t>Section 10.1 "Linear Relationships Between Variables"</w:t>
      </w:r>
      <w:r>
        <w:rPr>
          <w:rFonts w:ascii="Calibri" w:hAnsi="Calibri"/>
          <w:color w:val="333333"/>
          <w:sz w:val="20"/>
          <w:szCs w:val="20"/>
        </w:rPr>
        <w:t>.</w:t>
      </w:r>
    </w:p>
    <w:p w:rsidR="00AD77BB" w:rsidRDefault="00B45BA0">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2689C6"/>
          <w:sz w:val="20"/>
          <w:szCs w:val="20"/>
        </w:rPr>
        <w:t>http://www.12.xls</w:t>
      </w:r>
    </w:p>
    <w:p w:rsidR="00AD77BB" w:rsidRDefault="00AD77BB">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rsidR="00AD77BB" w:rsidRDefault="00B45BA0">
      <w:pPr>
        <w:pStyle w:val="para"/>
        <w:numPr>
          <w:ilvl w:val="0"/>
          <w:numId w:val="260"/>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lastRenderedPageBreak/>
        <w:t>Large Data Set 13 records the number of bidders and sales price of a particular type of antique grandfather clock at 60 auctions. Compute the linear correlation coefficient</w:t>
      </w:r>
      <w:r>
        <w:rPr>
          <w:rStyle w:val="apple-converted-space"/>
          <w:rFonts w:ascii="Calibri" w:hAnsi="Calibri"/>
          <w:color w:val="333333"/>
          <w:sz w:val="20"/>
          <w:szCs w:val="20"/>
        </w:rPr>
        <w:t> </w:t>
      </w:r>
      <w:r>
        <w:rPr>
          <w:rStyle w:val="Emphasis"/>
          <w:rFonts w:ascii="Calibri" w:eastAsiaTheme="majorEastAsia" w:hAnsi="Calibri"/>
          <w:color w:val="333333"/>
          <w:sz w:val="20"/>
          <w:szCs w:val="20"/>
        </w:rPr>
        <w:t>r</w:t>
      </w:r>
      <w:r>
        <w:rPr>
          <w:rFonts w:ascii="Calibri" w:hAnsi="Calibri"/>
          <w:color w:val="333333"/>
          <w:sz w:val="20"/>
          <w:szCs w:val="20"/>
        </w:rPr>
        <w:t>. Compare its value to your comments on the appearance and strength of any linear trend in the scatter diagram that you constructed in the third large data set problem for</w:t>
      </w:r>
      <w:r>
        <w:rPr>
          <w:rStyle w:val="apple-converted-space"/>
          <w:rFonts w:ascii="Calibri" w:hAnsi="Calibri"/>
          <w:color w:val="333333"/>
          <w:sz w:val="20"/>
          <w:szCs w:val="20"/>
        </w:rPr>
        <w:t> </w:t>
      </w:r>
      <w:r>
        <w:rPr>
          <w:rFonts w:ascii="Calibri" w:hAnsi="Calibri"/>
          <w:color w:val="2689C6"/>
          <w:sz w:val="20"/>
          <w:szCs w:val="20"/>
        </w:rPr>
        <w:t>Section 10.1 "Linear Relationships Between Variables"</w:t>
      </w:r>
      <w:r>
        <w:rPr>
          <w:rFonts w:ascii="Calibri" w:hAnsi="Calibri"/>
          <w:color w:val="333333"/>
          <w:sz w:val="20"/>
          <w:szCs w:val="20"/>
        </w:rPr>
        <w:t>.</w:t>
      </w:r>
    </w:p>
    <w:p w:rsidR="00AD77BB" w:rsidRDefault="00B45BA0">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2689C6"/>
          <w:sz w:val="20"/>
          <w:szCs w:val="20"/>
        </w:rPr>
        <w:t>http://www.13.xls</w:t>
      </w:r>
    </w:p>
    <w:p w:rsidR="00AD77BB" w:rsidRDefault="00B45BA0">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6DF0002F" wp14:editId="2B440330">
            <wp:extent cx="4829175" cy="6772275"/>
            <wp:effectExtent l="0" t="0" r="9525" b="9525"/>
            <wp:docPr id="391"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829175" cy="6772275"/>
                    </a:xfrm>
                    <a:prstGeom prst="rect">
                      <a:avLst/>
                    </a:prstGeom>
                    <a:noFill/>
                    <a:ln>
                      <a:noFill/>
                    </a:ln>
                  </pic:spPr>
                </pic:pic>
              </a:graphicData>
            </a:graphic>
          </wp:inline>
        </w:drawing>
      </w:r>
    </w:p>
    <w:p w:rsidR="00AD77BB" w:rsidRDefault="00B45B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3"/>
          <w:szCs w:val="33"/>
        </w:rPr>
        <w:lastRenderedPageBreak/>
        <w:t>10.3</w:t>
      </w:r>
      <w:r>
        <w:rPr>
          <w:rStyle w:val="apple-converted-space"/>
          <w:rFonts w:ascii="Calibri" w:hAnsi="Calibri"/>
          <w:color w:val="333333"/>
        </w:rPr>
        <w:t> </w:t>
      </w:r>
      <w:r>
        <w:rPr>
          <w:rFonts w:ascii="Calibri" w:hAnsi="Calibri"/>
          <w:color w:val="333333"/>
        </w:rPr>
        <w:t>Modelling Linear Relationships with Randomness Present</w:t>
      </w:r>
    </w:p>
    <w:p w:rsidR="00AD77BB" w:rsidRDefault="00AD77BB"/>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AD77BB" w:rsidRDefault="00B45BA0">
      <w:pPr>
        <w:numPr>
          <w:ilvl w:val="0"/>
          <w:numId w:val="261"/>
        </w:numPr>
        <w:shd w:val="clear" w:color="auto" w:fill="EAE9DC"/>
        <w:spacing w:after="0" w:line="360" w:lineRule="auto"/>
        <w:ind w:left="360" w:right="375"/>
        <w:textAlignment w:val="baseline"/>
        <w:rPr>
          <w:rFonts w:ascii="Calibri" w:hAnsi="Calibri"/>
          <w:color w:val="333333"/>
          <w:sz w:val="20"/>
          <w:szCs w:val="20"/>
        </w:rPr>
      </w:pPr>
      <w:r>
        <w:rPr>
          <w:rFonts w:ascii="Calibri" w:hAnsi="Calibri"/>
          <w:color w:val="333333"/>
          <w:sz w:val="20"/>
          <w:szCs w:val="20"/>
        </w:rPr>
        <w:t>To learn the framework in which the statistical analysis of the linear relationship between two variables</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Emphasis"/>
          <w:rFonts w:ascii="Calibri" w:hAnsi="Calibri"/>
          <w:color w:val="333333"/>
          <w:sz w:val="20"/>
          <w:szCs w:val="20"/>
        </w:rPr>
        <w:t>y</w:t>
      </w:r>
      <w:r>
        <w:rPr>
          <w:rStyle w:val="apple-converted-space"/>
          <w:rFonts w:ascii="Calibri" w:hAnsi="Calibri"/>
          <w:color w:val="333333"/>
          <w:sz w:val="20"/>
          <w:szCs w:val="20"/>
        </w:rPr>
        <w:t> </w:t>
      </w:r>
      <w:r>
        <w:rPr>
          <w:rFonts w:ascii="Calibri" w:hAnsi="Calibri"/>
          <w:color w:val="333333"/>
          <w:sz w:val="20"/>
          <w:szCs w:val="20"/>
        </w:rPr>
        <w:t>will be done.</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 this chapter we are dealing with a population for which we can associate to each element two measurements,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y</w:t>
      </w:r>
      <w:r>
        <w:rPr>
          <w:rFonts w:ascii="Georgia" w:hAnsi="Georgia"/>
          <w:color w:val="333333"/>
          <w:sz w:val="21"/>
          <w:szCs w:val="21"/>
        </w:rPr>
        <w:t>. We are interested in situations in which the value of</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can be used to draw conclusions about the value of</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y</w:t>
      </w:r>
      <w:r>
        <w:rPr>
          <w:rFonts w:ascii="Georgia" w:hAnsi="Georgia"/>
          <w:color w:val="333333"/>
          <w:sz w:val="21"/>
          <w:szCs w:val="21"/>
        </w:rPr>
        <w:t>, such as predicting the resale value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y</w:t>
      </w:r>
      <w:r>
        <w:rPr>
          <w:rStyle w:val="apple-converted-space"/>
          <w:rFonts w:ascii="Georgia" w:hAnsi="Georgia"/>
          <w:color w:val="333333"/>
          <w:sz w:val="21"/>
          <w:szCs w:val="21"/>
        </w:rPr>
        <w:t> </w:t>
      </w:r>
      <w:r>
        <w:rPr>
          <w:rFonts w:ascii="Georgia" w:hAnsi="Georgia"/>
          <w:color w:val="333333"/>
          <w:sz w:val="21"/>
          <w:szCs w:val="21"/>
        </w:rPr>
        <w:t>of a residential house based on its size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x</w:t>
      </w:r>
      <w:r>
        <w:rPr>
          <w:rFonts w:ascii="Georgia" w:hAnsi="Georgia"/>
          <w:color w:val="333333"/>
          <w:sz w:val="21"/>
          <w:szCs w:val="21"/>
        </w:rPr>
        <w:t>. Since the relationship between</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y</w:t>
      </w:r>
      <w:r>
        <w:rPr>
          <w:rStyle w:val="apple-converted-space"/>
          <w:rFonts w:ascii="Georgia" w:hAnsi="Georgia"/>
          <w:color w:val="333333"/>
          <w:sz w:val="21"/>
          <w:szCs w:val="21"/>
        </w:rPr>
        <w:t> </w:t>
      </w:r>
      <w:r>
        <w:rPr>
          <w:rFonts w:ascii="Georgia" w:hAnsi="Georgia"/>
          <w:color w:val="333333"/>
          <w:sz w:val="21"/>
          <w:szCs w:val="21"/>
        </w:rPr>
        <w:t>is not deterministic, statistical procedures must be applied. For any statistical procedures, given in this book or elsewhere, the associated formulas are valid only under specific assumptions. The set of assumptions in simple linear regression are a mathematical description of the relationship between</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y</w:t>
      </w:r>
      <w:r>
        <w:rPr>
          <w:rFonts w:ascii="Georgia" w:hAnsi="Georgia"/>
          <w:color w:val="333333"/>
          <w:sz w:val="21"/>
          <w:szCs w:val="21"/>
        </w:rPr>
        <w:t>. Such a set of assumptions is known as a</w:t>
      </w:r>
      <w:r>
        <w:rPr>
          <w:rStyle w:val="apple-converted-space"/>
          <w:rFonts w:ascii="Georgia" w:hAnsi="Georgia"/>
          <w:color w:val="333333"/>
          <w:sz w:val="21"/>
          <w:szCs w:val="21"/>
        </w:rPr>
        <w:t> </w:t>
      </w:r>
      <w:r>
        <w:rPr>
          <w:rStyle w:val="Strong"/>
          <w:rFonts w:ascii="Georgia" w:eastAsiaTheme="majorEastAsia" w:hAnsi="Georgia"/>
          <w:color w:val="333333"/>
          <w:sz w:val="20"/>
          <w:szCs w:val="20"/>
        </w:rPr>
        <w:t>model</w:t>
      </w:r>
      <w:r>
        <w:rPr>
          <w:rFonts w:ascii="Georgia" w:hAnsi="Georgia"/>
          <w:color w:val="333333"/>
          <w:sz w:val="21"/>
          <w:szCs w:val="21"/>
        </w:rPr>
        <w:t>.</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For each fixed value of</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a sub-population of the full population is determined, such as the collection of all houses with 2,100 square feet of living space. For each element of that sub-population there is a measurement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y</w:t>
      </w:r>
      <w:r>
        <w:rPr>
          <w:rFonts w:ascii="Georgia" w:hAnsi="Georgia"/>
          <w:color w:val="333333"/>
          <w:sz w:val="21"/>
          <w:szCs w:val="21"/>
        </w:rPr>
        <w:t>, such as the value of any 2,100-square-foot house. Let</w:t>
      </w:r>
      <w:r>
        <w:rPr>
          <w:rStyle w:val="apple-converted-space"/>
          <w:rFonts w:ascii="Georgia" w:hAnsi="Georgia"/>
          <w:color w:val="333333"/>
          <w:sz w:val="21"/>
          <w:szCs w:val="21"/>
        </w:rPr>
        <w:t> </w:t>
      </w:r>
      <w:r>
        <w:rPr>
          <w:rStyle w:val="mi"/>
          <w:rFonts w:ascii="MathJax_Math" w:hAnsi="MathJax_Math"/>
          <w:b/>
          <w:i/>
          <w:iCs/>
          <w:color w:val="333333"/>
          <w:sz w:val="20"/>
          <w:szCs w:val="20"/>
        </w:rPr>
        <w:t>E</w:t>
      </w:r>
      <w:r>
        <w:rPr>
          <w:rStyle w:val="mo"/>
          <w:rFonts w:ascii="MathJax_Main" w:hAnsi="MathJax_Main"/>
          <w:b/>
          <w:color w:val="333333"/>
          <w:sz w:val="20"/>
          <w:szCs w:val="20"/>
        </w:rPr>
        <w:t>(</w:t>
      </w:r>
      <w:r>
        <w:rPr>
          <w:rStyle w:val="mi"/>
          <w:rFonts w:ascii="MathJax_Math" w:hAnsi="MathJax_Math"/>
          <w:b/>
          <w:i/>
          <w:iCs/>
          <w:color w:val="333333"/>
          <w:sz w:val="20"/>
          <w:szCs w:val="20"/>
        </w:rPr>
        <w:t>y</w:t>
      </w:r>
      <w:r>
        <w:rPr>
          <w:rStyle w:val="mo"/>
          <w:rFonts w:ascii="MathJax_Main" w:hAnsi="MathJax_Main"/>
          <w:b/>
          <w:color w:val="333333"/>
          <w:sz w:val="20"/>
          <w:szCs w:val="20"/>
        </w:rPr>
        <w:t xml:space="preserve">) </w:t>
      </w:r>
      <w:r>
        <w:rPr>
          <w:rFonts w:ascii="Georgia" w:hAnsi="Georgia"/>
          <w:color w:val="333333"/>
          <w:sz w:val="21"/>
          <w:szCs w:val="21"/>
        </w:rPr>
        <w:t>denote the mean of all the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y</w:t>
      </w:r>
      <w:r>
        <w:rPr>
          <w:rFonts w:ascii="Georgia" w:hAnsi="Georgia"/>
          <w:color w:val="333333"/>
          <w:sz w:val="21"/>
          <w:szCs w:val="21"/>
        </w:rPr>
        <w:t>-values for each particular value of</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x</w:t>
      </w:r>
      <w:r>
        <w:rPr>
          <w:rFonts w:ascii="Georgia" w:hAnsi="Georgia"/>
          <w:color w:val="333333"/>
          <w:sz w:val="21"/>
          <w:szCs w:val="21"/>
        </w:rPr>
        <w:t>.</w:t>
      </w:r>
      <w:r>
        <w:rPr>
          <w:rStyle w:val="apple-converted-space"/>
          <w:rFonts w:ascii="Georgia" w:hAnsi="Georgia"/>
          <w:color w:val="333333"/>
          <w:sz w:val="21"/>
          <w:szCs w:val="21"/>
        </w:rPr>
        <w:t> </w:t>
      </w:r>
      <w:r>
        <w:rPr>
          <w:rStyle w:val="mi"/>
          <w:rFonts w:ascii="MathJax_Math" w:hAnsi="MathJax_Math"/>
          <w:b/>
          <w:i/>
          <w:iCs/>
          <w:color w:val="333333"/>
          <w:sz w:val="20"/>
          <w:szCs w:val="20"/>
        </w:rPr>
        <w:t>E</w:t>
      </w:r>
      <w:r>
        <w:rPr>
          <w:rStyle w:val="mo"/>
          <w:rFonts w:ascii="MathJax_Main" w:hAnsi="MathJax_Main"/>
          <w:b/>
          <w:color w:val="333333"/>
          <w:sz w:val="20"/>
          <w:szCs w:val="20"/>
        </w:rPr>
        <w:t>(</w:t>
      </w:r>
      <w:r>
        <w:rPr>
          <w:rStyle w:val="mi"/>
          <w:rFonts w:ascii="MathJax_Math" w:hAnsi="MathJax_Math"/>
          <w:b/>
          <w:i/>
          <w:iCs/>
          <w:color w:val="333333"/>
          <w:sz w:val="20"/>
          <w:szCs w:val="20"/>
        </w:rPr>
        <w:t>y</w:t>
      </w:r>
      <w:r>
        <w:rPr>
          <w:rStyle w:val="mo"/>
          <w:rFonts w:ascii="MathJax_Main" w:hAnsi="MathJax_Main"/>
          <w:b/>
          <w:color w:val="333333"/>
          <w:sz w:val="20"/>
          <w:szCs w:val="20"/>
        </w:rPr>
        <w:t>)</w:t>
      </w:r>
      <w:r>
        <w:rPr>
          <w:rStyle w:val="apple-converted-space"/>
          <w:rFonts w:ascii="Georgia" w:hAnsi="Georgia"/>
          <w:color w:val="333333"/>
          <w:sz w:val="21"/>
          <w:szCs w:val="21"/>
        </w:rPr>
        <w:t> </w:t>
      </w:r>
      <w:r>
        <w:rPr>
          <w:rFonts w:ascii="Georgia" w:hAnsi="Georgia"/>
          <w:color w:val="333333"/>
          <w:sz w:val="21"/>
          <w:szCs w:val="21"/>
        </w:rPr>
        <w:t>can change from</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x</w:t>
      </w:r>
      <w:r>
        <w:rPr>
          <w:rFonts w:ascii="Georgia" w:hAnsi="Georgia"/>
          <w:color w:val="333333"/>
          <w:sz w:val="21"/>
          <w:szCs w:val="21"/>
        </w:rPr>
        <w:t>-value to</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x</w:t>
      </w:r>
      <w:r>
        <w:rPr>
          <w:rFonts w:ascii="Georgia" w:hAnsi="Georgia"/>
          <w:color w:val="333333"/>
          <w:sz w:val="21"/>
          <w:szCs w:val="21"/>
        </w:rPr>
        <w:t>-value, such as the mean value of all 2,100-square-foot houses, the (different) mean value for all 2,500-square foot-houses, and so on.</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Our first assumption is that the relationship between</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and the mean of the</w:t>
      </w:r>
      <w:r>
        <w:rPr>
          <w:rStyle w:val="Emphasis"/>
          <w:rFonts w:ascii="Georgia" w:hAnsi="Georgia"/>
          <w:color w:val="333333"/>
          <w:sz w:val="20"/>
          <w:szCs w:val="20"/>
        </w:rPr>
        <w:t>y</w:t>
      </w:r>
      <w:r>
        <w:rPr>
          <w:rFonts w:ascii="Georgia" w:hAnsi="Georgia"/>
          <w:color w:val="333333"/>
          <w:sz w:val="21"/>
          <w:szCs w:val="21"/>
        </w:rPr>
        <w:t>-values in the sub-population determined by</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is linear. This means that there exist numbers</w:t>
      </w:r>
      <w:r>
        <w:rPr>
          <w:rStyle w:val="apple-converted-space"/>
          <w:rFonts w:ascii="Georgia" w:hAnsi="Georgia"/>
          <w:color w:val="333333"/>
          <w:sz w:val="21"/>
          <w:szCs w:val="21"/>
        </w:rPr>
        <w:t> </w:t>
      </w:r>
      <w:r>
        <w:rPr>
          <w:rStyle w:val="mi"/>
          <w:rFonts w:ascii="MathJax_Math" w:hAnsi="MathJax_Math"/>
          <w:i/>
          <w:iCs/>
          <w:color w:val="333333"/>
          <w:sz w:val="20"/>
          <w:szCs w:val="20"/>
        </w:rPr>
        <w:t>β</w:t>
      </w:r>
      <w:r>
        <w:rPr>
          <w:rStyle w:val="mn"/>
          <w:rFonts w:ascii="MathJax_Main" w:hAnsi="MathJax_Main"/>
          <w:color w:val="333333"/>
          <w:sz w:val="15"/>
          <w:szCs w:val="15"/>
        </w:rPr>
        <w:t>1</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mi"/>
          <w:rFonts w:ascii="MathJax_Math" w:hAnsi="MathJax_Math"/>
          <w:i/>
          <w:iCs/>
          <w:color w:val="333333"/>
          <w:sz w:val="20"/>
          <w:szCs w:val="20"/>
        </w:rPr>
        <w:t>β</w:t>
      </w:r>
      <w:r>
        <w:rPr>
          <w:rStyle w:val="mn"/>
          <w:rFonts w:ascii="MathJax_Main" w:hAnsi="MathJax_Main"/>
          <w:color w:val="333333"/>
          <w:sz w:val="15"/>
          <w:szCs w:val="15"/>
        </w:rPr>
        <w:t>0</w:t>
      </w:r>
      <w:r>
        <w:rPr>
          <w:rStyle w:val="apple-converted-space"/>
          <w:rFonts w:ascii="Georgia" w:hAnsi="Georgia"/>
          <w:color w:val="333333"/>
          <w:sz w:val="21"/>
          <w:szCs w:val="21"/>
        </w:rPr>
        <w:t> </w:t>
      </w:r>
      <w:r>
        <w:rPr>
          <w:rFonts w:ascii="Georgia" w:hAnsi="Georgia"/>
          <w:color w:val="333333"/>
          <w:sz w:val="21"/>
          <w:szCs w:val="21"/>
        </w:rPr>
        <w:t>such that</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spacing w:line="360" w:lineRule="auto"/>
        <w:jc w:val="center"/>
        <w:textAlignment w:val="baseline"/>
        <w:rPr>
          <w:rFonts w:ascii="Calibri" w:hAnsi="Calibri"/>
          <w:b/>
          <w:color w:val="555555"/>
          <w:sz w:val="23"/>
          <w:szCs w:val="23"/>
          <w:shd w:val="clear" w:color="auto" w:fill="FFFFFF"/>
        </w:rPr>
      </w:pPr>
      <w:r>
        <w:rPr>
          <w:rStyle w:val="mi"/>
          <w:rFonts w:ascii="MathJax_Math" w:hAnsi="MathJax_Math"/>
          <w:b/>
          <w:i/>
          <w:iCs/>
          <w:color w:val="555555"/>
          <w:sz w:val="20"/>
          <w:szCs w:val="20"/>
          <w:shd w:val="clear" w:color="auto" w:fill="FFFFFF"/>
        </w:rPr>
        <w:t>E</w:t>
      </w:r>
      <w:r>
        <w:rPr>
          <w:rStyle w:val="mo"/>
          <w:rFonts w:ascii="MathJax_Main" w:hAnsi="MathJax_Main"/>
          <w:b/>
          <w:color w:val="555555"/>
          <w:sz w:val="20"/>
          <w:szCs w:val="20"/>
          <w:shd w:val="clear" w:color="auto" w:fill="FFFFFF"/>
        </w:rPr>
        <w:t>(</w:t>
      </w:r>
      <w:r>
        <w:rPr>
          <w:rStyle w:val="mi"/>
          <w:rFonts w:ascii="MathJax_Math" w:hAnsi="MathJax_Math"/>
          <w:b/>
          <w:i/>
          <w:iCs/>
          <w:color w:val="555555"/>
          <w:sz w:val="20"/>
          <w:szCs w:val="20"/>
          <w:shd w:val="clear" w:color="auto" w:fill="FFFFFF"/>
        </w:rPr>
        <w:t>y</w:t>
      </w:r>
      <w:r>
        <w:rPr>
          <w:rStyle w:val="mo"/>
          <w:rFonts w:ascii="MathJax_Main" w:hAnsi="MathJax_Main"/>
          <w:b/>
          <w:color w:val="555555"/>
          <w:sz w:val="20"/>
          <w:szCs w:val="20"/>
          <w:shd w:val="clear" w:color="auto" w:fill="FFFFFF"/>
        </w:rPr>
        <w:t>)=</w:t>
      </w:r>
      <w:r>
        <w:rPr>
          <w:rStyle w:val="mi"/>
          <w:rFonts w:ascii="MathJax_Math" w:hAnsi="MathJax_Math"/>
          <w:b/>
          <w:i/>
          <w:iCs/>
          <w:color w:val="555555"/>
          <w:sz w:val="20"/>
          <w:szCs w:val="20"/>
          <w:shd w:val="clear" w:color="auto" w:fill="FFFFFF"/>
        </w:rPr>
        <w:t>β</w:t>
      </w:r>
      <w:r>
        <w:rPr>
          <w:rStyle w:val="mn"/>
          <w:rFonts w:ascii="MathJax_Main" w:hAnsi="MathJax_Main"/>
          <w:b/>
          <w:color w:val="555555"/>
          <w:sz w:val="15"/>
          <w:szCs w:val="15"/>
          <w:shd w:val="clear" w:color="auto" w:fill="FFFFFF"/>
        </w:rPr>
        <w:t>1</w:t>
      </w:r>
      <w:r>
        <w:rPr>
          <w:rStyle w:val="mi"/>
          <w:rFonts w:ascii="MathJax_Math" w:hAnsi="MathJax_Math"/>
          <w:b/>
          <w:i/>
          <w:iCs/>
          <w:color w:val="555555"/>
          <w:sz w:val="20"/>
          <w:szCs w:val="20"/>
          <w:shd w:val="clear" w:color="auto" w:fill="FFFFFF"/>
        </w:rPr>
        <w:t>x</w:t>
      </w:r>
      <w:r>
        <w:rPr>
          <w:rStyle w:val="mo"/>
          <w:rFonts w:ascii="MathJax_Main" w:hAnsi="MathJax_Main"/>
          <w:b/>
          <w:color w:val="555555"/>
          <w:sz w:val="20"/>
          <w:szCs w:val="20"/>
          <w:shd w:val="clear" w:color="auto" w:fill="FFFFFF"/>
        </w:rPr>
        <w:t>+</w:t>
      </w:r>
      <w:r>
        <w:rPr>
          <w:rStyle w:val="mi"/>
          <w:rFonts w:ascii="MathJax_Math" w:hAnsi="MathJax_Math"/>
          <w:b/>
          <w:i/>
          <w:iCs/>
          <w:color w:val="555555"/>
          <w:sz w:val="20"/>
          <w:szCs w:val="20"/>
          <w:shd w:val="clear" w:color="auto" w:fill="FFFFFF"/>
        </w:rPr>
        <w:t>β</w:t>
      </w:r>
      <w:r>
        <w:rPr>
          <w:rStyle w:val="mn"/>
          <w:rFonts w:ascii="MathJax_Main" w:hAnsi="MathJax_Main"/>
          <w:b/>
          <w:color w:val="555555"/>
          <w:sz w:val="15"/>
          <w:szCs w:val="15"/>
          <w:shd w:val="clear" w:color="auto" w:fill="FFFFFF"/>
        </w:rPr>
        <w:t>0</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This linear relationship is the reason for the word “linear” in “simple linear regression” below. (The word “simple” means that</w:t>
      </w:r>
      <w:r>
        <w:rPr>
          <w:rStyle w:val="apple-converted-space"/>
          <w:rFonts w:ascii="Georgia" w:hAnsi="Georgia"/>
          <w:color w:val="333333"/>
          <w:sz w:val="21"/>
          <w:szCs w:val="21"/>
        </w:rPr>
        <w:t> </w:t>
      </w:r>
      <w:r>
        <w:rPr>
          <w:rStyle w:val="Emphasis"/>
          <w:rFonts w:ascii="Georgia" w:hAnsi="Georgia"/>
          <w:color w:val="333333"/>
          <w:sz w:val="20"/>
          <w:szCs w:val="20"/>
        </w:rPr>
        <w:t>y</w:t>
      </w:r>
      <w:r>
        <w:rPr>
          <w:rStyle w:val="apple-converted-space"/>
          <w:rFonts w:ascii="Georgia" w:hAnsi="Georgia"/>
          <w:color w:val="333333"/>
          <w:sz w:val="21"/>
          <w:szCs w:val="21"/>
        </w:rPr>
        <w:t> </w:t>
      </w:r>
      <w:r>
        <w:rPr>
          <w:rFonts w:ascii="Georgia" w:hAnsi="Georgia"/>
          <w:color w:val="333333"/>
          <w:sz w:val="21"/>
          <w:szCs w:val="21"/>
        </w:rPr>
        <w:t>depends on only one other variable and not two or more.)</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Our next assumption is that for each value of</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the</w:t>
      </w:r>
      <w:r>
        <w:rPr>
          <w:rStyle w:val="apple-converted-space"/>
          <w:rFonts w:ascii="Georgia" w:hAnsi="Georgia"/>
          <w:color w:val="333333"/>
          <w:sz w:val="21"/>
          <w:szCs w:val="21"/>
        </w:rPr>
        <w:t> </w:t>
      </w:r>
      <w:r>
        <w:rPr>
          <w:rStyle w:val="Emphasis"/>
          <w:rFonts w:ascii="Georgia" w:hAnsi="Georgia"/>
          <w:color w:val="333333"/>
          <w:sz w:val="20"/>
          <w:szCs w:val="20"/>
        </w:rPr>
        <w:t>y</w:t>
      </w:r>
      <w:r>
        <w:rPr>
          <w:rFonts w:ascii="Georgia" w:hAnsi="Georgia"/>
          <w:color w:val="333333"/>
          <w:sz w:val="21"/>
          <w:szCs w:val="21"/>
        </w:rPr>
        <w:t>-values scatter about the mean</w:t>
      </w:r>
      <w:r>
        <w:rPr>
          <w:rStyle w:val="apple-converted-space"/>
          <w:rFonts w:ascii="Georgia" w:hAnsi="Georgia"/>
          <w:color w:val="333333"/>
          <w:sz w:val="21"/>
          <w:szCs w:val="21"/>
        </w:rPr>
        <w:t> </w:t>
      </w:r>
      <w:r>
        <w:rPr>
          <w:rStyle w:val="mi"/>
          <w:rFonts w:ascii="MathJax_Math" w:hAnsi="MathJax_Math"/>
          <w:i/>
          <w:iCs/>
          <w:color w:val="333333"/>
          <w:sz w:val="20"/>
          <w:szCs w:val="20"/>
        </w:rPr>
        <w:t>E</w:t>
      </w:r>
      <w:r>
        <w:rPr>
          <w:rStyle w:val="mo"/>
          <w:rFonts w:ascii="MathJax_Main" w:hAnsi="MathJax_Main"/>
          <w:color w:val="333333"/>
          <w:sz w:val="20"/>
          <w:szCs w:val="20"/>
        </w:rPr>
        <w:t>(</w:t>
      </w:r>
      <w:r>
        <w:rPr>
          <w:rStyle w:val="mi"/>
          <w:rFonts w:ascii="MathJax_Math" w:hAnsi="MathJax_Math"/>
          <w:i/>
          <w:iCs/>
          <w:color w:val="333333"/>
          <w:sz w:val="20"/>
          <w:szCs w:val="20"/>
        </w:rPr>
        <w:t>y</w:t>
      </w:r>
      <w:r>
        <w:rPr>
          <w:rStyle w:val="mo"/>
          <w:rFonts w:ascii="MathJax_Main" w:hAnsi="MathJax_Main"/>
          <w:color w:val="333333"/>
          <w:sz w:val="20"/>
          <w:szCs w:val="20"/>
        </w:rPr>
        <w:t>)</w:t>
      </w:r>
      <w:r>
        <w:rPr>
          <w:rStyle w:val="apple-converted-space"/>
          <w:rFonts w:ascii="Georgia" w:hAnsi="Georgia"/>
          <w:color w:val="333333"/>
          <w:sz w:val="21"/>
          <w:szCs w:val="21"/>
        </w:rPr>
        <w:t> </w:t>
      </w:r>
      <w:r>
        <w:rPr>
          <w:rFonts w:ascii="Georgia" w:hAnsi="Georgia"/>
          <w:color w:val="333333"/>
          <w:sz w:val="21"/>
          <w:szCs w:val="21"/>
        </w:rPr>
        <w:t>according to a normal distribution centered at</w:t>
      </w:r>
      <w:r>
        <w:rPr>
          <w:rStyle w:val="apple-converted-space"/>
          <w:rFonts w:ascii="Georgia" w:hAnsi="Georgia"/>
          <w:color w:val="333333"/>
          <w:sz w:val="21"/>
          <w:szCs w:val="21"/>
        </w:rPr>
        <w:t> </w:t>
      </w:r>
      <w:r>
        <w:rPr>
          <w:rStyle w:val="mi"/>
          <w:rFonts w:ascii="MathJax_Math" w:hAnsi="MathJax_Math"/>
          <w:i/>
          <w:iCs/>
          <w:color w:val="333333"/>
          <w:sz w:val="20"/>
          <w:szCs w:val="20"/>
        </w:rPr>
        <w:t>E</w:t>
      </w:r>
      <w:r>
        <w:rPr>
          <w:rStyle w:val="mo"/>
          <w:rFonts w:ascii="MathJax_Main" w:hAnsi="MathJax_Main"/>
          <w:color w:val="333333"/>
          <w:sz w:val="20"/>
          <w:szCs w:val="20"/>
        </w:rPr>
        <w:t>(</w:t>
      </w:r>
      <w:r>
        <w:rPr>
          <w:rStyle w:val="mi"/>
          <w:rFonts w:ascii="MathJax_Math" w:hAnsi="MathJax_Math"/>
          <w:i/>
          <w:iCs/>
          <w:color w:val="333333"/>
          <w:sz w:val="20"/>
          <w:szCs w:val="20"/>
        </w:rPr>
        <w:t>y</w:t>
      </w:r>
      <w:r>
        <w:rPr>
          <w:rStyle w:val="mo"/>
          <w:rFonts w:ascii="MathJax_Main" w:hAnsi="MathJax_Main"/>
          <w:color w:val="333333"/>
          <w:sz w:val="20"/>
          <w:szCs w:val="20"/>
        </w:rPr>
        <w:t>)</w:t>
      </w:r>
      <w:r>
        <w:rPr>
          <w:rStyle w:val="apple-converted-space"/>
          <w:rFonts w:ascii="Georgia" w:hAnsi="Georgia"/>
          <w:color w:val="333333"/>
          <w:sz w:val="21"/>
          <w:szCs w:val="21"/>
        </w:rPr>
        <w:t> </w:t>
      </w:r>
      <w:r>
        <w:rPr>
          <w:rFonts w:ascii="Georgia" w:hAnsi="Georgia"/>
          <w:color w:val="333333"/>
          <w:sz w:val="21"/>
          <w:szCs w:val="21"/>
        </w:rPr>
        <w:t>and with a standard deviation</w:t>
      </w:r>
      <w:r>
        <w:rPr>
          <w:rStyle w:val="apple-converted-space"/>
          <w:rFonts w:ascii="Georgia" w:hAnsi="Georgia"/>
          <w:color w:val="333333"/>
          <w:sz w:val="21"/>
          <w:szCs w:val="21"/>
        </w:rPr>
        <w:t> </w:t>
      </w:r>
      <w:r>
        <w:rPr>
          <w:rStyle w:val="Emphasis"/>
          <w:rFonts w:ascii="Georgia" w:hAnsi="Georgia"/>
          <w:color w:val="333333"/>
          <w:sz w:val="20"/>
          <w:szCs w:val="20"/>
        </w:rPr>
        <w:t>σ</w:t>
      </w:r>
      <w:r>
        <w:rPr>
          <w:rStyle w:val="apple-converted-space"/>
          <w:rFonts w:ascii="Georgia" w:hAnsi="Georgia"/>
          <w:color w:val="333333"/>
          <w:sz w:val="21"/>
          <w:szCs w:val="21"/>
        </w:rPr>
        <w:t> </w:t>
      </w:r>
      <w:r>
        <w:rPr>
          <w:rFonts w:ascii="Georgia" w:hAnsi="Georgia"/>
          <w:color w:val="333333"/>
          <w:sz w:val="21"/>
          <w:szCs w:val="21"/>
        </w:rPr>
        <w:t>that is the same for every value of</w:t>
      </w:r>
      <w:r>
        <w:rPr>
          <w:rStyle w:val="apple-converted-space"/>
          <w:rFonts w:ascii="Georgia" w:hAnsi="Georgia"/>
          <w:color w:val="333333"/>
          <w:sz w:val="21"/>
          <w:szCs w:val="21"/>
        </w:rPr>
        <w:t> </w:t>
      </w:r>
      <w:r>
        <w:rPr>
          <w:rStyle w:val="Emphasis"/>
          <w:rFonts w:ascii="Georgia" w:hAnsi="Georgia"/>
          <w:color w:val="333333"/>
          <w:sz w:val="20"/>
          <w:szCs w:val="20"/>
        </w:rPr>
        <w:t>x</w:t>
      </w:r>
      <w:r>
        <w:rPr>
          <w:rFonts w:ascii="Georgia" w:hAnsi="Georgia"/>
          <w:color w:val="333333"/>
          <w:sz w:val="21"/>
          <w:szCs w:val="21"/>
        </w:rPr>
        <w:t>. This is the same as saying that there exists a normally distributed random variable</w:t>
      </w:r>
      <w:r>
        <w:rPr>
          <w:rStyle w:val="apple-converted-space"/>
          <w:rFonts w:ascii="Georgia" w:hAnsi="Georgia"/>
          <w:color w:val="333333"/>
          <w:sz w:val="21"/>
          <w:szCs w:val="21"/>
        </w:rPr>
        <w:t> </w:t>
      </w:r>
      <w:r>
        <w:rPr>
          <w:rStyle w:val="Emphasis"/>
          <w:rFonts w:ascii="Georgia" w:hAnsi="Georgia"/>
          <w:color w:val="333333"/>
          <w:sz w:val="20"/>
          <w:szCs w:val="20"/>
        </w:rPr>
        <w:t>ε</w:t>
      </w:r>
      <w:r>
        <w:rPr>
          <w:rStyle w:val="apple-converted-space"/>
          <w:rFonts w:ascii="Georgia" w:hAnsi="Georgia"/>
          <w:color w:val="333333"/>
          <w:sz w:val="21"/>
          <w:szCs w:val="21"/>
        </w:rPr>
        <w:t> </w:t>
      </w:r>
      <w:r>
        <w:rPr>
          <w:rFonts w:ascii="Georgia" w:hAnsi="Georgia"/>
          <w:color w:val="333333"/>
          <w:sz w:val="21"/>
          <w:szCs w:val="21"/>
        </w:rPr>
        <w:t>with mean 0 and standard deviation</w:t>
      </w:r>
      <w:r>
        <w:rPr>
          <w:rStyle w:val="apple-converted-space"/>
          <w:rFonts w:ascii="Georgia" w:hAnsi="Georgia"/>
          <w:color w:val="333333"/>
          <w:sz w:val="21"/>
          <w:szCs w:val="21"/>
        </w:rPr>
        <w:t> </w:t>
      </w:r>
      <w:r>
        <w:rPr>
          <w:rStyle w:val="Emphasis"/>
          <w:rFonts w:ascii="Georgia" w:hAnsi="Georgia"/>
          <w:color w:val="333333"/>
          <w:sz w:val="20"/>
          <w:szCs w:val="20"/>
        </w:rPr>
        <w:t>σ</w:t>
      </w:r>
      <w:r>
        <w:rPr>
          <w:rStyle w:val="apple-converted-space"/>
          <w:rFonts w:ascii="Georgia" w:hAnsi="Georgia"/>
          <w:color w:val="333333"/>
          <w:sz w:val="21"/>
          <w:szCs w:val="21"/>
        </w:rPr>
        <w:t> </w:t>
      </w:r>
      <w:r>
        <w:rPr>
          <w:rFonts w:ascii="Georgia" w:hAnsi="Georgia"/>
          <w:color w:val="333333"/>
          <w:sz w:val="21"/>
          <w:szCs w:val="21"/>
        </w:rPr>
        <w:t>so that the relationship between</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rPr>
        <w:t>y</w:t>
      </w:r>
      <w:r>
        <w:rPr>
          <w:rStyle w:val="apple-converted-space"/>
          <w:rFonts w:ascii="Georgia" w:hAnsi="Georgia"/>
          <w:color w:val="333333"/>
          <w:sz w:val="21"/>
          <w:szCs w:val="21"/>
        </w:rPr>
        <w:t> </w:t>
      </w:r>
      <w:r>
        <w:rPr>
          <w:rFonts w:ascii="Georgia" w:hAnsi="Georgia"/>
          <w:color w:val="333333"/>
          <w:sz w:val="21"/>
          <w:szCs w:val="21"/>
        </w:rPr>
        <w:t>in the whole population is</w:t>
      </w:r>
    </w:p>
    <w:p w:rsidR="00AD77BB" w:rsidRDefault="00B45BA0">
      <w:pPr>
        <w:spacing w:line="360" w:lineRule="auto"/>
        <w:jc w:val="center"/>
        <w:textAlignment w:val="baseline"/>
        <w:rPr>
          <w:rFonts w:ascii="Calibri" w:hAnsi="Calibri"/>
          <w:b/>
          <w:color w:val="555555"/>
          <w:sz w:val="23"/>
          <w:szCs w:val="23"/>
          <w:shd w:val="clear" w:color="auto" w:fill="FFFFFF"/>
        </w:rPr>
      </w:pPr>
      <w:r>
        <w:rPr>
          <w:rStyle w:val="mi"/>
          <w:rFonts w:ascii="MathJax_Math" w:hAnsi="MathJax_Math"/>
          <w:b/>
          <w:i/>
          <w:iCs/>
          <w:color w:val="555555"/>
          <w:sz w:val="20"/>
          <w:szCs w:val="20"/>
          <w:shd w:val="clear" w:color="auto" w:fill="FFFFFF"/>
        </w:rPr>
        <w:t>y</w:t>
      </w:r>
      <w:r>
        <w:rPr>
          <w:rStyle w:val="mo"/>
          <w:rFonts w:ascii="MathJax_Main" w:hAnsi="MathJax_Main"/>
          <w:b/>
          <w:color w:val="555555"/>
          <w:sz w:val="20"/>
          <w:szCs w:val="20"/>
          <w:shd w:val="clear" w:color="auto" w:fill="FFFFFF"/>
        </w:rPr>
        <w:t>=</w:t>
      </w:r>
      <w:r>
        <w:rPr>
          <w:rStyle w:val="mi"/>
          <w:rFonts w:ascii="MathJax_Math" w:hAnsi="MathJax_Math"/>
          <w:b/>
          <w:i/>
          <w:iCs/>
          <w:color w:val="555555"/>
          <w:sz w:val="20"/>
          <w:szCs w:val="20"/>
          <w:shd w:val="clear" w:color="auto" w:fill="FFFFFF"/>
        </w:rPr>
        <w:t>β</w:t>
      </w:r>
      <w:r>
        <w:rPr>
          <w:rStyle w:val="mn"/>
          <w:rFonts w:ascii="MathJax_Main" w:hAnsi="MathJax_Main"/>
          <w:b/>
          <w:color w:val="555555"/>
          <w:sz w:val="15"/>
          <w:szCs w:val="15"/>
          <w:shd w:val="clear" w:color="auto" w:fill="FFFFFF"/>
        </w:rPr>
        <w:t>1</w:t>
      </w:r>
      <w:r>
        <w:rPr>
          <w:rStyle w:val="mi"/>
          <w:rFonts w:ascii="MathJax_Math" w:hAnsi="MathJax_Math"/>
          <w:b/>
          <w:i/>
          <w:iCs/>
          <w:color w:val="555555"/>
          <w:sz w:val="20"/>
          <w:szCs w:val="20"/>
          <w:shd w:val="clear" w:color="auto" w:fill="FFFFFF"/>
        </w:rPr>
        <w:t>x</w:t>
      </w:r>
      <w:r>
        <w:rPr>
          <w:rStyle w:val="mo"/>
          <w:rFonts w:ascii="MathJax_Main" w:hAnsi="MathJax_Main"/>
          <w:b/>
          <w:color w:val="555555"/>
          <w:sz w:val="20"/>
          <w:szCs w:val="20"/>
          <w:shd w:val="clear" w:color="auto" w:fill="FFFFFF"/>
        </w:rPr>
        <w:t>+</w:t>
      </w:r>
      <w:r>
        <w:rPr>
          <w:rStyle w:val="mi"/>
          <w:rFonts w:ascii="MathJax_Math" w:hAnsi="MathJax_Math"/>
          <w:b/>
          <w:i/>
          <w:iCs/>
          <w:color w:val="555555"/>
          <w:sz w:val="20"/>
          <w:szCs w:val="20"/>
          <w:shd w:val="clear" w:color="auto" w:fill="FFFFFF"/>
        </w:rPr>
        <w:t>β</w:t>
      </w:r>
      <w:r>
        <w:rPr>
          <w:rStyle w:val="mn"/>
          <w:rFonts w:ascii="MathJax_Main" w:hAnsi="MathJax_Main"/>
          <w:b/>
          <w:color w:val="555555"/>
          <w:sz w:val="15"/>
          <w:szCs w:val="15"/>
          <w:shd w:val="clear" w:color="auto" w:fill="FFFFFF"/>
        </w:rPr>
        <w:t>0</w:t>
      </w:r>
      <w:r>
        <w:rPr>
          <w:rStyle w:val="mo"/>
          <w:rFonts w:ascii="MathJax_Main" w:hAnsi="MathJax_Main"/>
          <w:b/>
          <w:color w:val="555555"/>
          <w:sz w:val="20"/>
          <w:szCs w:val="20"/>
          <w:shd w:val="clear" w:color="auto" w:fill="FFFFFF"/>
        </w:rPr>
        <w:t>+</w:t>
      </w:r>
      <w:r>
        <w:rPr>
          <w:rStyle w:val="mi"/>
          <w:rFonts w:ascii="MathJax_Math" w:hAnsi="MathJax_Math"/>
          <w:b/>
          <w:i/>
          <w:iCs/>
          <w:color w:val="555555"/>
          <w:sz w:val="20"/>
          <w:szCs w:val="20"/>
          <w:shd w:val="clear" w:color="auto" w:fill="FFFFFF"/>
        </w:rPr>
        <w:t>ε</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Our last assumption is that the random deviations associated with different observations are independent.</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lastRenderedPageBreak/>
        <w:t>In summary, the model is:</w:t>
      </w:r>
    </w:p>
    <w:p w:rsidR="00AD77BB" w:rsidRDefault="00B45BA0">
      <w:pPr>
        <w:pStyle w:val="Heading3"/>
        <w:shd w:val="clear" w:color="auto" w:fill="F4F4F4"/>
        <w:spacing w:before="0" w:beforeAutospacing="0" w:after="0" w:afterAutospacing="0" w:line="360" w:lineRule="auto"/>
        <w:textAlignment w:val="baseline"/>
        <w:rPr>
          <w:rFonts w:ascii="Calibri" w:hAnsi="Calibri"/>
          <w:color w:val="333333"/>
          <w:sz w:val="30"/>
          <w:szCs w:val="30"/>
        </w:rPr>
      </w:pPr>
      <w:r>
        <w:rPr>
          <w:rFonts w:ascii="Calibri" w:hAnsi="Calibri"/>
          <w:color w:val="333333"/>
          <w:sz w:val="30"/>
          <w:szCs w:val="30"/>
        </w:rPr>
        <w:t>Simple Linear Regression Model</w:t>
      </w: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For each point</w:t>
      </w:r>
      <w:r>
        <w:rPr>
          <w:rStyle w:val="apple-converted-space"/>
          <w:rFonts w:ascii="Georgia" w:hAnsi="Georgia"/>
          <w:color w:val="333333"/>
          <w:sz w:val="20"/>
          <w:szCs w:val="20"/>
        </w:rPr>
        <w:t> </w:t>
      </w:r>
      <w:r>
        <w:rPr>
          <w:rStyle w:val="mo"/>
          <w:rFonts w:ascii="MathJax_Main" w:hAnsi="MathJax_Main"/>
          <w:color w:val="333333"/>
          <w:sz w:val="20"/>
          <w:szCs w:val="20"/>
        </w:rPr>
        <w:t>(</w:t>
      </w:r>
      <w:r>
        <w:rPr>
          <w:rStyle w:val="mi"/>
          <w:rFonts w:ascii="MathJax_Math" w:hAnsi="MathJax_Math"/>
          <w:i/>
          <w:iCs/>
          <w:color w:val="333333"/>
          <w:sz w:val="20"/>
          <w:szCs w:val="20"/>
        </w:rPr>
        <w:t>x</w:t>
      </w:r>
      <w:r>
        <w:rPr>
          <w:rStyle w:val="mo"/>
          <w:rFonts w:ascii="MathJax_Main" w:hAnsi="MathJax_Main"/>
          <w:color w:val="333333"/>
          <w:sz w:val="20"/>
          <w:szCs w:val="20"/>
        </w:rPr>
        <w:t>,</w:t>
      </w:r>
      <w:r>
        <w:rPr>
          <w:rStyle w:val="mi"/>
          <w:rFonts w:ascii="MathJax_Math" w:hAnsi="MathJax_Math"/>
          <w:i/>
          <w:iCs/>
          <w:color w:val="333333"/>
          <w:sz w:val="20"/>
          <w:szCs w:val="20"/>
        </w:rPr>
        <w:t>y</w:t>
      </w:r>
      <w:r>
        <w:rPr>
          <w:rStyle w:val="mo"/>
          <w:rFonts w:ascii="MathJax_Main" w:hAnsi="MathJax_Main"/>
          <w:color w:val="333333"/>
          <w:sz w:val="20"/>
          <w:szCs w:val="20"/>
        </w:rPr>
        <w:t>)</w:t>
      </w:r>
      <w:r>
        <w:rPr>
          <w:rStyle w:val="apple-converted-space"/>
          <w:rFonts w:ascii="Georgia" w:hAnsi="Georgia"/>
          <w:color w:val="333333"/>
          <w:sz w:val="20"/>
          <w:szCs w:val="20"/>
        </w:rPr>
        <w:t> </w:t>
      </w:r>
      <w:r>
        <w:rPr>
          <w:rFonts w:ascii="Georgia" w:hAnsi="Georgia"/>
          <w:color w:val="333333"/>
          <w:sz w:val="20"/>
          <w:szCs w:val="20"/>
        </w:rPr>
        <w:t>in data set the</w:t>
      </w:r>
      <w:r>
        <w:rPr>
          <w:rStyle w:val="apple-converted-space"/>
          <w:rFonts w:ascii="Georgia" w:hAnsi="Georgia"/>
          <w:color w:val="333333"/>
          <w:sz w:val="20"/>
          <w:szCs w:val="20"/>
        </w:rPr>
        <w:t> </w:t>
      </w:r>
      <w:r>
        <w:rPr>
          <w:rStyle w:val="Emphasis"/>
          <w:rFonts w:ascii="Georgia" w:hAnsi="Georgia"/>
          <w:color w:val="333333"/>
          <w:sz w:val="20"/>
          <w:szCs w:val="20"/>
        </w:rPr>
        <w:t>y</w:t>
      </w:r>
      <w:r>
        <w:rPr>
          <w:rFonts w:ascii="Georgia" w:hAnsi="Georgia"/>
          <w:color w:val="333333"/>
          <w:sz w:val="20"/>
          <w:szCs w:val="20"/>
        </w:rPr>
        <w:t>-value is an independent observation of</w:t>
      </w:r>
    </w:p>
    <w:p w:rsidR="00AD77BB" w:rsidRDefault="00B45BA0">
      <w:pPr>
        <w:shd w:val="clear" w:color="auto" w:fill="F4F4F4"/>
        <w:spacing w:line="360" w:lineRule="auto"/>
        <w:jc w:val="center"/>
        <w:textAlignment w:val="baseline"/>
        <w:rPr>
          <w:rFonts w:ascii="Calibri" w:hAnsi="Calibri"/>
          <w:b/>
          <w:color w:val="555555"/>
          <w:sz w:val="23"/>
          <w:szCs w:val="23"/>
        </w:rPr>
      </w:pPr>
      <w:r>
        <w:rPr>
          <w:rStyle w:val="mi"/>
          <w:rFonts w:ascii="MathJax_Math" w:hAnsi="MathJax_Math"/>
          <w:b/>
          <w:i/>
          <w:iCs/>
          <w:color w:val="555555"/>
          <w:sz w:val="20"/>
          <w:szCs w:val="20"/>
        </w:rPr>
        <w:t>y</w:t>
      </w:r>
      <w:r>
        <w:rPr>
          <w:rStyle w:val="mo"/>
          <w:rFonts w:ascii="MathJax_Main" w:hAnsi="MathJax_Main"/>
          <w:b/>
          <w:color w:val="555555"/>
          <w:sz w:val="20"/>
          <w:szCs w:val="20"/>
        </w:rPr>
        <w:t>=</w:t>
      </w:r>
      <w:r>
        <w:rPr>
          <w:rStyle w:val="mi"/>
          <w:rFonts w:ascii="MathJax_Math" w:hAnsi="MathJax_Math"/>
          <w:b/>
          <w:i/>
          <w:iCs/>
          <w:color w:val="555555"/>
          <w:sz w:val="20"/>
          <w:szCs w:val="20"/>
        </w:rPr>
        <w:t>β</w:t>
      </w:r>
      <w:r>
        <w:rPr>
          <w:rStyle w:val="mn"/>
          <w:rFonts w:ascii="MathJax_Main" w:hAnsi="MathJax_Main"/>
          <w:b/>
          <w:color w:val="555555"/>
          <w:sz w:val="15"/>
          <w:szCs w:val="15"/>
        </w:rPr>
        <w:t>1</w:t>
      </w:r>
      <w:r>
        <w:rPr>
          <w:rStyle w:val="mi"/>
          <w:rFonts w:ascii="MathJax_Math" w:hAnsi="MathJax_Math"/>
          <w:b/>
          <w:i/>
          <w:iCs/>
          <w:color w:val="555555"/>
          <w:sz w:val="20"/>
          <w:szCs w:val="20"/>
        </w:rPr>
        <w:t>x</w:t>
      </w:r>
      <w:r>
        <w:rPr>
          <w:rStyle w:val="mo"/>
          <w:rFonts w:ascii="MathJax_Main" w:hAnsi="MathJax_Main"/>
          <w:b/>
          <w:color w:val="555555"/>
          <w:sz w:val="20"/>
          <w:szCs w:val="20"/>
        </w:rPr>
        <w:t>+</w:t>
      </w:r>
      <w:r>
        <w:rPr>
          <w:rStyle w:val="mi"/>
          <w:rFonts w:ascii="MathJax_Math" w:hAnsi="MathJax_Math"/>
          <w:b/>
          <w:i/>
          <w:iCs/>
          <w:color w:val="555555"/>
          <w:sz w:val="20"/>
          <w:szCs w:val="20"/>
        </w:rPr>
        <w:t>β</w:t>
      </w:r>
      <w:r>
        <w:rPr>
          <w:rStyle w:val="mn"/>
          <w:rFonts w:ascii="MathJax_Main" w:hAnsi="MathJax_Main"/>
          <w:b/>
          <w:color w:val="555555"/>
          <w:sz w:val="15"/>
          <w:szCs w:val="15"/>
        </w:rPr>
        <w:t>0</w:t>
      </w:r>
      <w:r>
        <w:rPr>
          <w:rStyle w:val="mo"/>
          <w:rFonts w:ascii="MathJax_Main" w:hAnsi="MathJax_Main"/>
          <w:b/>
          <w:color w:val="555555"/>
          <w:sz w:val="20"/>
          <w:szCs w:val="20"/>
        </w:rPr>
        <w:t>+</w:t>
      </w:r>
      <w:r>
        <w:rPr>
          <w:rStyle w:val="mi"/>
          <w:rFonts w:ascii="MathJax_Math" w:hAnsi="MathJax_Math"/>
          <w:b/>
          <w:i/>
          <w:iCs/>
          <w:color w:val="555555"/>
          <w:sz w:val="20"/>
          <w:szCs w:val="20"/>
        </w:rPr>
        <w:t>ε</w:t>
      </w: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where</w:t>
      </w:r>
      <w:r>
        <w:rPr>
          <w:rStyle w:val="apple-converted-space"/>
          <w:rFonts w:ascii="Georgia" w:hAnsi="Georgia"/>
          <w:color w:val="333333"/>
          <w:sz w:val="20"/>
          <w:szCs w:val="20"/>
        </w:rPr>
        <w:t> </w:t>
      </w:r>
      <w:r>
        <w:rPr>
          <w:rStyle w:val="mi"/>
          <w:rFonts w:ascii="MathJax_Math" w:hAnsi="MathJax_Math"/>
          <w:i/>
          <w:iCs/>
          <w:color w:val="333333"/>
          <w:sz w:val="20"/>
          <w:szCs w:val="20"/>
        </w:rPr>
        <w:t>β</w:t>
      </w:r>
      <w:r>
        <w:rPr>
          <w:rStyle w:val="mn"/>
          <w:rFonts w:ascii="MathJax_Main" w:hAnsi="MathJax_Main"/>
          <w:color w:val="333333"/>
          <w:sz w:val="15"/>
          <w:szCs w:val="15"/>
        </w:rPr>
        <w:t>1</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mi"/>
          <w:rFonts w:ascii="MathJax_Math" w:hAnsi="MathJax_Math"/>
          <w:i/>
          <w:iCs/>
          <w:color w:val="333333"/>
          <w:sz w:val="20"/>
          <w:szCs w:val="20"/>
        </w:rPr>
        <w:t>β</w:t>
      </w:r>
      <w:r>
        <w:rPr>
          <w:rStyle w:val="mn"/>
          <w:rFonts w:ascii="MathJax_Main" w:hAnsi="MathJax_Main"/>
          <w:color w:val="333333"/>
          <w:sz w:val="15"/>
          <w:szCs w:val="15"/>
        </w:rPr>
        <w:t>0</w:t>
      </w:r>
      <w:r>
        <w:rPr>
          <w:rStyle w:val="apple-converted-space"/>
          <w:rFonts w:ascii="Georgia" w:hAnsi="Georgia"/>
          <w:color w:val="333333"/>
          <w:sz w:val="20"/>
          <w:szCs w:val="20"/>
        </w:rPr>
        <w:t> </w:t>
      </w:r>
      <w:r>
        <w:rPr>
          <w:rFonts w:ascii="Georgia" w:hAnsi="Georgia"/>
          <w:color w:val="333333"/>
          <w:sz w:val="20"/>
          <w:szCs w:val="20"/>
        </w:rPr>
        <w:t>are fixed parameters and</w:t>
      </w:r>
      <w:r>
        <w:rPr>
          <w:rStyle w:val="apple-converted-space"/>
          <w:rFonts w:ascii="Georgia" w:hAnsi="Georgia"/>
          <w:color w:val="333333"/>
          <w:sz w:val="20"/>
          <w:szCs w:val="20"/>
        </w:rPr>
        <w:t> </w:t>
      </w:r>
      <w:r>
        <w:rPr>
          <w:rStyle w:val="Emphasis"/>
          <w:rFonts w:ascii="Georgia" w:hAnsi="Georgia"/>
          <w:color w:val="333333"/>
          <w:sz w:val="20"/>
          <w:szCs w:val="20"/>
        </w:rPr>
        <w:t>ε</w:t>
      </w:r>
      <w:r>
        <w:rPr>
          <w:rStyle w:val="apple-converted-space"/>
          <w:rFonts w:ascii="Georgia" w:hAnsi="Georgia"/>
          <w:color w:val="333333"/>
          <w:sz w:val="20"/>
          <w:szCs w:val="20"/>
        </w:rPr>
        <w:t> </w:t>
      </w:r>
      <w:r>
        <w:rPr>
          <w:rFonts w:ascii="Georgia" w:hAnsi="Georgia"/>
          <w:color w:val="333333"/>
          <w:sz w:val="20"/>
          <w:szCs w:val="20"/>
        </w:rPr>
        <w:t>is a normally distributed random variable with mean 0 and an unknown standard deviation</w:t>
      </w:r>
      <w:r>
        <w:rPr>
          <w:rStyle w:val="apple-converted-space"/>
          <w:rFonts w:ascii="Georgia" w:hAnsi="Georgia"/>
          <w:color w:val="333333"/>
          <w:sz w:val="20"/>
          <w:szCs w:val="20"/>
        </w:rPr>
        <w:t> </w:t>
      </w:r>
      <w:r>
        <w:rPr>
          <w:rStyle w:val="Emphasis"/>
          <w:rFonts w:ascii="Georgia" w:hAnsi="Georgia"/>
          <w:color w:val="333333"/>
          <w:sz w:val="20"/>
          <w:szCs w:val="20"/>
        </w:rPr>
        <w:t>σ</w:t>
      </w:r>
      <w:r>
        <w:rPr>
          <w:rFonts w:ascii="Georgia" w:hAnsi="Georgia"/>
          <w:color w:val="333333"/>
          <w:sz w:val="20"/>
          <w:szCs w:val="20"/>
        </w:rPr>
        <w:t>.</w:t>
      </w: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The line with equation</w:t>
      </w:r>
      <w:r>
        <w:rPr>
          <w:rStyle w:val="apple-converted-space"/>
          <w:rFonts w:ascii="Georgia" w:hAnsi="Georgia"/>
          <w:color w:val="333333"/>
          <w:sz w:val="20"/>
          <w:szCs w:val="20"/>
        </w:rPr>
        <w:t> </w:t>
      </w:r>
      <w:r>
        <w:rPr>
          <w:rStyle w:val="mi"/>
          <w:rFonts w:ascii="MathJax_Math" w:hAnsi="MathJax_Math"/>
          <w:i/>
          <w:iCs/>
          <w:color w:val="333333"/>
          <w:sz w:val="20"/>
          <w:szCs w:val="20"/>
        </w:rPr>
        <w:t>y</w:t>
      </w:r>
      <w:r>
        <w:rPr>
          <w:rStyle w:val="mo"/>
          <w:rFonts w:ascii="MathJax_Main" w:hAnsi="MathJax_Main"/>
          <w:color w:val="333333"/>
          <w:sz w:val="20"/>
          <w:szCs w:val="20"/>
        </w:rPr>
        <w:t>=</w:t>
      </w:r>
      <w:r>
        <w:rPr>
          <w:rStyle w:val="mi"/>
          <w:rFonts w:ascii="MathJax_Math" w:hAnsi="MathJax_Math"/>
          <w:i/>
          <w:iCs/>
          <w:color w:val="333333"/>
          <w:sz w:val="20"/>
          <w:szCs w:val="20"/>
        </w:rPr>
        <w:t>β</w:t>
      </w:r>
      <w:r>
        <w:rPr>
          <w:rStyle w:val="mn"/>
          <w:rFonts w:ascii="MathJax_Main" w:hAnsi="MathJax_Main"/>
          <w:color w:val="333333"/>
          <w:sz w:val="15"/>
          <w:szCs w:val="15"/>
        </w:rPr>
        <w:t>1</w:t>
      </w:r>
      <w:r>
        <w:rPr>
          <w:rStyle w:val="mi"/>
          <w:rFonts w:ascii="MathJax_Math" w:hAnsi="MathJax_Math"/>
          <w:i/>
          <w:iCs/>
          <w:color w:val="333333"/>
          <w:sz w:val="20"/>
          <w:szCs w:val="20"/>
        </w:rPr>
        <w:t>x</w:t>
      </w:r>
      <w:r>
        <w:rPr>
          <w:rStyle w:val="mo"/>
          <w:rFonts w:ascii="MathJax_Main" w:hAnsi="MathJax_Main"/>
          <w:color w:val="333333"/>
          <w:sz w:val="20"/>
          <w:szCs w:val="20"/>
        </w:rPr>
        <w:t>+</w:t>
      </w:r>
      <w:r>
        <w:rPr>
          <w:rStyle w:val="mi"/>
          <w:rFonts w:ascii="MathJax_Math" w:hAnsi="MathJax_Math"/>
          <w:i/>
          <w:iCs/>
          <w:color w:val="333333"/>
          <w:sz w:val="20"/>
          <w:szCs w:val="20"/>
        </w:rPr>
        <w:t>β</w:t>
      </w:r>
      <w:r>
        <w:rPr>
          <w:rStyle w:val="mn"/>
          <w:rFonts w:ascii="MathJax_Main" w:hAnsi="MathJax_Main"/>
          <w:color w:val="333333"/>
          <w:sz w:val="15"/>
          <w:szCs w:val="15"/>
        </w:rPr>
        <w:t>0</w:t>
      </w:r>
      <w:r>
        <w:rPr>
          <w:rStyle w:val="apple-converted-space"/>
          <w:rFonts w:ascii="Georgia" w:hAnsi="Georgia"/>
          <w:color w:val="333333"/>
          <w:sz w:val="20"/>
          <w:szCs w:val="20"/>
        </w:rPr>
        <w:t> </w:t>
      </w:r>
      <w:r>
        <w:rPr>
          <w:rFonts w:ascii="Georgia" w:hAnsi="Georgia"/>
          <w:color w:val="333333"/>
          <w:sz w:val="20"/>
          <w:szCs w:val="20"/>
        </w:rPr>
        <w:t xml:space="preserve">is called the </w:t>
      </w:r>
      <w:r>
        <w:rPr>
          <w:rStyle w:val="marginterm"/>
          <w:rFonts w:ascii="Georgia" w:hAnsi="Georgia"/>
          <w:b/>
          <w:color w:val="333333"/>
          <w:sz w:val="20"/>
          <w:szCs w:val="20"/>
        </w:rPr>
        <w:t>population regression line</w:t>
      </w:r>
      <w:r>
        <w:rPr>
          <w:rFonts w:ascii="Georgia" w:hAnsi="Georgia"/>
          <w:b/>
          <w:color w:val="333333"/>
          <w:sz w:val="20"/>
          <w:szCs w:val="20"/>
        </w:rPr>
        <w:t>.</w:t>
      </w:r>
    </w:p>
    <w:p w:rsidR="00AD77BB" w:rsidRDefault="00B45BA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2689C6"/>
          <w:sz w:val="21"/>
          <w:szCs w:val="21"/>
        </w:rPr>
        <w:t>Figure 10.5 "The Simple Linear Model Concept"</w:t>
      </w:r>
      <w:r>
        <w:rPr>
          <w:rStyle w:val="apple-converted-space"/>
          <w:rFonts w:ascii="Georgia" w:hAnsi="Georgia"/>
          <w:color w:val="333333"/>
          <w:sz w:val="21"/>
          <w:szCs w:val="21"/>
        </w:rPr>
        <w:t> </w:t>
      </w:r>
      <w:r>
        <w:rPr>
          <w:rFonts w:ascii="Georgia" w:hAnsi="Georgia"/>
          <w:color w:val="333333"/>
          <w:sz w:val="21"/>
          <w:szCs w:val="21"/>
        </w:rPr>
        <w:t>illustrates the model. The symbols</w:t>
      </w:r>
      <w:r>
        <w:rPr>
          <w:rStyle w:val="apple-converted-space"/>
          <w:rFonts w:ascii="Georgia" w:hAnsi="Georgia"/>
          <w:color w:val="333333"/>
          <w:sz w:val="21"/>
          <w:szCs w:val="21"/>
        </w:rPr>
        <w:t> </w:t>
      </w:r>
      <w:r>
        <w:rPr>
          <w:rStyle w:val="mi"/>
          <w:rFonts w:ascii="MathJax_Math" w:hAnsi="MathJax_Math"/>
          <w:i/>
          <w:iCs/>
          <w:color w:val="333333"/>
          <w:sz w:val="20"/>
          <w:szCs w:val="20"/>
        </w:rPr>
        <w:t>N</w:t>
      </w:r>
      <w:r>
        <w:rPr>
          <w:rStyle w:val="mo"/>
          <w:rFonts w:ascii="MathJax_Size1" w:hAnsi="MathJax_Size1"/>
          <w:color w:val="333333"/>
          <w:sz w:val="20"/>
          <w:szCs w:val="20"/>
        </w:rPr>
        <w:t>(</w:t>
      </w:r>
      <w:r>
        <w:rPr>
          <w:rStyle w:val="mi"/>
          <w:rFonts w:ascii="MathJax_Math" w:hAnsi="MathJax_Math"/>
          <w:i/>
          <w:iCs/>
          <w:color w:val="333333"/>
          <w:sz w:val="20"/>
          <w:szCs w:val="20"/>
        </w:rPr>
        <w:t>μ</w:t>
      </w:r>
      <w:r>
        <w:rPr>
          <w:rStyle w:val="mo"/>
          <w:rFonts w:ascii="MathJax_Main" w:hAnsi="MathJax_Main"/>
          <w:color w:val="333333"/>
          <w:sz w:val="20"/>
          <w:szCs w:val="20"/>
        </w:rPr>
        <w:t>,</w:t>
      </w:r>
      <w:r>
        <w:rPr>
          <w:rStyle w:val="mi"/>
          <w:rFonts w:ascii="MathJax_Math" w:hAnsi="MathJax_Math"/>
          <w:i/>
          <w:iCs/>
          <w:color w:val="333333"/>
          <w:sz w:val="20"/>
          <w:szCs w:val="20"/>
        </w:rPr>
        <w:t>σ</w:t>
      </w:r>
      <w:r>
        <w:rPr>
          <w:rStyle w:val="mn"/>
          <w:rFonts w:ascii="MathJax_Main" w:hAnsi="MathJax_Main"/>
          <w:color w:val="333333"/>
          <w:sz w:val="15"/>
          <w:szCs w:val="15"/>
        </w:rPr>
        <w:t>2</w:t>
      </w:r>
      <w:r>
        <w:rPr>
          <w:rStyle w:val="mo"/>
          <w:rFonts w:ascii="MathJax_Size1" w:hAnsi="MathJax_Size1"/>
          <w:color w:val="333333"/>
          <w:sz w:val="20"/>
          <w:szCs w:val="20"/>
        </w:rPr>
        <w:t>)</w:t>
      </w:r>
      <w:r>
        <w:rPr>
          <w:rStyle w:val="apple-converted-space"/>
          <w:rFonts w:ascii="Georgia" w:hAnsi="Georgia"/>
          <w:color w:val="333333"/>
          <w:sz w:val="21"/>
          <w:szCs w:val="21"/>
        </w:rPr>
        <w:t> </w:t>
      </w:r>
      <w:r>
        <w:rPr>
          <w:rFonts w:ascii="Georgia" w:hAnsi="Georgia"/>
          <w:color w:val="333333"/>
          <w:sz w:val="21"/>
          <w:szCs w:val="21"/>
        </w:rPr>
        <w:t>denote a normal distribution with mean</w:t>
      </w:r>
      <w:r>
        <w:rPr>
          <w:rStyle w:val="apple-converted-space"/>
          <w:rFonts w:ascii="Georgia" w:hAnsi="Georgia"/>
          <w:color w:val="333333"/>
          <w:sz w:val="21"/>
          <w:szCs w:val="21"/>
        </w:rPr>
        <w:t> </w:t>
      </w:r>
      <w:r>
        <w:rPr>
          <w:rStyle w:val="Emphasis"/>
          <w:rFonts w:ascii="Georgia" w:hAnsi="Georgia"/>
          <w:color w:val="333333"/>
          <w:sz w:val="20"/>
          <w:szCs w:val="20"/>
        </w:rPr>
        <w:t>μ</w:t>
      </w:r>
      <w:r>
        <w:rPr>
          <w:rStyle w:val="apple-converted-space"/>
          <w:rFonts w:ascii="Georgia" w:hAnsi="Georgia"/>
          <w:color w:val="333333"/>
          <w:sz w:val="21"/>
          <w:szCs w:val="21"/>
        </w:rPr>
        <w:t> </w:t>
      </w:r>
      <w:r>
        <w:rPr>
          <w:rFonts w:ascii="Georgia" w:hAnsi="Georgia"/>
          <w:color w:val="333333"/>
          <w:sz w:val="21"/>
          <w:szCs w:val="21"/>
        </w:rPr>
        <w:t>and variance</w:t>
      </w:r>
      <w:r>
        <w:rPr>
          <w:rStyle w:val="apple-converted-space"/>
          <w:rFonts w:ascii="Georgia" w:hAnsi="Georgia"/>
          <w:color w:val="333333"/>
          <w:sz w:val="21"/>
          <w:szCs w:val="21"/>
        </w:rPr>
        <w:t> </w:t>
      </w:r>
      <w:r>
        <w:rPr>
          <w:rStyle w:val="mi"/>
          <w:rFonts w:ascii="MathJax_Math" w:hAnsi="MathJax_Math"/>
          <w:i/>
          <w:iCs/>
          <w:color w:val="333333"/>
          <w:sz w:val="20"/>
          <w:szCs w:val="20"/>
        </w:rPr>
        <w:t>σ</w:t>
      </w:r>
      <w:r>
        <w:rPr>
          <w:rStyle w:val="mn"/>
          <w:rFonts w:ascii="MathJax_Main" w:hAnsi="MathJax_Main"/>
          <w:color w:val="333333"/>
          <w:sz w:val="15"/>
          <w:szCs w:val="15"/>
        </w:rPr>
        <w:t>2</w:t>
      </w:r>
      <w:r>
        <w:rPr>
          <w:rFonts w:ascii="Georgia" w:hAnsi="Georgia"/>
          <w:color w:val="333333"/>
          <w:sz w:val="21"/>
          <w:szCs w:val="21"/>
        </w:rPr>
        <w:t>, hence standard deviation</w:t>
      </w:r>
      <w:r>
        <w:rPr>
          <w:rStyle w:val="apple-converted-space"/>
          <w:rFonts w:ascii="Georgia" w:hAnsi="Georgia"/>
          <w:color w:val="333333"/>
          <w:sz w:val="21"/>
          <w:szCs w:val="21"/>
        </w:rPr>
        <w:t> </w:t>
      </w:r>
      <w:r>
        <w:rPr>
          <w:rStyle w:val="Emphasis"/>
          <w:rFonts w:ascii="Georgia" w:hAnsi="Georgia"/>
          <w:color w:val="333333"/>
          <w:sz w:val="20"/>
          <w:szCs w:val="20"/>
        </w:rPr>
        <w:t>σ</w:t>
      </w:r>
      <w:r>
        <w:rPr>
          <w:rFonts w:ascii="Georgia" w:hAnsi="Georgia"/>
          <w:color w:val="333333"/>
          <w:sz w:val="21"/>
          <w:szCs w:val="21"/>
        </w:rPr>
        <w:t>.</w:t>
      </w:r>
    </w:p>
    <w:p w:rsidR="00AD77BB" w:rsidRDefault="00B45BA0">
      <w:pPr>
        <w:pStyle w:val="Title9"/>
        <w:shd w:val="clear" w:color="auto" w:fill="FFFFFF"/>
        <w:spacing w:before="0" w:beforeAutospacing="0" w:after="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10.5</w:t>
      </w:r>
      <w:r>
        <w:rPr>
          <w:rStyle w:val="apple-converted-space"/>
          <w:rFonts w:ascii="Georgia" w:hAnsi="Georgia"/>
          <w:i/>
          <w:iCs/>
          <w:color w:val="BB9966"/>
          <w:sz w:val="22"/>
          <w:szCs w:val="22"/>
        </w:rPr>
        <w:t> </w:t>
      </w:r>
      <w:r>
        <w:rPr>
          <w:rFonts w:ascii="Georgia" w:hAnsi="Georgia"/>
          <w:i/>
          <w:iCs/>
          <w:color w:val="BB9966"/>
          <w:sz w:val="22"/>
          <w:szCs w:val="22"/>
        </w:rPr>
        <w:t>The Simple Linear Model Concept</w:t>
      </w:r>
    </w:p>
    <w:p w:rsidR="00AD77BB" w:rsidRDefault="00B45BA0">
      <w:pPr>
        <w:shd w:val="clear" w:color="auto" w:fill="FFFFFF"/>
        <w:spacing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14:anchorId="6B3B0281" wp14:editId="51DC064C">
            <wp:extent cx="5362575" cy="2752725"/>
            <wp:effectExtent l="0" t="0" r="9525" b="9525"/>
            <wp:docPr id="392" name="Picture 406" descr="http://images.flatworldknowledge.com/shafer/shafer-fig10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images.flatworldknowledge.com/shafer/shafer-fig10_005.jp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362575" cy="2752725"/>
                    </a:xfrm>
                    <a:prstGeom prst="rect">
                      <a:avLst/>
                    </a:prstGeom>
                    <a:noFill/>
                    <a:ln>
                      <a:noFill/>
                    </a:ln>
                  </pic:spPr>
                </pic:pic>
              </a:graphicData>
            </a:graphic>
          </wp:inline>
        </w:drawing>
      </w:r>
    </w:p>
    <w:p w:rsidR="00AD77BB" w:rsidRDefault="00B45BA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It is conceptually important to view the model as a sum of two parts:</w:t>
      </w:r>
    </w:p>
    <w:p w:rsidR="00AD77BB" w:rsidRDefault="00AD77BB">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rsidR="00AD77BB" w:rsidRDefault="00B45BA0">
      <w:pPr>
        <w:spacing w:line="270" w:lineRule="atLeast"/>
        <w:jc w:val="center"/>
        <w:textAlignment w:val="baseline"/>
        <w:rPr>
          <w:rStyle w:val="mi"/>
          <w:rFonts w:ascii="MathJax_Math" w:hAnsi="MathJax_Math"/>
          <w:b/>
          <w:i/>
          <w:iCs/>
          <w:color w:val="555555"/>
          <w:sz w:val="20"/>
          <w:szCs w:val="20"/>
          <w:shd w:val="clear" w:color="auto" w:fill="FFFFFF"/>
        </w:rPr>
      </w:pPr>
      <w:r>
        <w:rPr>
          <w:rStyle w:val="mi"/>
          <w:rFonts w:ascii="MathJax_Math" w:hAnsi="MathJax_Math"/>
          <w:b/>
          <w:i/>
          <w:iCs/>
          <w:color w:val="555555"/>
          <w:sz w:val="20"/>
          <w:szCs w:val="20"/>
          <w:shd w:val="clear" w:color="auto" w:fill="FFFFFF"/>
        </w:rPr>
        <w:t>y</w:t>
      </w:r>
      <w:r>
        <w:rPr>
          <w:rStyle w:val="mo"/>
          <w:rFonts w:ascii="MathJax_Main" w:hAnsi="MathJax_Main"/>
          <w:b/>
          <w:color w:val="555555"/>
          <w:sz w:val="20"/>
          <w:szCs w:val="20"/>
          <w:shd w:val="clear" w:color="auto" w:fill="FFFFFF"/>
        </w:rPr>
        <w:t>=</w:t>
      </w:r>
      <w:r>
        <w:rPr>
          <w:rStyle w:val="mi"/>
          <w:rFonts w:ascii="MathJax_Math" w:hAnsi="MathJax_Math"/>
          <w:b/>
          <w:i/>
          <w:iCs/>
          <w:color w:val="555555"/>
          <w:sz w:val="20"/>
          <w:szCs w:val="20"/>
          <w:shd w:val="clear" w:color="auto" w:fill="FFFFFF"/>
        </w:rPr>
        <w:t>β</w:t>
      </w:r>
      <w:r>
        <w:rPr>
          <w:rStyle w:val="mn"/>
          <w:rFonts w:ascii="MathJax_Main" w:hAnsi="MathJax_Main"/>
          <w:b/>
          <w:color w:val="555555"/>
          <w:sz w:val="15"/>
          <w:szCs w:val="15"/>
          <w:shd w:val="clear" w:color="auto" w:fill="FFFFFF"/>
        </w:rPr>
        <w:t>1</w:t>
      </w:r>
      <w:r>
        <w:rPr>
          <w:rStyle w:val="mi"/>
          <w:rFonts w:ascii="MathJax_Math" w:hAnsi="MathJax_Math"/>
          <w:b/>
          <w:i/>
          <w:iCs/>
          <w:color w:val="555555"/>
          <w:sz w:val="20"/>
          <w:szCs w:val="20"/>
          <w:shd w:val="clear" w:color="auto" w:fill="FFFFFF"/>
        </w:rPr>
        <w:t>x</w:t>
      </w:r>
      <w:r>
        <w:rPr>
          <w:rStyle w:val="mo"/>
          <w:rFonts w:ascii="MathJax_Main" w:hAnsi="MathJax_Main"/>
          <w:b/>
          <w:color w:val="555555"/>
          <w:sz w:val="20"/>
          <w:szCs w:val="20"/>
          <w:shd w:val="clear" w:color="auto" w:fill="FFFFFF"/>
        </w:rPr>
        <w:t>+</w:t>
      </w:r>
      <w:r>
        <w:rPr>
          <w:rStyle w:val="mi"/>
          <w:rFonts w:ascii="MathJax_Math" w:hAnsi="MathJax_Math"/>
          <w:b/>
          <w:i/>
          <w:iCs/>
          <w:color w:val="555555"/>
          <w:sz w:val="20"/>
          <w:szCs w:val="20"/>
          <w:shd w:val="clear" w:color="auto" w:fill="FFFFFF"/>
        </w:rPr>
        <w:t>β</w:t>
      </w:r>
      <w:r>
        <w:rPr>
          <w:rStyle w:val="mn"/>
          <w:rFonts w:ascii="MathJax_Main" w:hAnsi="MathJax_Main"/>
          <w:b/>
          <w:color w:val="555555"/>
          <w:sz w:val="15"/>
          <w:szCs w:val="15"/>
          <w:shd w:val="clear" w:color="auto" w:fill="FFFFFF"/>
        </w:rPr>
        <w:t>0</w:t>
      </w:r>
      <w:r>
        <w:rPr>
          <w:rStyle w:val="mo"/>
          <w:rFonts w:ascii="MathJax_Main" w:hAnsi="MathJax_Main"/>
          <w:b/>
          <w:color w:val="555555"/>
          <w:sz w:val="20"/>
          <w:szCs w:val="20"/>
          <w:shd w:val="clear" w:color="auto" w:fill="FFFFFF"/>
        </w:rPr>
        <w:t>+</w:t>
      </w:r>
      <w:r>
        <w:rPr>
          <w:rStyle w:val="mi"/>
          <w:rFonts w:ascii="MathJax_Math" w:hAnsi="MathJax_Math"/>
          <w:b/>
          <w:i/>
          <w:iCs/>
          <w:color w:val="555555"/>
          <w:sz w:val="20"/>
          <w:szCs w:val="20"/>
          <w:shd w:val="clear" w:color="auto" w:fill="FFFFFF"/>
        </w:rPr>
        <w:t>ε</w:t>
      </w:r>
    </w:p>
    <w:p w:rsidR="00AD77BB" w:rsidRDefault="00B45BA0">
      <w:pPr>
        <w:numPr>
          <w:ilvl w:val="0"/>
          <w:numId w:val="262"/>
        </w:numPr>
        <w:shd w:val="clear" w:color="auto" w:fill="FFFFFF"/>
        <w:spacing w:after="0" w:line="360" w:lineRule="auto"/>
        <w:ind w:left="360"/>
        <w:textAlignment w:val="baseline"/>
        <w:rPr>
          <w:rFonts w:ascii="Georgia" w:hAnsi="Georgia"/>
          <w:color w:val="333333"/>
        </w:rPr>
      </w:pPr>
      <w:r>
        <w:rPr>
          <w:rStyle w:val="Strong"/>
          <w:rFonts w:ascii="Georgia" w:hAnsi="Georgia"/>
          <w:color w:val="333333"/>
          <w:sz w:val="20"/>
          <w:szCs w:val="20"/>
        </w:rPr>
        <w:t>Deterministic Part.</w:t>
      </w:r>
      <w:r>
        <w:rPr>
          <w:rStyle w:val="apple-converted-space"/>
          <w:rFonts w:ascii="Georgia" w:hAnsi="Georgia"/>
          <w:color w:val="333333"/>
          <w:sz w:val="20"/>
          <w:szCs w:val="20"/>
        </w:rPr>
        <w:t> </w:t>
      </w:r>
      <w:r>
        <w:rPr>
          <w:rFonts w:ascii="Georgia" w:hAnsi="Georgia"/>
          <w:color w:val="333333"/>
          <w:sz w:val="20"/>
          <w:szCs w:val="20"/>
        </w:rPr>
        <w:t>The first part</w:t>
      </w:r>
      <w:r>
        <w:rPr>
          <w:rStyle w:val="apple-converted-space"/>
          <w:rFonts w:ascii="Georgia" w:hAnsi="Georgia"/>
          <w:color w:val="333333"/>
          <w:sz w:val="20"/>
          <w:szCs w:val="20"/>
        </w:rPr>
        <w:t> </w:t>
      </w:r>
      <w:r>
        <w:rPr>
          <w:rStyle w:val="mi"/>
          <w:rFonts w:ascii="MathJax_Math" w:hAnsi="MathJax_Math"/>
          <w:i/>
          <w:iCs/>
          <w:color w:val="333333"/>
          <w:sz w:val="20"/>
          <w:szCs w:val="20"/>
        </w:rPr>
        <w:t>β</w:t>
      </w:r>
      <w:r>
        <w:rPr>
          <w:rStyle w:val="mn"/>
          <w:rFonts w:ascii="MathJax_Main" w:hAnsi="MathJax_Main"/>
          <w:color w:val="333333"/>
          <w:sz w:val="15"/>
          <w:szCs w:val="15"/>
        </w:rPr>
        <w:t>1</w:t>
      </w:r>
      <w:r>
        <w:rPr>
          <w:rStyle w:val="mi"/>
          <w:rFonts w:ascii="MathJax_Math" w:hAnsi="MathJax_Math"/>
          <w:i/>
          <w:iCs/>
          <w:color w:val="333333"/>
          <w:sz w:val="20"/>
          <w:szCs w:val="20"/>
        </w:rPr>
        <w:t>x</w:t>
      </w:r>
      <w:r>
        <w:rPr>
          <w:rStyle w:val="mo"/>
          <w:rFonts w:ascii="MathJax_Main" w:hAnsi="MathJax_Main"/>
          <w:color w:val="333333"/>
          <w:sz w:val="20"/>
          <w:szCs w:val="20"/>
        </w:rPr>
        <w:t>+</w:t>
      </w:r>
      <w:r>
        <w:rPr>
          <w:rStyle w:val="mi"/>
          <w:rFonts w:ascii="MathJax_Math" w:hAnsi="MathJax_Math"/>
          <w:i/>
          <w:iCs/>
          <w:color w:val="333333"/>
          <w:sz w:val="20"/>
          <w:szCs w:val="20"/>
        </w:rPr>
        <w:t>β</w:t>
      </w:r>
      <w:r>
        <w:rPr>
          <w:rStyle w:val="mn"/>
          <w:rFonts w:ascii="MathJax_Main" w:hAnsi="MathJax_Main"/>
          <w:color w:val="333333"/>
          <w:sz w:val="15"/>
          <w:szCs w:val="15"/>
        </w:rPr>
        <w:t>0</w:t>
      </w:r>
      <w:r>
        <w:rPr>
          <w:rStyle w:val="apple-converted-space"/>
          <w:rFonts w:ascii="Georgia" w:hAnsi="Georgia"/>
          <w:color w:val="333333"/>
          <w:sz w:val="20"/>
          <w:szCs w:val="20"/>
        </w:rPr>
        <w:t> </w:t>
      </w:r>
      <w:r>
        <w:rPr>
          <w:rFonts w:ascii="Georgia" w:hAnsi="Georgia"/>
          <w:color w:val="333333"/>
          <w:sz w:val="20"/>
          <w:szCs w:val="20"/>
        </w:rPr>
        <w:t>is</w:t>
      </w:r>
      <w:r>
        <w:rPr>
          <w:rStyle w:val="apple-converted-space"/>
          <w:rFonts w:ascii="Georgia" w:hAnsi="Georgia"/>
          <w:color w:val="333333"/>
          <w:sz w:val="20"/>
          <w:szCs w:val="20"/>
        </w:rPr>
        <w:t> </w:t>
      </w:r>
      <w:r>
        <w:rPr>
          <w:rFonts w:ascii="Georgia" w:hAnsi="Georgia"/>
          <w:color w:val="333333"/>
          <w:sz w:val="20"/>
          <w:szCs w:val="20"/>
        </w:rPr>
        <w:t>the equation that describes the trend in</w:t>
      </w:r>
      <w:r>
        <w:rPr>
          <w:rStyle w:val="apple-converted-space"/>
          <w:rFonts w:ascii="Georgia" w:hAnsi="Georgia"/>
          <w:color w:val="333333"/>
          <w:sz w:val="20"/>
          <w:szCs w:val="20"/>
        </w:rPr>
        <w:t> </w:t>
      </w:r>
      <w:r>
        <w:rPr>
          <w:rStyle w:val="Emphasis"/>
          <w:rFonts w:ascii="Georgia" w:hAnsi="Georgia"/>
          <w:color w:val="333333"/>
          <w:sz w:val="20"/>
          <w:szCs w:val="20"/>
        </w:rPr>
        <w:t>y</w:t>
      </w:r>
      <w:r>
        <w:rPr>
          <w:rStyle w:val="apple-converted-space"/>
          <w:rFonts w:ascii="Georgia" w:hAnsi="Georgia"/>
          <w:color w:val="333333"/>
          <w:sz w:val="20"/>
          <w:szCs w:val="20"/>
        </w:rPr>
        <w:t> </w:t>
      </w:r>
      <w:r>
        <w:rPr>
          <w:rFonts w:ascii="Georgia" w:hAnsi="Georgia"/>
          <w:color w:val="333333"/>
          <w:sz w:val="20"/>
          <w:szCs w:val="20"/>
        </w:rPr>
        <w:t>as</w:t>
      </w:r>
      <w:r>
        <w:rPr>
          <w:rStyle w:val="apple-converted-space"/>
          <w:rFonts w:ascii="Georgia" w:hAnsi="Georgia"/>
          <w:color w:val="333333"/>
          <w:sz w:val="20"/>
          <w:szCs w:val="20"/>
        </w:rPr>
        <w:t> </w:t>
      </w:r>
      <w:r>
        <w:rPr>
          <w:rStyle w:val="Emphasis"/>
          <w:rFonts w:ascii="Georgia" w:hAnsi="Georgia"/>
          <w:color w:val="333333"/>
          <w:sz w:val="20"/>
          <w:szCs w:val="20"/>
        </w:rPr>
        <w:t>x</w:t>
      </w:r>
      <w:r>
        <w:rPr>
          <w:rStyle w:val="apple-converted-space"/>
          <w:rFonts w:ascii="Georgia" w:hAnsi="Georgia"/>
          <w:color w:val="333333"/>
          <w:sz w:val="20"/>
          <w:szCs w:val="20"/>
        </w:rPr>
        <w:t> </w:t>
      </w:r>
      <w:r>
        <w:rPr>
          <w:rFonts w:ascii="Georgia" w:hAnsi="Georgia"/>
          <w:color w:val="333333"/>
          <w:sz w:val="20"/>
          <w:szCs w:val="20"/>
        </w:rPr>
        <w:t>increases. The line that we seem to see when we look at the scatter diagram is an approximation of the line</w:t>
      </w:r>
      <w:r>
        <w:rPr>
          <w:rStyle w:val="apple-converted-space"/>
          <w:rFonts w:ascii="Georgia" w:hAnsi="Georgia"/>
          <w:color w:val="333333"/>
          <w:sz w:val="20"/>
          <w:szCs w:val="20"/>
        </w:rPr>
        <w:t> </w:t>
      </w:r>
      <w:r>
        <w:rPr>
          <w:rStyle w:val="mi"/>
          <w:rFonts w:ascii="MathJax_Math" w:hAnsi="MathJax_Math"/>
          <w:i/>
          <w:iCs/>
          <w:color w:val="333333"/>
          <w:sz w:val="20"/>
          <w:szCs w:val="20"/>
        </w:rPr>
        <w:t>y</w:t>
      </w:r>
      <w:r>
        <w:rPr>
          <w:rStyle w:val="mo"/>
          <w:rFonts w:ascii="MathJax_Main" w:hAnsi="MathJax_Main"/>
          <w:color w:val="333333"/>
          <w:sz w:val="20"/>
          <w:szCs w:val="20"/>
        </w:rPr>
        <w:t>=</w:t>
      </w:r>
      <w:r>
        <w:rPr>
          <w:rStyle w:val="mi"/>
          <w:rFonts w:ascii="MathJax_Math" w:hAnsi="MathJax_Math"/>
          <w:i/>
          <w:iCs/>
          <w:color w:val="333333"/>
          <w:sz w:val="20"/>
          <w:szCs w:val="20"/>
        </w:rPr>
        <w:t>β</w:t>
      </w:r>
      <w:r>
        <w:rPr>
          <w:rStyle w:val="mn"/>
          <w:rFonts w:ascii="MathJax_Main" w:hAnsi="MathJax_Main"/>
          <w:color w:val="333333"/>
          <w:sz w:val="15"/>
          <w:szCs w:val="15"/>
        </w:rPr>
        <w:t>1</w:t>
      </w:r>
      <w:r>
        <w:rPr>
          <w:rStyle w:val="mi"/>
          <w:rFonts w:ascii="MathJax_Math" w:hAnsi="MathJax_Math"/>
          <w:i/>
          <w:iCs/>
          <w:color w:val="333333"/>
          <w:sz w:val="20"/>
          <w:szCs w:val="20"/>
        </w:rPr>
        <w:t>x</w:t>
      </w:r>
      <w:r>
        <w:rPr>
          <w:rStyle w:val="mo"/>
          <w:rFonts w:ascii="MathJax_Main" w:hAnsi="MathJax_Main"/>
          <w:color w:val="333333"/>
          <w:sz w:val="20"/>
          <w:szCs w:val="20"/>
        </w:rPr>
        <w:t>+</w:t>
      </w:r>
      <w:r>
        <w:rPr>
          <w:rStyle w:val="mi"/>
          <w:rFonts w:ascii="MathJax_Math" w:hAnsi="MathJax_Math"/>
          <w:i/>
          <w:iCs/>
          <w:color w:val="333333"/>
          <w:sz w:val="20"/>
          <w:szCs w:val="20"/>
        </w:rPr>
        <w:t>β</w:t>
      </w:r>
      <w:r>
        <w:rPr>
          <w:rStyle w:val="mn"/>
          <w:rFonts w:ascii="MathJax_Main" w:hAnsi="MathJax_Main"/>
          <w:color w:val="333333"/>
          <w:sz w:val="15"/>
          <w:szCs w:val="15"/>
        </w:rPr>
        <w:t>0</w:t>
      </w:r>
      <w:r>
        <w:rPr>
          <w:rStyle w:val="mo"/>
          <w:rFonts w:ascii="MathJax_Main" w:hAnsi="MathJax_Main"/>
          <w:color w:val="333333"/>
          <w:sz w:val="20"/>
          <w:szCs w:val="20"/>
        </w:rPr>
        <w:t>.</w:t>
      </w:r>
      <w:r>
        <w:rPr>
          <w:rStyle w:val="apple-converted-space"/>
          <w:rFonts w:ascii="Georgia" w:hAnsi="Georgia"/>
          <w:color w:val="333333"/>
          <w:sz w:val="20"/>
          <w:szCs w:val="20"/>
        </w:rPr>
        <w:t> </w:t>
      </w:r>
      <w:r>
        <w:rPr>
          <w:rFonts w:ascii="Georgia" w:hAnsi="Georgia"/>
          <w:color w:val="333333"/>
          <w:sz w:val="20"/>
          <w:szCs w:val="20"/>
        </w:rPr>
        <w:t>There is nothing random in this part, and therefore it is called the</w:t>
      </w:r>
      <w:r>
        <w:rPr>
          <w:rStyle w:val="apple-converted-space"/>
          <w:rFonts w:ascii="Georgia" w:hAnsi="Georgia"/>
          <w:color w:val="333333"/>
          <w:sz w:val="20"/>
          <w:szCs w:val="20"/>
        </w:rPr>
        <w:t> </w:t>
      </w:r>
      <w:r>
        <w:rPr>
          <w:rStyle w:val="Emphasis"/>
          <w:rFonts w:ascii="Georgia" w:hAnsi="Georgia"/>
          <w:color w:val="333333"/>
          <w:sz w:val="20"/>
          <w:szCs w:val="20"/>
        </w:rPr>
        <w:t>deterministic</w:t>
      </w:r>
      <w:r>
        <w:rPr>
          <w:rStyle w:val="apple-converted-space"/>
          <w:rFonts w:ascii="Georgia" w:hAnsi="Georgia"/>
          <w:color w:val="333333"/>
          <w:sz w:val="20"/>
          <w:szCs w:val="20"/>
        </w:rPr>
        <w:t> </w:t>
      </w:r>
      <w:r>
        <w:rPr>
          <w:rFonts w:ascii="Georgia" w:hAnsi="Georgia"/>
          <w:color w:val="333333"/>
          <w:sz w:val="20"/>
          <w:szCs w:val="20"/>
        </w:rPr>
        <w:t>part of the model.</w:t>
      </w:r>
    </w:p>
    <w:p w:rsidR="00AD77BB" w:rsidRDefault="00B45BA0">
      <w:pPr>
        <w:numPr>
          <w:ilvl w:val="0"/>
          <w:numId w:val="262"/>
        </w:numPr>
        <w:shd w:val="clear" w:color="auto" w:fill="FFFFFF"/>
        <w:spacing w:after="0" w:line="360" w:lineRule="auto"/>
        <w:ind w:left="360"/>
        <w:textAlignment w:val="baseline"/>
        <w:rPr>
          <w:rFonts w:ascii="Georgia" w:hAnsi="Georgia"/>
          <w:color w:val="333333"/>
          <w:sz w:val="20"/>
          <w:szCs w:val="20"/>
        </w:rPr>
      </w:pPr>
      <w:r>
        <w:rPr>
          <w:rStyle w:val="Strong"/>
          <w:rFonts w:ascii="Georgia" w:hAnsi="Georgia"/>
          <w:color w:val="333333"/>
          <w:sz w:val="20"/>
          <w:szCs w:val="20"/>
        </w:rPr>
        <w:t>Random Part.</w:t>
      </w:r>
      <w:r>
        <w:rPr>
          <w:rStyle w:val="apple-converted-space"/>
          <w:rFonts w:ascii="Georgia" w:hAnsi="Georgia"/>
          <w:color w:val="333333"/>
          <w:sz w:val="20"/>
          <w:szCs w:val="20"/>
        </w:rPr>
        <w:t> </w:t>
      </w:r>
      <w:r>
        <w:rPr>
          <w:rFonts w:ascii="Georgia" w:hAnsi="Georgia"/>
          <w:color w:val="333333"/>
          <w:sz w:val="20"/>
          <w:szCs w:val="20"/>
        </w:rPr>
        <w:t>The second part</w:t>
      </w:r>
      <w:r>
        <w:rPr>
          <w:rStyle w:val="apple-converted-space"/>
          <w:rFonts w:ascii="Georgia" w:hAnsi="Georgia"/>
          <w:color w:val="333333"/>
          <w:sz w:val="20"/>
          <w:szCs w:val="20"/>
        </w:rPr>
        <w:t> </w:t>
      </w:r>
      <w:r>
        <w:rPr>
          <w:rStyle w:val="Emphasis"/>
          <w:rFonts w:ascii="Georgia" w:hAnsi="Georgia"/>
          <w:color w:val="333333"/>
          <w:sz w:val="20"/>
          <w:szCs w:val="20"/>
        </w:rPr>
        <w:t>ε</w:t>
      </w:r>
      <w:r>
        <w:rPr>
          <w:rStyle w:val="apple-converted-space"/>
          <w:rFonts w:ascii="Georgia" w:hAnsi="Georgia"/>
          <w:color w:val="333333"/>
          <w:sz w:val="20"/>
          <w:szCs w:val="20"/>
        </w:rPr>
        <w:t> </w:t>
      </w:r>
      <w:r>
        <w:rPr>
          <w:rFonts w:ascii="Georgia" w:hAnsi="Georgia"/>
          <w:color w:val="333333"/>
          <w:sz w:val="20"/>
          <w:szCs w:val="20"/>
        </w:rPr>
        <w:t xml:space="preserve">is a random variable, often called the </w:t>
      </w:r>
      <w:r>
        <w:rPr>
          <w:rStyle w:val="Emphasis"/>
          <w:rFonts w:ascii="Georgia" w:hAnsi="Georgia"/>
          <w:color w:val="333333"/>
          <w:sz w:val="20"/>
          <w:szCs w:val="20"/>
        </w:rPr>
        <w:t>error</w:t>
      </w:r>
      <w:r>
        <w:rPr>
          <w:rStyle w:val="apple-converted-space"/>
          <w:rFonts w:ascii="Georgia" w:hAnsi="Georgia"/>
          <w:color w:val="333333"/>
          <w:sz w:val="20"/>
          <w:szCs w:val="20"/>
        </w:rPr>
        <w:t> </w:t>
      </w:r>
      <w:r>
        <w:rPr>
          <w:rFonts w:ascii="Georgia" w:hAnsi="Georgia"/>
          <w:color w:val="333333"/>
          <w:sz w:val="20"/>
          <w:szCs w:val="20"/>
        </w:rPr>
        <w:t>term or the</w:t>
      </w:r>
      <w:r>
        <w:rPr>
          <w:rStyle w:val="apple-converted-space"/>
          <w:rFonts w:ascii="Georgia" w:hAnsi="Georgia"/>
          <w:color w:val="333333"/>
          <w:sz w:val="20"/>
          <w:szCs w:val="20"/>
        </w:rPr>
        <w:t> </w:t>
      </w:r>
      <w:r>
        <w:rPr>
          <w:rStyle w:val="Emphasis"/>
          <w:rFonts w:ascii="Georgia" w:hAnsi="Georgia"/>
          <w:color w:val="333333"/>
          <w:sz w:val="20"/>
          <w:szCs w:val="20"/>
        </w:rPr>
        <w:t>noise</w:t>
      </w:r>
      <w:r>
        <w:rPr>
          <w:rFonts w:ascii="Georgia" w:hAnsi="Georgia"/>
          <w:color w:val="333333"/>
          <w:sz w:val="20"/>
          <w:szCs w:val="20"/>
        </w:rPr>
        <w:t>. This part explains why the actual observed values of</w:t>
      </w:r>
      <w:r>
        <w:rPr>
          <w:rStyle w:val="apple-converted-space"/>
          <w:rFonts w:ascii="Georgia" w:hAnsi="Georgia"/>
          <w:color w:val="333333"/>
          <w:sz w:val="20"/>
          <w:szCs w:val="20"/>
        </w:rPr>
        <w:t> </w:t>
      </w:r>
      <w:r>
        <w:rPr>
          <w:rStyle w:val="Emphasis"/>
          <w:rFonts w:ascii="Georgia" w:hAnsi="Georgia"/>
          <w:color w:val="333333"/>
          <w:sz w:val="20"/>
          <w:szCs w:val="20"/>
        </w:rPr>
        <w:t>y</w:t>
      </w:r>
      <w:r>
        <w:rPr>
          <w:rStyle w:val="apple-converted-space"/>
          <w:rFonts w:ascii="Georgia" w:hAnsi="Georgia"/>
          <w:color w:val="333333"/>
          <w:sz w:val="20"/>
          <w:szCs w:val="20"/>
        </w:rPr>
        <w:t> </w:t>
      </w:r>
      <w:r>
        <w:rPr>
          <w:rFonts w:ascii="Georgia" w:hAnsi="Georgia"/>
          <w:color w:val="333333"/>
          <w:sz w:val="20"/>
          <w:szCs w:val="20"/>
        </w:rPr>
        <w:t>are not exactly on but fluctuate near a line. Information about this term is important since only when one knows how much noise there is in the data can one know how trustworthy the detected trend is.</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lastRenderedPageBreak/>
        <w:t>There are three parameters in this model:</w:t>
      </w:r>
      <w:r>
        <w:rPr>
          <w:rStyle w:val="apple-converted-space"/>
          <w:rFonts w:ascii="Georgia" w:hAnsi="Georgia"/>
          <w:color w:val="333333"/>
          <w:sz w:val="21"/>
          <w:szCs w:val="21"/>
        </w:rPr>
        <w:t> </w:t>
      </w:r>
      <w:r>
        <w:rPr>
          <w:rStyle w:val="mi"/>
          <w:rFonts w:ascii="MathJax_Math" w:hAnsi="MathJax_Math"/>
          <w:i/>
          <w:iCs/>
          <w:color w:val="333333"/>
          <w:sz w:val="20"/>
          <w:szCs w:val="20"/>
        </w:rPr>
        <w:t>β</w:t>
      </w:r>
      <w:r>
        <w:rPr>
          <w:rStyle w:val="mn"/>
          <w:rFonts w:ascii="MathJax_Main" w:hAnsi="MathJax_Main"/>
          <w:color w:val="333333"/>
          <w:sz w:val="15"/>
          <w:szCs w:val="15"/>
        </w:rPr>
        <w:t>0</w:t>
      </w:r>
      <w:r>
        <w:rPr>
          <w:rFonts w:ascii="Georgia" w:hAnsi="Georgia"/>
          <w:color w:val="333333"/>
          <w:sz w:val="21"/>
          <w:szCs w:val="21"/>
        </w:rPr>
        <w:t>,</w:t>
      </w:r>
      <w:r>
        <w:rPr>
          <w:rStyle w:val="apple-converted-space"/>
          <w:rFonts w:ascii="Georgia" w:hAnsi="Georgia"/>
          <w:color w:val="333333"/>
          <w:sz w:val="21"/>
          <w:szCs w:val="21"/>
        </w:rPr>
        <w:t> </w:t>
      </w:r>
      <w:r>
        <w:rPr>
          <w:rStyle w:val="mi"/>
          <w:rFonts w:ascii="MathJax_Math" w:hAnsi="MathJax_Math"/>
          <w:i/>
          <w:iCs/>
          <w:color w:val="333333"/>
          <w:sz w:val="20"/>
          <w:szCs w:val="20"/>
        </w:rPr>
        <w:t>β</w:t>
      </w:r>
      <w:r>
        <w:rPr>
          <w:rStyle w:val="mn"/>
          <w:rFonts w:ascii="MathJax_Main" w:hAnsi="MathJax_Main"/>
          <w:color w:val="333333"/>
          <w:sz w:val="15"/>
          <w:szCs w:val="15"/>
        </w:rPr>
        <w:t>1</w:t>
      </w:r>
      <w:r>
        <w:rPr>
          <w:rFonts w:ascii="Georgia" w:hAnsi="Georgia"/>
          <w:color w:val="333333"/>
          <w:sz w:val="21"/>
          <w:szCs w:val="21"/>
        </w:rPr>
        <w:t>, and</w:t>
      </w:r>
      <w:r>
        <w:rPr>
          <w:rStyle w:val="apple-converted-space"/>
          <w:rFonts w:ascii="Georgia" w:hAnsi="Georgia"/>
          <w:color w:val="333333"/>
          <w:sz w:val="21"/>
          <w:szCs w:val="21"/>
        </w:rPr>
        <w:t> </w:t>
      </w:r>
      <w:r>
        <w:rPr>
          <w:rStyle w:val="Emphasis"/>
          <w:rFonts w:ascii="Georgia" w:hAnsi="Georgia"/>
          <w:color w:val="333333"/>
          <w:sz w:val="20"/>
          <w:szCs w:val="20"/>
        </w:rPr>
        <w:t>σ</w:t>
      </w:r>
      <w:r>
        <w:rPr>
          <w:rFonts w:ascii="Georgia" w:hAnsi="Georgia"/>
          <w:color w:val="333333"/>
          <w:sz w:val="21"/>
          <w:szCs w:val="21"/>
        </w:rPr>
        <w:t>. Each has an important interpretation, particularly</w:t>
      </w:r>
      <w:r>
        <w:rPr>
          <w:rStyle w:val="apple-converted-space"/>
          <w:rFonts w:ascii="Georgia" w:hAnsi="Georgia"/>
          <w:color w:val="333333"/>
          <w:sz w:val="21"/>
          <w:szCs w:val="21"/>
        </w:rPr>
        <w:t> </w:t>
      </w:r>
      <w:r>
        <w:rPr>
          <w:rStyle w:val="mi"/>
          <w:rFonts w:ascii="MathJax_Math" w:hAnsi="MathJax_Math"/>
          <w:i/>
          <w:iCs/>
          <w:color w:val="333333"/>
          <w:sz w:val="20"/>
          <w:szCs w:val="20"/>
        </w:rPr>
        <w:t>β</w:t>
      </w:r>
      <w:r>
        <w:rPr>
          <w:rStyle w:val="mn"/>
          <w:rFonts w:ascii="MathJax_Main" w:hAnsi="MathJax_Main"/>
          <w:color w:val="333333"/>
          <w:sz w:val="15"/>
          <w:szCs w:val="15"/>
        </w:rPr>
        <w:t>1</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rPr>
        <w:t>σ</w:t>
      </w:r>
      <w:r>
        <w:rPr>
          <w:rFonts w:ascii="Georgia" w:hAnsi="Georgia"/>
          <w:color w:val="333333"/>
          <w:sz w:val="21"/>
          <w:szCs w:val="21"/>
        </w:rPr>
        <w:t>. The slope parameter</w:t>
      </w:r>
      <w:r>
        <w:rPr>
          <w:rStyle w:val="apple-converted-space"/>
          <w:rFonts w:ascii="Georgia" w:hAnsi="Georgia"/>
          <w:color w:val="333333"/>
          <w:sz w:val="21"/>
          <w:szCs w:val="21"/>
        </w:rPr>
        <w:t> </w:t>
      </w:r>
      <w:r>
        <w:rPr>
          <w:rStyle w:val="mi"/>
          <w:rFonts w:ascii="MathJax_Math" w:hAnsi="MathJax_Math"/>
          <w:i/>
          <w:iCs/>
          <w:color w:val="333333"/>
          <w:sz w:val="20"/>
          <w:szCs w:val="20"/>
        </w:rPr>
        <w:t>β</w:t>
      </w:r>
      <w:r>
        <w:rPr>
          <w:rStyle w:val="mn"/>
          <w:rFonts w:ascii="MathJax_Main" w:hAnsi="MathJax_Main"/>
          <w:color w:val="333333"/>
          <w:sz w:val="15"/>
          <w:szCs w:val="15"/>
        </w:rPr>
        <w:t>1</w:t>
      </w:r>
      <w:r>
        <w:rPr>
          <w:rFonts w:ascii="Georgia" w:hAnsi="Georgia"/>
          <w:color w:val="333333"/>
          <w:sz w:val="21"/>
          <w:szCs w:val="21"/>
        </w:rPr>
        <w:t>represents the expected change in</w:t>
      </w:r>
      <w:r>
        <w:rPr>
          <w:rStyle w:val="apple-converted-space"/>
          <w:rFonts w:ascii="Georgia" w:hAnsi="Georgia"/>
          <w:color w:val="333333"/>
          <w:sz w:val="21"/>
          <w:szCs w:val="21"/>
        </w:rPr>
        <w:t> </w:t>
      </w:r>
      <w:r>
        <w:rPr>
          <w:rStyle w:val="Emphasis"/>
          <w:rFonts w:ascii="Georgia" w:hAnsi="Georgia"/>
          <w:color w:val="333333"/>
          <w:sz w:val="20"/>
          <w:szCs w:val="20"/>
        </w:rPr>
        <w:t>y</w:t>
      </w:r>
      <w:r>
        <w:rPr>
          <w:rStyle w:val="apple-converted-space"/>
          <w:rFonts w:ascii="Georgia" w:hAnsi="Georgia"/>
          <w:color w:val="333333"/>
          <w:sz w:val="21"/>
          <w:szCs w:val="21"/>
        </w:rPr>
        <w:t> </w:t>
      </w:r>
      <w:r>
        <w:rPr>
          <w:rFonts w:ascii="Georgia" w:hAnsi="Georgia"/>
          <w:color w:val="333333"/>
          <w:sz w:val="21"/>
          <w:szCs w:val="21"/>
        </w:rPr>
        <w:t>brought about by a unit increase in</w:t>
      </w:r>
      <w:r>
        <w:rPr>
          <w:rStyle w:val="apple-converted-space"/>
          <w:rFonts w:ascii="Georgia" w:hAnsi="Georgia"/>
          <w:color w:val="333333"/>
          <w:sz w:val="21"/>
          <w:szCs w:val="21"/>
        </w:rPr>
        <w:t> </w:t>
      </w:r>
      <w:r>
        <w:rPr>
          <w:rStyle w:val="Emphasis"/>
          <w:rFonts w:ascii="Georgia" w:hAnsi="Georgia"/>
          <w:color w:val="333333"/>
          <w:sz w:val="20"/>
          <w:szCs w:val="20"/>
        </w:rPr>
        <w:t>x</w:t>
      </w:r>
      <w:r>
        <w:rPr>
          <w:rFonts w:ascii="Georgia" w:hAnsi="Georgia"/>
          <w:color w:val="333333"/>
          <w:sz w:val="21"/>
          <w:szCs w:val="21"/>
        </w:rPr>
        <w:t>. The standard deviation</w:t>
      </w:r>
      <w:r>
        <w:rPr>
          <w:rStyle w:val="apple-converted-space"/>
          <w:rFonts w:ascii="Georgia" w:hAnsi="Georgia"/>
          <w:color w:val="333333"/>
          <w:sz w:val="21"/>
          <w:szCs w:val="21"/>
        </w:rPr>
        <w:t> </w:t>
      </w:r>
      <w:r>
        <w:rPr>
          <w:rStyle w:val="Emphasis"/>
          <w:rFonts w:ascii="Georgia" w:hAnsi="Georgia"/>
          <w:color w:val="333333"/>
          <w:sz w:val="20"/>
          <w:szCs w:val="20"/>
        </w:rPr>
        <w:t>σ</w:t>
      </w:r>
      <w:r>
        <w:rPr>
          <w:rStyle w:val="apple-converted-space"/>
          <w:rFonts w:ascii="Georgia" w:hAnsi="Georgia"/>
          <w:color w:val="333333"/>
          <w:sz w:val="21"/>
          <w:szCs w:val="21"/>
        </w:rPr>
        <w:t> </w:t>
      </w:r>
      <w:r>
        <w:rPr>
          <w:rFonts w:ascii="Georgia" w:hAnsi="Georgia"/>
          <w:color w:val="333333"/>
          <w:sz w:val="21"/>
          <w:szCs w:val="21"/>
        </w:rPr>
        <w:t>represents the magnitude of the noise in the data.</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There are procedures for checking the validity of the three assumptions, but for us it will be sufficient to visually verify the linear trend in the data. If the data set is large then the points in the scatter diagram will form a band about an apparent straight line. The normality of</w:t>
      </w:r>
      <w:r>
        <w:rPr>
          <w:rStyle w:val="apple-converted-space"/>
          <w:rFonts w:ascii="Georgia" w:hAnsi="Georgia"/>
          <w:color w:val="333333"/>
          <w:sz w:val="21"/>
          <w:szCs w:val="21"/>
        </w:rPr>
        <w:t> </w:t>
      </w:r>
      <w:r>
        <w:rPr>
          <w:rStyle w:val="Emphasis"/>
          <w:rFonts w:ascii="Georgia" w:hAnsi="Georgia"/>
          <w:color w:val="333333"/>
          <w:sz w:val="20"/>
          <w:szCs w:val="20"/>
        </w:rPr>
        <w:t>ε</w:t>
      </w:r>
      <w:r>
        <w:rPr>
          <w:rStyle w:val="apple-converted-space"/>
          <w:rFonts w:ascii="Georgia" w:hAnsi="Georgia"/>
          <w:color w:val="333333"/>
          <w:sz w:val="21"/>
          <w:szCs w:val="21"/>
        </w:rPr>
        <w:t> </w:t>
      </w:r>
      <w:r>
        <w:rPr>
          <w:rFonts w:ascii="Georgia" w:hAnsi="Georgia"/>
          <w:color w:val="333333"/>
          <w:sz w:val="21"/>
          <w:szCs w:val="21"/>
        </w:rPr>
        <w:t>with a constant standard deviation corresponds graphically to the band being of roughly constant width, and with most points concentrated near the middle of the band.</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Fortunately, the three assumptions do not need to hold exactly in order for the procedures and analysis developed in this chapter to be useful.</w:t>
      </w:r>
    </w:p>
    <w:p w:rsidR="00AD77BB" w:rsidRDefault="00B45BA0">
      <w:pPr>
        <w:pStyle w:val="Heading3"/>
        <w:shd w:val="clear" w:color="auto" w:fill="39892F"/>
        <w:spacing w:before="0" w:beforeAutospacing="0" w:after="150" w:afterAutospacing="0" w:line="360" w:lineRule="auto"/>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rsidR="00AD77BB" w:rsidRDefault="00B45BA0">
      <w:pPr>
        <w:numPr>
          <w:ilvl w:val="0"/>
          <w:numId w:val="263"/>
        </w:numPr>
        <w:shd w:val="clear" w:color="auto" w:fill="ECF9EA"/>
        <w:spacing w:after="0" w:line="360" w:lineRule="auto"/>
        <w:ind w:left="360" w:right="375"/>
        <w:textAlignment w:val="baseline"/>
        <w:rPr>
          <w:rFonts w:ascii="Calibri" w:hAnsi="Calibri"/>
          <w:color w:val="333333"/>
          <w:sz w:val="20"/>
          <w:szCs w:val="20"/>
        </w:rPr>
      </w:pPr>
      <w:r>
        <w:rPr>
          <w:rFonts w:ascii="Calibri" w:hAnsi="Calibri"/>
          <w:color w:val="333333"/>
          <w:sz w:val="20"/>
          <w:szCs w:val="20"/>
        </w:rPr>
        <w:t>Statistical procedures are valid only when certain assumptions are valid. The assumptions underlying the analyses done in this chapter are graphically summarized in</w:t>
      </w:r>
      <w:r>
        <w:rPr>
          <w:rStyle w:val="apple-converted-space"/>
          <w:rFonts w:ascii="Calibri" w:hAnsi="Calibri"/>
          <w:color w:val="333333"/>
          <w:sz w:val="20"/>
          <w:szCs w:val="20"/>
        </w:rPr>
        <w:t> </w:t>
      </w:r>
      <w:r>
        <w:rPr>
          <w:rFonts w:ascii="Calibri" w:hAnsi="Calibri"/>
          <w:color w:val="2689C6"/>
          <w:sz w:val="20"/>
          <w:szCs w:val="20"/>
        </w:rPr>
        <w:t>Figure 10.5 "The Simple Linear Model Concept"</w:t>
      </w:r>
      <w:r>
        <w:rPr>
          <w:rFonts w:ascii="Calibri" w:hAnsi="Calibri"/>
          <w:color w:val="333333"/>
          <w:sz w:val="20"/>
          <w:szCs w:val="20"/>
        </w:rPr>
        <w:t>.</w:t>
      </w:r>
    </w:p>
    <w:p w:rsidR="00AD77BB" w:rsidRDefault="00AD77BB">
      <w:pPr>
        <w:spacing w:line="270" w:lineRule="atLeast"/>
        <w:jc w:val="center"/>
        <w:textAlignment w:val="baseline"/>
        <w:rPr>
          <w:rFonts w:ascii="Calibri" w:hAnsi="Calibri"/>
          <w:b/>
          <w:color w:val="555555"/>
          <w:sz w:val="23"/>
          <w:szCs w:val="23"/>
          <w:shd w:val="clear" w:color="auto" w:fill="FFFFFF"/>
        </w:rPr>
      </w:pP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EXERCISES</w:t>
      </w:r>
    </w:p>
    <w:p w:rsidR="00AD77BB" w:rsidRDefault="00B45BA0">
      <w:pPr>
        <w:numPr>
          <w:ilvl w:val="0"/>
          <w:numId w:val="264"/>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State the three assumptions that are the basis for the Simple Linear Regression Model.</w:t>
      </w:r>
    </w:p>
    <w:p w:rsidR="00AD77BB" w:rsidRDefault="00B45BA0">
      <w:pPr>
        <w:numPr>
          <w:ilvl w:val="0"/>
          <w:numId w:val="264"/>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Simple Linear Regression Model is summarized by the equation</w:t>
      </w:r>
    </w:p>
    <w:p w:rsidR="00AD77BB" w:rsidRDefault="00B45BA0">
      <w:pPr>
        <w:shd w:val="clear" w:color="auto" w:fill="DAEEF3" w:themeFill="accent5" w:themeFillTint="33"/>
        <w:spacing w:after="0" w:line="360" w:lineRule="auto"/>
        <w:ind w:left="446"/>
        <w:jc w:val="center"/>
        <w:textAlignment w:val="baseline"/>
        <w:rPr>
          <w:rFonts w:ascii="Calibri" w:eastAsia="Times New Roman" w:hAnsi="Calibri" w:cs="Times New Roman"/>
          <w:color w:val="333333"/>
          <w:sz w:val="20"/>
          <w:szCs w:val="20"/>
        </w:rPr>
      </w:pPr>
      <w:r>
        <w:rPr>
          <w:rFonts w:ascii="MathJax_Math" w:eastAsia="Times New Roman" w:hAnsi="MathJax_Math" w:cs="Times New Roman"/>
          <w:i/>
          <w:iCs/>
          <w:color w:val="333333"/>
          <w:sz w:val="17"/>
          <w:szCs w:val="17"/>
        </w:rPr>
        <w:t>y</w:t>
      </w:r>
      <w:r>
        <w:rPr>
          <w:rFonts w:ascii="MathJax_Main" w:eastAsia="Times New Roman" w:hAnsi="MathJax_Main" w:cs="Times New Roman"/>
          <w:color w:val="333333"/>
          <w:sz w:val="17"/>
          <w:szCs w:val="17"/>
        </w:rPr>
        <w:t>=</w:t>
      </w:r>
      <w:r>
        <w:rPr>
          <w:rFonts w:ascii="MathJax_Math" w:eastAsia="Times New Roman" w:hAnsi="MathJax_Math" w:cs="Times New Roman"/>
          <w:i/>
          <w:iCs/>
          <w:color w:val="333333"/>
          <w:sz w:val="17"/>
          <w:szCs w:val="17"/>
        </w:rPr>
        <w:t>β</w:t>
      </w:r>
      <w:r>
        <w:rPr>
          <w:rFonts w:ascii="MathJax_Main" w:eastAsia="Times New Roman" w:hAnsi="MathJax_Main" w:cs="Times New Roman"/>
          <w:color w:val="333333"/>
          <w:sz w:val="12"/>
          <w:szCs w:val="12"/>
        </w:rPr>
        <w:t>1</w:t>
      </w:r>
      <w:r>
        <w:rPr>
          <w:rFonts w:ascii="MathJax_Math" w:eastAsia="Times New Roman" w:hAnsi="MathJax_Math" w:cs="Times New Roman"/>
          <w:i/>
          <w:iCs/>
          <w:color w:val="333333"/>
          <w:sz w:val="17"/>
          <w:szCs w:val="17"/>
        </w:rPr>
        <w:t>x</w:t>
      </w:r>
      <w:r>
        <w:rPr>
          <w:rFonts w:ascii="MathJax_Main" w:eastAsia="Times New Roman" w:hAnsi="MathJax_Main" w:cs="Times New Roman"/>
          <w:color w:val="333333"/>
          <w:sz w:val="17"/>
          <w:szCs w:val="17"/>
        </w:rPr>
        <w:t>+</w:t>
      </w:r>
      <w:r>
        <w:rPr>
          <w:rFonts w:ascii="MathJax_Math" w:eastAsia="Times New Roman" w:hAnsi="MathJax_Math" w:cs="Times New Roman"/>
          <w:i/>
          <w:iCs/>
          <w:color w:val="333333"/>
          <w:sz w:val="17"/>
          <w:szCs w:val="17"/>
        </w:rPr>
        <w:t>β</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7"/>
          <w:szCs w:val="17"/>
        </w:rPr>
        <w:t>+</w:t>
      </w:r>
      <w:r>
        <w:rPr>
          <w:rFonts w:ascii="MathJax_Math" w:eastAsia="Times New Roman" w:hAnsi="MathJax_Math" w:cs="Times New Roman"/>
          <w:i/>
          <w:iCs/>
          <w:color w:val="333333"/>
          <w:sz w:val="17"/>
          <w:szCs w:val="17"/>
        </w:rPr>
        <w:t>ε</w:t>
      </w:r>
    </w:p>
    <w:p w:rsidR="00AD77BB" w:rsidRDefault="00B45BA0">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Identify the deterministic part and the random part.</w:t>
      </w:r>
    </w:p>
    <w:p w:rsidR="00AD77BB" w:rsidRDefault="00B45BA0">
      <w:pPr>
        <w:numPr>
          <w:ilvl w:val="0"/>
          <w:numId w:val="264"/>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Is the number </w:t>
      </w:r>
      <w:r>
        <w:rPr>
          <w:rFonts w:ascii="MathJax_Math" w:eastAsia="Times New Roman" w:hAnsi="MathJax_Math" w:cs="Times New Roman"/>
          <w:i/>
          <w:iCs/>
          <w:color w:val="333333"/>
          <w:sz w:val="17"/>
          <w:szCs w:val="17"/>
        </w:rPr>
        <w:t>β</w:t>
      </w:r>
      <w:r>
        <w:rPr>
          <w:rFonts w:ascii="MathJax_Main" w:eastAsia="Times New Roman" w:hAnsi="MathJax_Main" w:cs="Times New Roman"/>
          <w:color w:val="333333"/>
          <w:sz w:val="12"/>
          <w:szCs w:val="12"/>
        </w:rPr>
        <w:t>1</w:t>
      </w:r>
      <w:r>
        <w:rPr>
          <w:rFonts w:ascii="Calibri" w:eastAsia="Times New Roman" w:hAnsi="Calibri" w:cs="Times New Roman"/>
          <w:color w:val="333333"/>
          <w:sz w:val="20"/>
          <w:szCs w:val="20"/>
        </w:rPr>
        <w:t> in the equation </w:t>
      </w:r>
      <w:r>
        <w:rPr>
          <w:rFonts w:ascii="MathJax_Math" w:eastAsia="Times New Roman" w:hAnsi="MathJax_Math" w:cs="Times New Roman"/>
          <w:i/>
          <w:iCs/>
          <w:color w:val="333333"/>
          <w:sz w:val="17"/>
          <w:szCs w:val="17"/>
        </w:rPr>
        <w:t>y</w:t>
      </w:r>
      <w:r>
        <w:rPr>
          <w:rFonts w:ascii="MathJax_Main" w:eastAsia="Times New Roman" w:hAnsi="MathJax_Main" w:cs="Times New Roman"/>
          <w:color w:val="333333"/>
          <w:sz w:val="17"/>
          <w:szCs w:val="17"/>
        </w:rPr>
        <w:t>=</w:t>
      </w:r>
      <w:r>
        <w:rPr>
          <w:rFonts w:ascii="MathJax_Math" w:eastAsia="Times New Roman" w:hAnsi="MathJax_Math" w:cs="Times New Roman"/>
          <w:i/>
          <w:iCs/>
          <w:color w:val="333333"/>
          <w:sz w:val="17"/>
          <w:szCs w:val="17"/>
        </w:rPr>
        <w:t>β</w:t>
      </w:r>
      <w:r>
        <w:rPr>
          <w:rFonts w:ascii="MathJax_Main" w:eastAsia="Times New Roman" w:hAnsi="MathJax_Main" w:cs="Times New Roman"/>
          <w:color w:val="333333"/>
          <w:sz w:val="12"/>
          <w:szCs w:val="12"/>
        </w:rPr>
        <w:t>1</w:t>
      </w:r>
      <w:r>
        <w:rPr>
          <w:rFonts w:ascii="MathJax_Math" w:eastAsia="Times New Roman" w:hAnsi="MathJax_Math" w:cs="Times New Roman"/>
          <w:i/>
          <w:iCs/>
          <w:color w:val="333333"/>
          <w:sz w:val="17"/>
          <w:szCs w:val="17"/>
        </w:rPr>
        <w:t>x</w:t>
      </w:r>
      <w:r>
        <w:rPr>
          <w:rFonts w:ascii="MathJax_Main" w:eastAsia="Times New Roman" w:hAnsi="MathJax_Main" w:cs="Times New Roman"/>
          <w:color w:val="333333"/>
          <w:sz w:val="17"/>
          <w:szCs w:val="17"/>
        </w:rPr>
        <w:t>+</w:t>
      </w:r>
      <w:r>
        <w:rPr>
          <w:rFonts w:ascii="MathJax_Math" w:eastAsia="Times New Roman" w:hAnsi="MathJax_Math" w:cs="Times New Roman"/>
          <w:i/>
          <w:iCs/>
          <w:color w:val="333333"/>
          <w:sz w:val="17"/>
          <w:szCs w:val="17"/>
        </w:rPr>
        <w:t>β</w:t>
      </w:r>
      <w:r>
        <w:rPr>
          <w:rFonts w:ascii="MathJax_Main" w:eastAsia="Times New Roman" w:hAnsi="MathJax_Main" w:cs="Times New Roman"/>
          <w:color w:val="333333"/>
          <w:sz w:val="12"/>
          <w:szCs w:val="12"/>
        </w:rPr>
        <w:t>0</w:t>
      </w:r>
      <w:r>
        <w:rPr>
          <w:rFonts w:ascii="Calibri" w:eastAsia="Times New Roman" w:hAnsi="Calibri" w:cs="Times New Roman"/>
          <w:color w:val="333333"/>
          <w:sz w:val="20"/>
          <w:szCs w:val="20"/>
        </w:rPr>
        <w:t> a statistic or a population parameter? Explain.</w:t>
      </w:r>
    </w:p>
    <w:p w:rsidR="00AD77BB" w:rsidRDefault="00B45BA0">
      <w:pPr>
        <w:numPr>
          <w:ilvl w:val="0"/>
          <w:numId w:val="264"/>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Is the number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 in the Simple Linear Regression Model a statistic or a population parameter? Explain.</w:t>
      </w:r>
    </w:p>
    <w:p w:rsidR="00AD77BB" w:rsidRDefault="00B45BA0">
      <w:pPr>
        <w:numPr>
          <w:ilvl w:val="0"/>
          <w:numId w:val="264"/>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Describe what to look for in a scatter diagram in order to check that the assumptions of the Simple Linear Regression Model are true.</w:t>
      </w:r>
    </w:p>
    <w:p w:rsidR="00AD77BB" w:rsidRDefault="00B45BA0">
      <w:pPr>
        <w:numPr>
          <w:ilvl w:val="0"/>
          <w:numId w:val="264"/>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True or false: the assumptions of the Simple Linear Regression Model must hold exactly in order for the procedures and analysis developed in this chapter to be useful.</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ANSWERS</w:t>
      </w:r>
    </w:p>
    <w:p w:rsidR="00AD77BB" w:rsidRDefault="00AD77BB">
      <w:pPr>
        <w:numPr>
          <w:ilvl w:val="0"/>
          <w:numId w:val="26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p>
    <w:p w:rsidR="00AD77BB" w:rsidRDefault="00B45BA0">
      <w:pPr>
        <w:pStyle w:val="ListParagraph"/>
        <w:numPr>
          <w:ilvl w:val="1"/>
          <w:numId w:val="266"/>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mean of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is linearly related to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w:t>
      </w:r>
    </w:p>
    <w:p w:rsidR="00AD77BB" w:rsidRDefault="00B45BA0">
      <w:pPr>
        <w:pStyle w:val="ListParagraph"/>
        <w:numPr>
          <w:ilvl w:val="1"/>
          <w:numId w:val="26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For each given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is a normal random variable with mean </w:t>
      </w:r>
      <w:r>
        <w:rPr>
          <w:rFonts w:ascii="MathJax_Math" w:eastAsia="Times New Roman" w:hAnsi="MathJax_Math" w:cs="Times New Roman"/>
          <w:i/>
          <w:iCs/>
          <w:color w:val="333333"/>
          <w:sz w:val="17"/>
          <w:szCs w:val="17"/>
        </w:rPr>
        <w:t>β</w:t>
      </w:r>
      <w:r>
        <w:rPr>
          <w:rFonts w:ascii="MathJax_Main" w:eastAsia="Times New Roman" w:hAnsi="MathJax_Main" w:cs="Times New Roman"/>
          <w:color w:val="333333"/>
          <w:sz w:val="12"/>
          <w:szCs w:val="12"/>
        </w:rPr>
        <w:t>1</w:t>
      </w:r>
      <w:r>
        <w:rPr>
          <w:rFonts w:ascii="MathJax_Math" w:eastAsia="Times New Roman" w:hAnsi="MathJax_Math" w:cs="Times New Roman"/>
          <w:i/>
          <w:iCs/>
          <w:color w:val="333333"/>
          <w:sz w:val="17"/>
          <w:szCs w:val="17"/>
        </w:rPr>
        <w:t>x</w:t>
      </w:r>
      <w:r>
        <w:rPr>
          <w:rFonts w:ascii="MathJax_Main" w:eastAsia="Times New Roman" w:hAnsi="MathJax_Main" w:cs="Times New Roman"/>
          <w:color w:val="333333"/>
          <w:sz w:val="17"/>
          <w:szCs w:val="17"/>
        </w:rPr>
        <w:t>+</w:t>
      </w:r>
      <w:r>
        <w:rPr>
          <w:rFonts w:ascii="MathJax_Math" w:eastAsia="Times New Roman" w:hAnsi="MathJax_Math" w:cs="Times New Roman"/>
          <w:i/>
          <w:iCs/>
          <w:color w:val="333333"/>
          <w:sz w:val="17"/>
          <w:szCs w:val="17"/>
        </w:rPr>
        <w:t>β</w:t>
      </w:r>
      <w:r>
        <w:rPr>
          <w:rFonts w:ascii="MathJax_Main" w:eastAsia="Times New Roman" w:hAnsi="MathJax_Main" w:cs="Times New Roman"/>
          <w:color w:val="333333"/>
          <w:sz w:val="12"/>
          <w:szCs w:val="12"/>
        </w:rPr>
        <w:t>0</w:t>
      </w:r>
      <w:r>
        <w:rPr>
          <w:rFonts w:ascii="Calibri" w:eastAsia="Times New Roman" w:hAnsi="Calibri" w:cs="Times New Roman"/>
          <w:color w:val="333333"/>
          <w:sz w:val="20"/>
          <w:szCs w:val="20"/>
        </w:rPr>
        <w:t> and standard deviation </w:t>
      </w:r>
      <w:r>
        <w:rPr>
          <w:rFonts w:ascii="Calibri" w:eastAsia="Times New Roman" w:hAnsi="Calibri" w:cs="Times New Roman"/>
          <w:i/>
          <w:iCs/>
          <w:color w:val="333333"/>
          <w:sz w:val="20"/>
          <w:szCs w:val="20"/>
        </w:rPr>
        <w:t>σ</w:t>
      </w:r>
      <w:r>
        <w:rPr>
          <w:rFonts w:ascii="Calibri" w:eastAsia="Times New Roman" w:hAnsi="Calibri" w:cs="Times New Roman"/>
          <w:color w:val="333333"/>
          <w:sz w:val="20"/>
          <w:szCs w:val="20"/>
        </w:rPr>
        <w:t>.</w:t>
      </w:r>
    </w:p>
    <w:p w:rsidR="00AD77BB" w:rsidRDefault="00B45BA0">
      <w:pPr>
        <w:numPr>
          <w:ilvl w:val="1"/>
          <w:numId w:val="267"/>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All the observations of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in the sample are independent.</w:t>
      </w:r>
    </w:p>
    <w:p w:rsidR="00AD77BB" w:rsidRDefault="00B45BA0">
      <w:pPr>
        <w:numPr>
          <w:ilvl w:val="0"/>
          <w:numId w:val="268"/>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MathJax_Math" w:eastAsia="Times New Roman" w:hAnsi="MathJax_Math" w:cs="Times New Roman"/>
          <w:i/>
          <w:iCs/>
          <w:color w:val="333333"/>
          <w:sz w:val="17"/>
          <w:szCs w:val="17"/>
        </w:rPr>
        <w:t>β</w:t>
      </w:r>
      <w:r>
        <w:rPr>
          <w:rFonts w:ascii="MathJax_Main" w:eastAsia="Times New Roman" w:hAnsi="MathJax_Main" w:cs="Times New Roman"/>
          <w:color w:val="333333"/>
          <w:sz w:val="12"/>
          <w:szCs w:val="12"/>
        </w:rPr>
        <w:t>1</w:t>
      </w:r>
      <w:r>
        <w:rPr>
          <w:rFonts w:ascii="Calibri" w:eastAsia="Times New Roman" w:hAnsi="Calibri" w:cs="Times New Roman"/>
          <w:color w:val="333333"/>
          <w:sz w:val="20"/>
          <w:szCs w:val="20"/>
        </w:rPr>
        <w:t> is a population parameter.</w:t>
      </w:r>
    </w:p>
    <w:p w:rsidR="00AD77BB" w:rsidRDefault="00B45BA0">
      <w:pPr>
        <w:numPr>
          <w:ilvl w:val="0"/>
          <w:numId w:val="269"/>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A linear trend.</w:t>
      </w:r>
    </w:p>
    <w:p w:rsidR="00AD77BB" w:rsidRDefault="00B45B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3"/>
          <w:szCs w:val="33"/>
        </w:rPr>
        <w:t>10.4</w:t>
      </w:r>
      <w:r>
        <w:rPr>
          <w:rStyle w:val="apple-converted-space"/>
          <w:rFonts w:ascii="Calibri" w:hAnsi="Calibri"/>
          <w:color w:val="333333"/>
        </w:rPr>
        <w:t> </w:t>
      </w:r>
      <w:r>
        <w:rPr>
          <w:rFonts w:ascii="Calibri" w:hAnsi="Calibri"/>
          <w:color w:val="333333"/>
        </w:rPr>
        <w:t>The Least Squares Regression Line</w:t>
      </w:r>
    </w:p>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AD77BB" w:rsidRDefault="00B45BA0">
      <w:pPr>
        <w:numPr>
          <w:ilvl w:val="0"/>
          <w:numId w:val="270"/>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To learn how to measure how well a straight line fits a collection of data.</w:t>
      </w:r>
    </w:p>
    <w:p w:rsidR="00AD77BB" w:rsidRDefault="00B45BA0">
      <w:pPr>
        <w:numPr>
          <w:ilvl w:val="0"/>
          <w:numId w:val="270"/>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To learn how to construct the least squares regression line, the straight line that best fits a collection of data.</w:t>
      </w:r>
    </w:p>
    <w:p w:rsidR="00AD77BB" w:rsidRDefault="00B45BA0">
      <w:pPr>
        <w:numPr>
          <w:ilvl w:val="0"/>
          <w:numId w:val="270"/>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To learn the meaning of the slope of the least squares regression line.</w:t>
      </w:r>
    </w:p>
    <w:p w:rsidR="00AD77BB" w:rsidRDefault="00B45BA0">
      <w:pPr>
        <w:numPr>
          <w:ilvl w:val="0"/>
          <w:numId w:val="270"/>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To learn how to use the least squares regression line to estimate the response variable</w:t>
      </w:r>
      <w:r>
        <w:rPr>
          <w:rStyle w:val="apple-converted-space"/>
          <w:rFonts w:ascii="Calibri" w:hAnsi="Calibri"/>
          <w:color w:val="333333"/>
          <w:sz w:val="20"/>
          <w:szCs w:val="20"/>
        </w:rPr>
        <w:t> </w:t>
      </w:r>
      <w:r>
        <w:rPr>
          <w:rStyle w:val="Emphasis"/>
          <w:rFonts w:ascii="Calibri" w:hAnsi="Calibri"/>
          <w:color w:val="333333"/>
          <w:sz w:val="20"/>
          <w:szCs w:val="20"/>
        </w:rPr>
        <w:t>y</w:t>
      </w:r>
      <w:r>
        <w:rPr>
          <w:rStyle w:val="apple-converted-space"/>
          <w:rFonts w:ascii="Calibri" w:hAnsi="Calibri"/>
          <w:color w:val="333333"/>
          <w:sz w:val="20"/>
          <w:szCs w:val="20"/>
        </w:rPr>
        <w:t> </w:t>
      </w:r>
      <w:r>
        <w:rPr>
          <w:rFonts w:ascii="Calibri" w:hAnsi="Calibri"/>
          <w:color w:val="333333"/>
          <w:sz w:val="20"/>
          <w:szCs w:val="20"/>
        </w:rPr>
        <w:t>in terms of the predictor variable</w:t>
      </w:r>
      <w:r>
        <w:rPr>
          <w:rStyle w:val="apple-converted-space"/>
          <w:rFonts w:ascii="Calibri" w:hAnsi="Calibri"/>
          <w:color w:val="333333"/>
          <w:sz w:val="20"/>
          <w:szCs w:val="20"/>
        </w:rPr>
        <w:t> </w:t>
      </w:r>
      <w:r>
        <w:rPr>
          <w:rStyle w:val="Emphasis"/>
          <w:rFonts w:ascii="Calibri" w:hAnsi="Calibri"/>
          <w:color w:val="333333"/>
          <w:sz w:val="20"/>
          <w:szCs w:val="20"/>
        </w:rPr>
        <w:t>x</w:t>
      </w:r>
      <w:r>
        <w:rPr>
          <w:rFonts w:ascii="Calibri" w:hAnsi="Calibri"/>
          <w:color w:val="333333"/>
          <w:sz w:val="20"/>
          <w:szCs w:val="20"/>
        </w:rPr>
        <w:t>.</w:t>
      </w:r>
    </w:p>
    <w:p w:rsidR="00AD77BB" w:rsidRDefault="00AD77BB">
      <w:pPr>
        <w:pStyle w:val="Heading2"/>
        <w:shd w:val="clear" w:color="auto" w:fill="FFFFFF"/>
        <w:spacing w:before="0" w:line="360" w:lineRule="auto"/>
        <w:textAlignment w:val="baseline"/>
        <w:rPr>
          <w:rFonts w:ascii="Calibri" w:hAnsi="Calibri"/>
          <w:color w:val="333333"/>
          <w:sz w:val="28"/>
          <w:szCs w:val="28"/>
        </w:rPr>
      </w:pPr>
    </w:p>
    <w:p w:rsidR="00AD77BB" w:rsidRDefault="00B45BA0">
      <w:pPr>
        <w:pStyle w:val="Heading2"/>
        <w:shd w:val="clear" w:color="auto" w:fill="FFFFFF"/>
        <w:spacing w:before="0" w:line="360" w:lineRule="auto"/>
        <w:textAlignment w:val="baseline"/>
        <w:rPr>
          <w:rFonts w:ascii="Calibri" w:hAnsi="Calibri"/>
          <w:color w:val="333333"/>
          <w:sz w:val="28"/>
          <w:szCs w:val="28"/>
        </w:rPr>
      </w:pPr>
      <w:r>
        <w:rPr>
          <w:rFonts w:ascii="Calibri" w:hAnsi="Calibri"/>
          <w:color w:val="333333"/>
          <w:sz w:val="28"/>
          <w:szCs w:val="28"/>
        </w:rPr>
        <w:t>Goodness of Fit of a Straight Line to Data</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Once the scatter diagram of the data has been drawn and the model assumptions described in the previous sections at least visually verified (and perhaps the correlation coefficient</w:t>
      </w:r>
      <w:r>
        <w:rPr>
          <w:rStyle w:val="apple-converted-space"/>
          <w:rFonts w:ascii="Georgia" w:hAnsi="Georgia"/>
          <w:color w:val="333333"/>
          <w:sz w:val="20"/>
          <w:szCs w:val="20"/>
        </w:rPr>
        <w:t> </w:t>
      </w:r>
      <w:r>
        <w:rPr>
          <w:rStyle w:val="Emphasis"/>
          <w:rFonts w:ascii="Georgia" w:eastAsiaTheme="majorEastAsia" w:hAnsi="Georgia"/>
          <w:color w:val="333333"/>
          <w:sz w:val="20"/>
          <w:szCs w:val="20"/>
        </w:rPr>
        <w:t>r</w:t>
      </w:r>
      <w:r>
        <w:rPr>
          <w:rStyle w:val="apple-converted-space"/>
          <w:rFonts w:ascii="Georgia" w:hAnsi="Georgia"/>
          <w:color w:val="333333"/>
          <w:sz w:val="20"/>
          <w:szCs w:val="20"/>
        </w:rPr>
        <w:t> </w:t>
      </w:r>
      <w:r>
        <w:rPr>
          <w:rFonts w:ascii="Georgia" w:hAnsi="Georgia"/>
          <w:color w:val="333333"/>
          <w:sz w:val="20"/>
          <w:szCs w:val="20"/>
        </w:rPr>
        <w:t>computed to quantitatively verify the linear trend), the next step in the analysis is to find the straight line that best fits the data. We will explain how to measure how well a straight line fits a collection of points by examining how well the line</w:t>
      </w:r>
      <w:r>
        <w:rPr>
          <w:rStyle w:val="apple-converted-space"/>
          <w:rFonts w:ascii="Georgia" w:hAnsi="Georgia"/>
          <w:color w:val="333333"/>
          <w:sz w:val="20"/>
          <w:szCs w:val="20"/>
        </w:rPr>
        <w:t> </w:t>
      </w:r>
      <w:r>
        <w:rPr>
          <w:rStyle w:val="mi"/>
          <w:rFonts w:ascii="MathJax_Math" w:hAnsi="MathJax_Math"/>
          <w:i/>
          <w:iCs/>
          <w:color w:val="333333"/>
          <w:sz w:val="20"/>
          <w:szCs w:val="20"/>
        </w:rPr>
        <w:t>y</w:t>
      </w:r>
      <w:r>
        <w:rPr>
          <w:rStyle w:val="mo"/>
          <w:rFonts w:ascii="MathJax_Main" w:hAnsi="MathJax_Main"/>
          <w:color w:val="333333"/>
          <w:sz w:val="20"/>
          <w:szCs w:val="20"/>
        </w:rPr>
        <w:t>=</w:t>
      </w:r>
      <w:r>
        <w:rPr>
          <w:rStyle w:val="mn"/>
          <w:rFonts w:ascii="MathJax_Main" w:hAnsi="MathJax_Main"/>
          <w:color w:val="333333"/>
          <w:sz w:val="15"/>
          <w:szCs w:val="15"/>
        </w:rPr>
        <w:t>12</w:t>
      </w:r>
      <w:r>
        <w:rPr>
          <w:rStyle w:val="mi"/>
          <w:rFonts w:ascii="MathJax_Math" w:hAnsi="MathJax_Math"/>
          <w:i/>
          <w:iCs/>
          <w:color w:val="333333"/>
          <w:sz w:val="20"/>
          <w:szCs w:val="20"/>
        </w:rPr>
        <w:t>x</w:t>
      </w:r>
      <w:r>
        <w:rPr>
          <w:rStyle w:val="mtext"/>
          <w:rFonts w:ascii="MathJax_Main" w:hAnsi="MathJax_Main"/>
          <w:color w:val="333333"/>
          <w:sz w:val="20"/>
          <w:szCs w:val="20"/>
        </w:rPr>
        <w:t>−</w:t>
      </w:r>
      <w:r>
        <w:rPr>
          <w:rStyle w:val="mn"/>
          <w:rFonts w:ascii="MathJax_Main" w:hAnsi="MathJax_Main"/>
          <w:color w:val="333333"/>
          <w:sz w:val="20"/>
          <w:szCs w:val="20"/>
        </w:rPr>
        <w:t>1</w:t>
      </w:r>
      <w:r>
        <w:rPr>
          <w:rStyle w:val="apple-converted-space"/>
          <w:rFonts w:ascii="Georgia" w:hAnsi="Georgia"/>
          <w:color w:val="333333"/>
          <w:sz w:val="20"/>
          <w:szCs w:val="20"/>
        </w:rPr>
        <w:t> </w:t>
      </w:r>
      <w:r>
        <w:rPr>
          <w:rFonts w:ascii="Georgia" w:hAnsi="Georgia"/>
          <w:color w:val="333333"/>
          <w:sz w:val="20"/>
          <w:szCs w:val="20"/>
        </w:rPr>
        <w:t>fits the data set</w:t>
      </w:r>
    </w:p>
    <w:p w:rsidR="00AD77BB" w:rsidRDefault="00B45BA0">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00EA7FFC" wp14:editId="3F3C8904">
            <wp:extent cx="4086225" cy="5495925"/>
            <wp:effectExtent l="0" t="0" r="9525" b="9525"/>
            <wp:docPr id="393"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086225" cy="5495925"/>
                    </a:xfrm>
                    <a:prstGeom prst="rect">
                      <a:avLst/>
                    </a:prstGeom>
                    <a:noFill/>
                    <a:ln>
                      <a:noFill/>
                    </a:ln>
                  </pic:spPr>
                </pic:pic>
              </a:graphicData>
            </a:graphic>
          </wp:inline>
        </w:drawing>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To each point in the data set there is associated an “</w:t>
      </w:r>
      <w:r>
        <w:rPr>
          <w:rStyle w:val="marginterm"/>
          <w:rFonts w:ascii="Georgia" w:hAnsi="Georgia"/>
          <w:color w:val="333333"/>
          <w:sz w:val="20"/>
          <w:szCs w:val="20"/>
        </w:rPr>
        <w:t>error</w:t>
      </w:r>
      <w:r>
        <w:rPr>
          <w:rFonts w:ascii="Georgia" w:hAnsi="Georgia"/>
          <w:color w:val="333333"/>
          <w:sz w:val="21"/>
          <w:szCs w:val="21"/>
        </w:rPr>
        <w:t>,” the positive or negative vertical distance from the point to the line: positive if the point is above the line and negative if it is below the line. The error can be computed as the actual</w:t>
      </w:r>
      <w:r>
        <w:rPr>
          <w:rStyle w:val="apple-converted-space"/>
          <w:rFonts w:ascii="Georgia" w:hAnsi="Georgia"/>
          <w:color w:val="333333"/>
          <w:sz w:val="21"/>
          <w:szCs w:val="21"/>
        </w:rPr>
        <w:t> </w:t>
      </w:r>
      <w:r>
        <w:rPr>
          <w:rStyle w:val="Emphasis"/>
          <w:rFonts w:ascii="Georgia" w:hAnsi="Georgia"/>
          <w:color w:val="333333"/>
          <w:sz w:val="20"/>
          <w:szCs w:val="20"/>
        </w:rPr>
        <w:t>y</w:t>
      </w:r>
      <w:r>
        <w:rPr>
          <w:rFonts w:ascii="Georgia" w:hAnsi="Georgia"/>
          <w:color w:val="333333"/>
          <w:sz w:val="21"/>
          <w:szCs w:val="21"/>
        </w:rPr>
        <w:t>-value of the point minus the</w:t>
      </w:r>
      <w:r>
        <w:rPr>
          <w:rStyle w:val="apple-converted-space"/>
          <w:rFonts w:ascii="Georgia" w:hAnsi="Georgia"/>
          <w:color w:val="333333"/>
          <w:sz w:val="21"/>
          <w:szCs w:val="21"/>
        </w:rPr>
        <w:t> </w:t>
      </w:r>
      <w:r>
        <w:rPr>
          <w:rStyle w:val="Emphasis"/>
          <w:rFonts w:ascii="Georgia" w:hAnsi="Georgia"/>
          <w:color w:val="333333"/>
          <w:sz w:val="20"/>
          <w:szCs w:val="20"/>
        </w:rPr>
        <w:t>y</w:t>
      </w:r>
      <w:r>
        <w:rPr>
          <w:rFonts w:ascii="Georgia" w:hAnsi="Georgia"/>
          <w:color w:val="333333"/>
          <w:sz w:val="21"/>
          <w:szCs w:val="21"/>
        </w:rPr>
        <w:t>-value</w:t>
      </w:r>
      <w:r>
        <w:rPr>
          <w:rStyle w:val="apple-converted-space"/>
          <w:rFonts w:ascii="Georgia" w:hAnsi="Georgia"/>
          <w:color w:val="333333"/>
          <w:sz w:val="21"/>
          <w:szCs w:val="21"/>
        </w:rPr>
        <w:t> </w:t>
      </w:r>
      <w:r>
        <w:rPr>
          <w:rStyle w:val="mi"/>
          <w:rFonts w:ascii="MathJax_Math" w:hAnsi="MathJax_Math"/>
          <w:i/>
          <w:iCs/>
          <w:color w:val="333333"/>
          <w:sz w:val="20"/>
          <w:szCs w:val="20"/>
        </w:rPr>
        <w:t>y</w:t>
      </w:r>
      <w:r>
        <w:rPr>
          <w:rStyle w:val="mo"/>
          <w:rFonts w:ascii="MathJax_Main" w:hAnsi="MathJax_Main"/>
          <w:color w:val="333333"/>
          <w:sz w:val="20"/>
          <w:szCs w:val="20"/>
        </w:rPr>
        <w:t>ˆ</w:t>
      </w:r>
      <w:r>
        <w:rPr>
          <w:rStyle w:val="apple-converted-space"/>
          <w:rFonts w:ascii="Georgia" w:hAnsi="Georgia"/>
          <w:color w:val="333333"/>
          <w:sz w:val="21"/>
          <w:szCs w:val="21"/>
        </w:rPr>
        <w:t> </w:t>
      </w:r>
      <w:r>
        <w:rPr>
          <w:rFonts w:ascii="Georgia" w:hAnsi="Georgia"/>
          <w:color w:val="333333"/>
          <w:sz w:val="21"/>
          <w:szCs w:val="21"/>
        </w:rPr>
        <w:t>that is “predicted” by inserting the</w:t>
      </w:r>
      <w:r>
        <w:rPr>
          <w:rStyle w:val="apple-converted-space"/>
          <w:rFonts w:ascii="Georgia" w:hAnsi="Georgia"/>
          <w:color w:val="333333"/>
          <w:sz w:val="21"/>
          <w:szCs w:val="21"/>
        </w:rPr>
        <w:t> </w:t>
      </w:r>
      <w:r>
        <w:rPr>
          <w:rStyle w:val="Emphasis"/>
          <w:rFonts w:ascii="Georgia" w:hAnsi="Georgia"/>
          <w:color w:val="333333"/>
          <w:sz w:val="20"/>
          <w:szCs w:val="20"/>
        </w:rPr>
        <w:t>x</w:t>
      </w:r>
      <w:r>
        <w:rPr>
          <w:rFonts w:ascii="Georgia" w:hAnsi="Georgia"/>
          <w:color w:val="333333"/>
          <w:sz w:val="21"/>
          <w:szCs w:val="21"/>
        </w:rPr>
        <w:t>-value of the data point into the formula for the line:</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spacing w:line="360" w:lineRule="auto"/>
        <w:jc w:val="center"/>
        <w:textAlignment w:val="baseline"/>
        <w:rPr>
          <w:rFonts w:ascii="Calibri" w:hAnsi="Calibri"/>
          <w:color w:val="555555"/>
          <w:sz w:val="23"/>
          <w:szCs w:val="23"/>
          <w:shd w:val="clear" w:color="auto" w:fill="FFFFFF"/>
        </w:rPr>
      </w:pPr>
      <w:r>
        <w:rPr>
          <w:rStyle w:val="mtext"/>
          <w:rFonts w:ascii="MathJax_Main" w:hAnsi="MathJax_Main"/>
          <w:color w:val="555555"/>
          <w:sz w:val="20"/>
          <w:szCs w:val="20"/>
          <w:shd w:val="clear" w:color="auto" w:fill="FFFFFF"/>
        </w:rPr>
        <w:t>error at data point </w:t>
      </w:r>
      <w:r>
        <w:rPr>
          <w:rStyle w:val="mo"/>
          <w:rFonts w:ascii="MathJax_Main" w:hAnsi="MathJax_Main"/>
          <w:color w:val="555555"/>
          <w:sz w:val="20"/>
          <w:szCs w:val="20"/>
          <w:shd w:val="clear" w:color="auto" w:fill="FFFFFF"/>
        </w:rPr>
        <w:t>(</w:t>
      </w:r>
      <w:r>
        <w:rPr>
          <w:rStyle w:val="mi"/>
          <w:rFonts w:ascii="MathJax_Math" w:hAnsi="MathJax_Math"/>
          <w:i/>
          <w:iCs/>
          <w:color w:val="555555"/>
          <w:sz w:val="20"/>
          <w:szCs w:val="20"/>
          <w:shd w:val="clear" w:color="auto" w:fill="FFFFFF"/>
        </w:rPr>
        <w:t>x</w:t>
      </w:r>
      <w:r>
        <w:rPr>
          <w:rStyle w:val="mo"/>
          <w:rFonts w:ascii="MathJax_Main" w:hAnsi="MathJax_Main"/>
          <w:color w:val="555555"/>
          <w:sz w:val="20"/>
          <w:szCs w:val="20"/>
          <w:shd w:val="clear" w:color="auto" w:fill="FFFFFF"/>
        </w:rPr>
        <w:t>,</w:t>
      </w:r>
      <w:r>
        <w:rPr>
          <w:rStyle w:val="mi"/>
          <w:rFonts w:ascii="MathJax_Math" w:hAnsi="MathJax_Math"/>
          <w:i/>
          <w:iCs/>
          <w:color w:val="555555"/>
          <w:sz w:val="20"/>
          <w:szCs w:val="20"/>
          <w:shd w:val="clear" w:color="auto" w:fill="FFFFFF"/>
        </w:rPr>
        <w:t>y</w:t>
      </w:r>
      <w:r>
        <w:rPr>
          <w:rStyle w:val="mo"/>
          <w:rFonts w:ascii="MathJax_Main" w:hAnsi="MathJax_Main"/>
          <w:color w:val="555555"/>
          <w:sz w:val="20"/>
          <w:szCs w:val="20"/>
          <w:shd w:val="clear" w:color="auto" w:fill="FFFFFF"/>
        </w:rPr>
        <w:t>)=(</w:t>
      </w:r>
      <w:r>
        <w:rPr>
          <w:rStyle w:val="mtext"/>
          <w:rFonts w:ascii="MathJax_Main" w:hAnsi="MathJax_Main"/>
          <w:color w:val="555555"/>
          <w:sz w:val="20"/>
          <w:szCs w:val="20"/>
          <w:shd w:val="clear" w:color="auto" w:fill="FFFFFF"/>
        </w:rPr>
        <w:t>true </w:t>
      </w:r>
      <w:r>
        <w:rPr>
          <w:rStyle w:val="mi"/>
          <w:rFonts w:ascii="MathJax_Math" w:hAnsi="MathJax_Math"/>
          <w:i/>
          <w:iCs/>
          <w:color w:val="555555"/>
          <w:sz w:val="20"/>
          <w:szCs w:val="20"/>
          <w:shd w:val="clear" w:color="auto" w:fill="FFFFFF"/>
        </w:rPr>
        <w:t>y</w:t>
      </w:r>
      <w:r>
        <w:rPr>
          <w:rStyle w:val="mo"/>
          <w:rFonts w:ascii="MathJax_Main" w:hAnsi="MathJax_Main"/>
          <w:color w:val="555555"/>
          <w:sz w:val="20"/>
          <w:szCs w:val="20"/>
          <w:shd w:val="clear" w:color="auto" w:fill="FFFFFF"/>
        </w:rPr>
        <w:t>)−(</w:t>
      </w:r>
      <w:r>
        <w:rPr>
          <w:rStyle w:val="mtext"/>
          <w:rFonts w:ascii="MathJax_Main" w:hAnsi="MathJax_Main"/>
          <w:color w:val="555555"/>
          <w:sz w:val="20"/>
          <w:szCs w:val="20"/>
          <w:shd w:val="clear" w:color="auto" w:fill="FFFFFF"/>
        </w:rPr>
        <w:t>predicted </w:t>
      </w:r>
      <w:r>
        <w:rPr>
          <w:rStyle w:val="mi"/>
          <w:rFonts w:ascii="MathJax_Math" w:hAnsi="MathJax_Math"/>
          <w:i/>
          <w:iCs/>
          <w:color w:val="555555"/>
          <w:sz w:val="20"/>
          <w:szCs w:val="20"/>
          <w:shd w:val="clear" w:color="auto" w:fill="FFFFFF"/>
        </w:rPr>
        <w:t>y</w:t>
      </w:r>
      <w:r>
        <w:rPr>
          <w:rStyle w:val="mo"/>
          <w:rFonts w:ascii="MathJax_Main" w:hAnsi="MathJax_Main"/>
          <w:color w:val="555555"/>
          <w:sz w:val="20"/>
          <w:szCs w:val="20"/>
          <w:shd w:val="clear" w:color="auto" w:fill="FFFFFF"/>
        </w:rPr>
        <w:t>)=</w:t>
      </w:r>
      <w:r>
        <w:rPr>
          <w:rStyle w:val="mi"/>
          <w:rFonts w:ascii="MathJax_Math" w:hAnsi="MathJax_Math"/>
          <w:i/>
          <w:iCs/>
          <w:color w:val="555555"/>
          <w:sz w:val="20"/>
          <w:szCs w:val="20"/>
          <w:shd w:val="clear" w:color="auto" w:fill="FFFFFF"/>
        </w:rPr>
        <w:t>y</w:t>
      </w:r>
      <w:r>
        <w:rPr>
          <w:rStyle w:val="mo"/>
          <w:rFonts w:ascii="MathJax_Main" w:hAnsi="MathJax_Main"/>
          <w:color w:val="555555"/>
          <w:sz w:val="20"/>
          <w:szCs w:val="20"/>
          <w:shd w:val="clear" w:color="auto" w:fill="FFFFFF"/>
        </w:rPr>
        <w:t>−</w:t>
      </w:r>
      <w:r>
        <w:rPr>
          <w:rStyle w:val="mi"/>
          <w:rFonts w:ascii="MathJax_Math" w:hAnsi="MathJax_Math"/>
          <w:i/>
          <w:iCs/>
          <w:color w:val="555555"/>
          <w:sz w:val="20"/>
          <w:szCs w:val="20"/>
          <w:shd w:val="clear" w:color="auto" w:fill="FFFFFF"/>
        </w:rPr>
        <w:t>y</w:t>
      </w:r>
      <w:r>
        <w:rPr>
          <w:rStyle w:val="mo"/>
          <w:rFonts w:ascii="MathJax_Main" w:hAnsi="MathJax_Main"/>
          <w:color w:val="555555"/>
          <w:sz w:val="20"/>
          <w:szCs w:val="20"/>
          <w:shd w:val="clear" w:color="auto" w:fill="FFFFFF"/>
        </w:rPr>
        <w:t>ˆ</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computation of the error for each of the five points in the data set is shown in</w:t>
      </w:r>
      <w:r>
        <w:rPr>
          <w:rStyle w:val="apple-converted-space"/>
          <w:rFonts w:ascii="Georgia" w:hAnsi="Georgia"/>
          <w:color w:val="333333"/>
          <w:sz w:val="21"/>
          <w:szCs w:val="21"/>
        </w:rPr>
        <w:t> </w:t>
      </w:r>
      <w:r>
        <w:rPr>
          <w:rFonts w:ascii="Georgia" w:hAnsi="Georgia"/>
          <w:color w:val="2689C6"/>
          <w:sz w:val="21"/>
          <w:szCs w:val="21"/>
        </w:rPr>
        <w:t>Table 10.1 "The Errors in Fitting Data with a Straight Line"</w:t>
      </w:r>
      <w:r>
        <w:rPr>
          <w:rFonts w:ascii="Georgia" w:hAnsi="Georgia"/>
          <w:color w:val="333333"/>
          <w:sz w:val="21"/>
          <w:szCs w:val="21"/>
        </w:rPr>
        <w:t>.</w:t>
      </w:r>
    </w:p>
    <w:p w:rsidR="00AD77BB" w:rsidRDefault="00B45BA0">
      <w:pPr>
        <w:pStyle w:val="Title9"/>
        <w:shd w:val="clear" w:color="auto" w:fill="FFFFFF"/>
        <w:spacing w:before="0" w:beforeAutospacing="0" w:after="0" w:afterAutospacing="0" w:line="360" w:lineRule="auto"/>
        <w:textAlignment w:val="baseline"/>
        <w:rPr>
          <w:rFonts w:ascii="Georgia" w:hAnsi="Georgia"/>
          <w:color w:val="333333"/>
          <w:sz w:val="20"/>
          <w:szCs w:val="20"/>
        </w:rPr>
      </w:pPr>
      <w:r>
        <w:rPr>
          <w:rStyle w:val="title-prefix"/>
          <w:rFonts w:ascii="Georgia" w:hAnsi="Georgia"/>
          <w:color w:val="333333"/>
          <w:sz w:val="20"/>
          <w:szCs w:val="20"/>
        </w:rPr>
        <w:t>Table 10.1</w:t>
      </w:r>
      <w:r>
        <w:rPr>
          <w:rStyle w:val="apple-converted-space"/>
          <w:rFonts w:ascii="Georgia" w:hAnsi="Georgia"/>
          <w:color w:val="333333"/>
          <w:sz w:val="20"/>
          <w:szCs w:val="20"/>
        </w:rPr>
        <w:t> </w:t>
      </w:r>
      <w:r>
        <w:rPr>
          <w:rFonts w:ascii="Georgia" w:hAnsi="Georgia"/>
          <w:color w:val="333333"/>
          <w:sz w:val="20"/>
          <w:szCs w:val="20"/>
        </w:rPr>
        <w:t>The Errors in Fitting Data with a Straight Line</w:t>
      </w:r>
    </w:p>
    <w:tbl>
      <w:tblPr>
        <w:tblW w:w="0" w:type="auto"/>
        <w:tblCellMar>
          <w:left w:w="0" w:type="dxa"/>
          <w:right w:w="0" w:type="dxa"/>
        </w:tblCellMar>
        <w:tblLook w:val="04A0" w:firstRow="1" w:lastRow="0" w:firstColumn="1" w:lastColumn="0" w:noHBand="0" w:noVBand="1"/>
      </w:tblPr>
      <w:tblGrid>
        <w:gridCol w:w="242"/>
        <w:gridCol w:w="353"/>
        <w:gridCol w:w="252"/>
        <w:gridCol w:w="755"/>
        <w:gridCol w:w="454"/>
        <w:gridCol w:w="627"/>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rStyle w:val="Emphasis"/>
                <w:b/>
                <w:bCs/>
                <w:color w:val="F48800"/>
                <w:sz w:val="20"/>
                <w:szCs w:val="20"/>
              </w:rPr>
              <w:t>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rStyle w:val="Emphasis"/>
                <w:b/>
                <w:bCs/>
                <w:color w:val="F48800"/>
                <w:sz w:val="20"/>
                <w:szCs w:val="20"/>
              </w:rPr>
              <w: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rStyle w:val="mi"/>
                <w:rFonts w:ascii="MathJax_Math" w:hAnsi="MathJax_Math"/>
                <w:i/>
                <w:iCs/>
                <w:color w:val="F48800"/>
                <w:sz w:val="17"/>
                <w:szCs w:val="17"/>
              </w:rPr>
              <w:t>y</w:t>
            </w:r>
            <w:r>
              <w:rPr>
                <w:rStyle w:val="mo"/>
                <w:rFonts w:ascii="MathJax_Main" w:hAnsi="MathJax_Main"/>
                <w:color w:val="F48800"/>
                <w:sz w:val="17"/>
                <w:szCs w:val="17"/>
              </w:rPr>
              <w:t>ˆ=</w:t>
            </w:r>
            <w:r>
              <w:rPr>
                <w:rStyle w:val="mn"/>
                <w:rFonts w:ascii="MathJax_Main" w:hAnsi="MathJax_Main"/>
                <w:color w:val="F48800"/>
                <w:sz w:val="12"/>
                <w:szCs w:val="12"/>
              </w:rPr>
              <w:t>12</w:t>
            </w:r>
            <w:r>
              <w:rPr>
                <w:rStyle w:val="mi"/>
                <w:rFonts w:ascii="MathJax_Math" w:hAnsi="MathJax_Math"/>
                <w:i/>
                <w:iCs/>
                <w:color w:val="F48800"/>
                <w:sz w:val="17"/>
                <w:szCs w:val="17"/>
              </w:rPr>
              <w:t>x</w:t>
            </w:r>
            <w:r>
              <w:rPr>
                <w:rStyle w:val="mtext"/>
                <w:rFonts w:ascii="MathJax_Main" w:hAnsi="MathJax_Main"/>
                <w:color w:val="F48800"/>
                <w:sz w:val="17"/>
                <w:szCs w:val="17"/>
              </w:rPr>
              <w:t>−</w:t>
            </w:r>
            <w:r>
              <w:rPr>
                <w:rStyle w:val="mn"/>
                <w:rFonts w:ascii="MathJax_Main" w:hAnsi="MathJax_Main"/>
                <w:color w:val="F48800"/>
                <w:sz w:val="17"/>
                <w:szCs w:val="17"/>
              </w:rPr>
              <w:t>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rStyle w:val="mi"/>
                <w:rFonts w:ascii="MathJax_Math" w:hAnsi="MathJax_Math"/>
                <w:i/>
                <w:iCs/>
                <w:color w:val="F48800"/>
                <w:sz w:val="17"/>
                <w:szCs w:val="17"/>
              </w:rPr>
              <w:t>y</w:t>
            </w:r>
            <w:r>
              <w:rPr>
                <w:rStyle w:val="mo"/>
                <w:rFonts w:ascii="MathJax_Main" w:hAnsi="MathJax_Main"/>
                <w:color w:val="F48800"/>
                <w:sz w:val="17"/>
                <w:szCs w:val="17"/>
              </w:rPr>
              <w:t>−</w:t>
            </w:r>
            <w:r>
              <w:rPr>
                <w:rStyle w:val="mi"/>
                <w:rFonts w:ascii="MathJax_Math" w:hAnsi="MathJax_Math"/>
                <w:i/>
                <w:iCs/>
                <w:color w:val="F48800"/>
                <w:sz w:val="17"/>
                <w:szCs w:val="17"/>
              </w:rPr>
              <w:t>y</w:t>
            </w:r>
            <w:r>
              <w:rPr>
                <w:rStyle w:val="mo"/>
                <w:rFonts w:ascii="MathJax_Main" w:hAnsi="MathJax_Main"/>
                <w:color w:val="F48800"/>
                <w:sz w:val="17"/>
                <w:szCs w:val="17"/>
              </w:rPr>
              <w:t>ˆ</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rStyle w:val="mo"/>
                <w:rFonts w:ascii="MathJax_Size1" w:hAnsi="MathJax_Size1"/>
                <w:color w:val="F48800"/>
                <w:sz w:val="17"/>
                <w:szCs w:val="17"/>
              </w:rPr>
              <w:t>(</w:t>
            </w:r>
            <w:r>
              <w:rPr>
                <w:rStyle w:val="mi"/>
                <w:rFonts w:ascii="MathJax_Math" w:hAnsi="MathJax_Math"/>
                <w:i/>
                <w:iCs/>
                <w:color w:val="F48800"/>
                <w:sz w:val="17"/>
                <w:szCs w:val="17"/>
              </w:rPr>
              <w:t>y</w:t>
            </w:r>
            <w:r>
              <w:rPr>
                <w:rStyle w:val="mo"/>
                <w:rFonts w:ascii="MathJax_Main" w:hAnsi="MathJax_Main"/>
                <w:color w:val="F48800"/>
                <w:sz w:val="17"/>
                <w:szCs w:val="17"/>
              </w:rPr>
              <w:t>−</w:t>
            </w:r>
            <w:r>
              <w:rPr>
                <w:rStyle w:val="mi"/>
                <w:rFonts w:ascii="MathJax_Math" w:hAnsi="MathJax_Math"/>
                <w:i/>
                <w:iCs/>
                <w:color w:val="F48800"/>
                <w:sz w:val="17"/>
                <w:szCs w:val="17"/>
              </w:rPr>
              <w:t>y</w:t>
            </w:r>
            <w:r>
              <w:rPr>
                <w:rStyle w:val="mo"/>
                <w:rFonts w:ascii="MathJax_Main" w:hAnsi="MathJax_Main"/>
                <w:color w:val="F48800"/>
                <w:sz w:val="17"/>
                <w:szCs w:val="17"/>
              </w:rPr>
              <w:t>ˆ</w:t>
            </w:r>
            <w:r>
              <w:rPr>
                <w:rStyle w:val="mo"/>
                <w:rFonts w:ascii="MathJax_Size1" w:hAnsi="MathJax_Size1"/>
                <w:color w:val="F48800"/>
                <w:sz w:val="17"/>
                <w:szCs w:val="17"/>
              </w:rPr>
              <w:t>)</w:t>
            </w:r>
            <w:r>
              <w:rPr>
                <w:rStyle w:val="mn"/>
                <w:rFonts w:ascii="MathJax_Main" w:hAnsi="MathJax_Main"/>
                <w:color w:val="F48800"/>
                <w:sz w:val="12"/>
                <w:szCs w:val="12"/>
              </w:rPr>
              <w:t>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Σ</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2</w:t>
            </w:r>
          </w:p>
        </w:tc>
      </w:tr>
    </w:tbl>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 first thought for a measure of the goodness of fit of the line to the data would be simply to add the errors at every point, but the example shows that this cannot work well in general. The line does not fit the data perfectly (no line can), yet because of cancellation of positive and negative errors the sum of the errors (the fourth column of numbers) is zero. Instead goodness of fit is measured by the sum of the squares of the errors. Squaring eliminates the minus signs, so no cancellation can occur. For the data and line in</w:t>
      </w:r>
      <w:r>
        <w:rPr>
          <w:rStyle w:val="apple-converted-space"/>
          <w:rFonts w:ascii="Georgia" w:hAnsi="Georgia"/>
          <w:color w:val="333333"/>
          <w:sz w:val="21"/>
          <w:szCs w:val="21"/>
        </w:rPr>
        <w:t> </w:t>
      </w:r>
      <w:r>
        <w:rPr>
          <w:rFonts w:ascii="Georgia" w:hAnsi="Georgia"/>
          <w:color w:val="2689C6"/>
          <w:sz w:val="21"/>
          <w:szCs w:val="21"/>
        </w:rPr>
        <w:t>Figure 10.6 "Plot of the Five-Point Data and the Line "</w:t>
      </w:r>
      <w:r>
        <w:rPr>
          <w:rStyle w:val="apple-converted-space"/>
          <w:rFonts w:ascii="Georgia" w:hAnsi="Georgia"/>
          <w:color w:val="333333"/>
          <w:sz w:val="21"/>
          <w:szCs w:val="21"/>
        </w:rPr>
        <w:t> </w:t>
      </w:r>
      <w:r>
        <w:rPr>
          <w:rFonts w:ascii="Georgia" w:hAnsi="Georgia"/>
          <w:color w:val="333333"/>
          <w:sz w:val="21"/>
          <w:szCs w:val="21"/>
        </w:rPr>
        <w:t>the sum of the squared errors (the last column of numbers) is 2. This number measures the goodness of fit of the line to the data.</w:t>
      </w:r>
    </w:p>
    <w:p w:rsidR="00AD77BB" w:rsidRDefault="00B45BA0">
      <w:pPr>
        <w:pStyle w:val="Heading3"/>
        <w:shd w:val="clear" w:color="auto" w:fill="F4F4F4"/>
        <w:spacing w:before="0" w:beforeAutospacing="0" w:after="0" w:afterAutospacing="0" w:line="360" w:lineRule="auto"/>
        <w:textAlignment w:val="baseline"/>
        <w:rPr>
          <w:rFonts w:ascii="Calibri" w:hAnsi="Calibri"/>
          <w:color w:val="333333"/>
          <w:sz w:val="30"/>
          <w:szCs w:val="30"/>
        </w:rPr>
      </w:pPr>
      <w:r>
        <w:rPr>
          <w:rFonts w:ascii="Calibri" w:hAnsi="Calibri"/>
          <w:color w:val="333333"/>
          <w:sz w:val="30"/>
          <w:szCs w:val="30"/>
        </w:rPr>
        <w:t>Definition</w:t>
      </w: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rPr>
        <w:t>The</w:t>
      </w:r>
      <w:r>
        <w:rPr>
          <w:rStyle w:val="apple-converted-space"/>
          <w:rFonts w:ascii="Georgia" w:hAnsi="Georgia"/>
          <w:color w:val="333333"/>
          <w:sz w:val="20"/>
          <w:szCs w:val="20"/>
        </w:rPr>
        <w:t> </w:t>
      </w:r>
      <w:r>
        <w:rPr>
          <w:rStyle w:val="Strong"/>
          <w:rFonts w:ascii="Georgia" w:eastAsiaTheme="majorEastAsia" w:hAnsi="Georgia"/>
          <w:color w:val="333333"/>
          <w:sz w:val="20"/>
          <w:szCs w:val="20"/>
        </w:rPr>
        <w:t>goodness of fit</w:t>
      </w:r>
      <w:r>
        <w:rPr>
          <w:rStyle w:val="apple-converted-space"/>
          <w:rFonts w:ascii="Georgia" w:hAnsi="Georgia"/>
          <w:color w:val="333333"/>
          <w:sz w:val="20"/>
          <w:szCs w:val="20"/>
        </w:rPr>
        <w:t> </w:t>
      </w:r>
      <w:r>
        <w:rPr>
          <w:rStyle w:val="Emphasis"/>
          <w:rFonts w:ascii="Georgia" w:hAnsi="Georgia"/>
          <w:color w:val="333333"/>
          <w:sz w:val="20"/>
          <w:szCs w:val="20"/>
        </w:rPr>
        <w:t>of a line</w:t>
      </w:r>
      <w:r>
        <w:rPr>
          <w:rStyle w:val="apple-converted-space"/>
          <w:rFonts w:ascii="Georgia" w:hAnsi="Georgia"/>
          <w:color w:val="333333"/>
          <w:sz w:val="20"/>
          <w:szCs w:val="20"/>
        </w:rPr>
        <w:t> </w:t>
      </w:r>
      <w:r>
        <w:rPr>
          <w:rStyle w:val="mi"/>
          <w:rFonts w:ascii="MathJax_Math" w:hAnsi="MathJax_Math"/>
          <w:i/>
          <w:iCs/>
          <w:color w:val="333333"/>
          <w:sz w:val="20"/>
          <w:szCs w:val="20"/>
        </w:rPr>
        <w:t>y</w:t>
      </w:r>
      <w:r>
        <w:rPr>
          <w:rStyle w:val="mo"/>
          <w:rFonts w:ascii="MathJax_Main" w:hAnsi="MathJax_Main"/>
          <w:color w:val="333333"/>
          <w:sz w:val="20"/>
          <w:szCs w:val="20"/>
        </w:rPr>
        <w:t>ˆ=</w:t>
      </w:r>
      <w:r>
        <w:rPr>
          <w:rStyle w:val="mi"/>
          <w:rFonts w:ascii="MathJax_Math" w:hAnsi="MathJax_Math"/>
          <w:i/>
          <w:iCs/>
          <w:color w:val="333333"/>
          <w:sz w:val="20"/>
          <w:szCs w:val="20"/>
        </w:rPr>
        <w:t>mx</w:t>
      </w:r>
      <w:r>
        <w:rPr>
          <w:rStyle w:val="mo"/>
          <w:rFonts w:ascii="MathJax_Main" w:hAnsi="MathJax_Main"/>
          <w:color w:val="333333"/>
          <w:sz w:val="20"/>
          <w:szCs w:val="20"/>
        </w:rPr>
        <w:t>+</w:t>
      </w:r>
      <w:r>
        <w:rPr>
          <w:rStyle w:val="mi"/>
          <w:rFonts w:ascii="MathJax_Math" w:hAnsi="MathJax_Math"/>
          <w:i/>
          <w:iCs/>
          <w:color w:val="333333"/>
          <w:sz w:val="20"/>
          <w:szCs w:val="20"/>
        </w:rPr>
        <w:t>b</w:t>
      </w:r>
      <w:r>
        <w:rPr>
          <w:rStyle w:val="apple-converted-space"/>
          <w:rFonts w:ascii="Georgia" w:hAnsi="Georgia"/>
          <w:color w:val="333333"/>
          <w:sz w:val="20"/>
          <w:szCs w:val="20"/>
        </w:rPr>
        <w:t> </w:t>
      </w:r>
      <w:r>
        <w:rPr>
          <w:rStyle w:val="Emphasis"/>
          <w:rFonts w:ascii="Georgia" w:hAnsi="Georgia"/>
          <w:color w:val="333333"/>
          <w:sz w:val="20"/>
          <w:szCs w:val="20"/>
        </w:rPr>
        <w:t>to a set of</w:t>
      </w:r>
      <w:r>
        <w:rPr>
          <w:rStyle w:val="apple-converted-space"/>
          <w:rFonts w:ascii="Georgia" w:hAnsi="Georgia"/>
          <w:color w:val="333333"/>
          <w:sz w:val="20"/>
          <w:szCs w:val="20"/>
        </w:rPr>
        <w:t> </w:t>
      </w:r>
      <w:r>
        <w:rPr>
          <w:rStyle w:val="Emphasis"/>
          <w:rFonts w:ascii="Georgia" w:hAnsi="Georgia"/>
          <w:color w:val="333333"/>
          <w:sz w:val="20"/>
          <w:szCs w:val="20"/>
        </w:rPr>
        <w:t>n</w:t>
      </w:r>
      <w:r>
        <w:rPr>
          <w:rStyle w:val="apple-converted-space"/>
          <w:rFonts w:ascii="Georgia" w:hAnsi="Georgia"/>
          <w:color w:val="333333"/>
          <w:sz w:val="20"/>
          <w:szCs w:val="20"/>
        </w:rPr>
        <w:t> </w:t>
      </w:r>
      <w:r>
        <w:rPr>
          <w:rStyle w:val="Emphasis"/>
          <w:rFonts w:ascii="Georgia" w:hAnsi="Georgia"/>
          <w:color w:val="333333"/>
          <w:sz w:val="20"/>
          <w:szCs w:val="20"/>
        </w:rPr>
        <w:t>pairs</w:t>
      </w:r>
      <w:r>
        <w:rPr>
          <w:rStyle w:val="apple-converted-space"/>
          <w:rFonts w:ascii="Georgia" w:hAnsi="Georgia"/>
          <w:color w:val="333333"/>
          <w:sz w:val="20"/>
          <w:szCs w:val="20"/>
        </w:rPr>
        <w:t> </w:t>
      </w:r>
      <w:r>
        <w:rPr>
          <w:rStyle w:val="mo"/>
          <w:rFonts w:ascii="MathJax_Main" w:hAnsi="MathJax_Main"/>
          <w:color w:val="333333"/>
          <w:sz w:val="20"/>
          <w:szCs w:val="20"/>
        </w:rPr>
        <w:t>(</w:t>
      </w:r>
      <w:r>
        <w:rPr>
          <w:rStyle w:val="mi"/>
          <w:rFonts w:ascii="MathJax_Math" w:hAnsi="MathJax_Math"/>
          <w:i/>
          <w:iCs/>
          <w:color w:val="333333"/>
          <w:sz w:val="20"/>
          <w:szCs w:val="20"/>
        </w:rPr>
        <w:t>x</w:t>
      </w:r>
      <w:r>
        <w:rPr>
          <w:rStyle w:val="mo"/>
          <w:rFonts w:ascii="MathJax_Main" w:hAnsi="MathJax_Main"/>
          <w:color w:val="333333"/>
          <w:sz w:val="20"/>
          <w:szCs w:val="20"/>
        </w:rPr>
        <w:t>,</w:t>
      </w:r>
      <w:r>
        <w:rPr>
          <w:rStyle w:val="mi"/>
          <w:rFonts w:ascii="MathJax_Math" w:hAnsi="MathJax_Math"/>
          <w:i/>
          <w:iCs/>
          <w:color w:val="333333"/>
          <w:sz w:val="20"/>
          <w:szCs w:val="20"/>
        </w:rPr>
        <w:t>y</w:t>
      </w:r>
      <w:r>
        <w:rPr>
          <w:rStyle w:val="mo"/>
          <w:rFonts w:ascii="MathJax_Main" w:hAnsi="MathJax_Main"/>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rPr>
        <w:t>of numbers in a sample is the sum of the squared errors</w:t>
      </w:r>
    </w:p>
    <w:p w:rsidR="00AD77BB" w:rsidRDefault="00B45BA0">
      <w:pPr>
        <w:shd w:val="clear" w:color="auto" w:fill="F4F4F4"/>
        <w:spacing w:line="360" w:lineRule="auto"/>
        <w:jc w:val="center"/>
        <w:textAlignment w:val="baseline"/>
        <w:rPr>
          <w:rFonts w:ascii="Calibri" w:hAnsi="Calibri"/>
          <w:color w:val="555555"/>
          <w:sz w:val="23"/>
          <w:szCs w:val="23"/>
        </w:rPr>
      </w:pPr>
      <w:r>
        <w:rPr>
          <w:rStyle w:val="mi"/>
          <w:rFonts w:ascii="MathJax_Main" w:hAnsi="MathJax_Main"/>
          <w:color w:val="555555"/>
          <w:sz w:val="20"/>
          <w:szCs w:val="20"/>
        </w:rPr>
        <w:t>Σ</w:t>
      </w:r>
      <w:r>
        <w:rPr>
          <w:rStyle w:val="mo"/>
          <w:rFonts w:ascii="MathJax_Size1" w:hAnsi="MathJax_Size1"/>
          <w:color w:val="555555"/>
          <w:sz w:val="20"/>
          <w:szCs w:val="20"/>
        </w:rPr>
        <w:t>(</w:t>
      </w:r>
      <w:r>
        <w:rPr>
          <w:rStyle w:val="mi"/>
          <w:rFonts w:ascii="MathJax_Math" w:hAnsi="MathJax_Math"/>
          <w:i/>
          <w:iCs/>
          <w:color w:val="555555"/>
          <w:sz w:val="20"/>
          <w:szCs w:val="20"/>
        </w:rPr>
        <w:t>y</w:t>
      </w:r>
      <w:r>
        <w:rPr>
          <w:rStyle w:val="mo"/>
          <w:rFonts w:ascii="MathJax_Main" w:hAnsi="MathJax_Main"/>
          <w:color w:val="555555"/>
          <w:sz w:val="20"/>
          <w:szCs w:val="20"/>
        </w:rPr>
        <w:t>−</w:t>
      </w:r>
      <w:r>
        <w:rPr>
          <w:rStyle w:val="mi"/>
          <w:rFonts w:ascii="MathJax_Math" w:hAnsi="MathJax_Math"/>
          <w:i/>
          <w:iCs/>
          <w:color w:val="555555"/>
          <w:sz w:val="20"/>
          <w:szCs w:val="20"/>
        </w:rPr>
        <w:t>y</w:t>
      </w:r>
      <w:r>
        <w:rPr>
          <w:rStyle w:val="mo"/>
          <w:rFonts w:ascii="MathJax_Main" w:hAnsi="MathJax_Main"/>
          <w:color w:val="555555"/>
          <w:sz w:val="20"/>
          <w:szCs w:val="20"/>
        </w:rPr>
        <w:t>ˆ</w:t>
      </w:r>
      <w:r>
        <w:rPr>
          <w:rStyle w:val="mo"/>
          <w:rFonts w:ascii="MathJax_Size1" w:hAnsi="MathJax_Size1"/>
          <w:color w:val="555555"/>
          <w:sz w:val="20"/>
          <w:szCs w:val="20"/>
          <w:vertAlign w:val="superscript"/>
        </w:rPr>
        <w:t>)</w:t>
      </w:r>
      <w:r>
        <w:rPr>
          <w:rStyle w:val="mn"/>
          <w:rFonts w:ascii="MathJax_Main" w:hAnsi="MathJax_Main"/>
          <w:color w:val="555555"/>
          <w:sz w:val="15"/>
          <w:szCs w:val="15"/>
          <w:vertAlign w:val="superscript"/>
        </w:rPr>
        <w:t>2</w:t>
      </w: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rPr>
        <w:t>(n</w:t>
      </w:r>
      <w:r>
        <w:rPr>
          <w:rStyle w:val="apple-converted-space"/>
          <w:rFonts w:ascii="Georgia" w:hAnsi="Georgia"/>
          <w:color w:val="333333"/>
          <w:sz w:val="20"/>
          <w:szCs w:val="20"/>
        </w:rPr>
        <w:t> </w:t>
      </w:r>
      <w:r>
        <w:rPr>
          <w:rStyle w:val="Emphasis"/>
          <w:rFonts w:ascii="Georgia" w:hAnsi="Georgia"/>
          <w:color w:val="333333"/>
          <w:sz w:val="20"/>
          <w:szCs w:val="20"/>
        </w:rPr>
        <w:t>terms in the sum, one for each data pair).</w:t>
      </w:r>
    </w:p>
    <w:p w:rsidR="00AD77BB" w:rsidRDefault="00B45BA0">
      <w:pPr>
        <w:pStyle w:val="Heading2"/>
        <w:shd w:val="clear" w:color="auto" w:fill="FFFFFF"/>
        <w:spacing w:before="0" w:line="360" w:lineRule="auto"/>
        <w:textAlignment w:val="baseline"/>
        <w:rPr>
          <w:rFonts w:ascii="Calibri" w:hAnsi="Calibri"/>
          <w:color w:val="333333"/>
          <w:sz w:val="29"/>
          <w:szCs w:val="29"/>
        </w:rPr>
      </w:pPr>
      <w:r>
        <w:rPr>
          <w:rFonts w:ascii="Calibri" w:hAnsi="Calibri"/>
          <w:color w:val="333333"/>
          <w:sz w:val="29"/>
          <w:szCs w:val="29"/>
        </w:rPr>
        <w:t>The Least Squares Regression Line</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Given any collection of pairs of numbers (except when all the</w:t>
      </w:r>
      <w:r>
        <w:rPr>
          <w:rStyle w:val="apple-converted-space"/>
          <w:rFonts w:ascii="Georgia" w:hAnsi="Georgia"/>
          <w:color w:val="333333"/>
          <w:sz w:val="21"/>
          <w:szCs w:val="21"/>
        </w:rPr>
        <w:t> </w:t>
      </w:r>
      <w:r>
        <w:rPr>
          <w:rStyle w:val="Emphasis"/>
          <w:rFonts w:ascii="Georgia" w:hAnsi="Georgia"/>
          <w:color w:val="333333"/>
          <w:sz w:val="20"/>
          <w:szCs w:val="20"/>
        </w:rPr>
        <w:t>x</w:t>
      </w:r>
      <w:r>
        <w:rPr>
          <w:rFonts w:ascii="Georgia" w:hAnsi="Georgia"/>
          <w:color w:val="333333"/>
          <w:sz w:val="21"/>
          <w:szCs w:val="21"/>
        </w:rPr>
        <w:t>-values are the same) and the corresponding scatter diagram, there always exists exactly one straight line that fits the data better than any other, in the sense of minimizing the sum of the squared errors. It is called the</w:t>
      </w:r>
      <w:r>
        <w:rPr>
          <w:rStyle w:val="apple-converted-space"/>
          <w:rFonts w:ascii="Georgia" w:hAnsi="Georgia"/>
          <w:color w:val="333333"/>
          <w:sz w:val="21"/>
          <w:szCs w:val="21"/>
        </w:rPr>
        <w:t> </w:t>
      </w:r>
      <w:r>
        <w:rPr>
          <w:rStyle w:val="Emphasis"/>
          <w:rFonts w:ascii="Georgia" w:hAnsi="Georgia"/>
          <w:color w:val="333333"/>
          <w:sz w:val="20"/>
          <w:szCs w:val="20"/>
        </w:rPr>
        <w:t>least squares regression line</w:t>
      </w:r>
      <w:r>
        <w:rPr>
          <w:rFonts w:ascii="Georgia" w:hAnsi="Georgia"/>
          <w:color w:val="333333"/>
          <w:sz w:val="21"/>
          <w:szCs w:val="21"/>
        </w:rPr>
        <w:t>. Moreover there are formulas for its slope and</w:t>
      </w:r>
      <w:r>
        <w:rPr>
          <w:rStyle w:val="apple-converted-space"/>
          <w:rFonts w:ascii="Georgia" w:hAnsi="Georgia"/>
          <w:color w:val="333333"/>
          <w:sz w:val="21"/>
          <w:szCs w:val="21"/>
        </w:rPr>
        <w:t> </w:t>
      </w:r>
      <w:r>
        <w:rPr>
          <w:rStyle w:val="Emphasis"/>
          <w:rFonts w:ascii="Georgia" w:hAnsi="Georgia"/>
          <w:color w:val="333333"/>
          <w:sz w:val="20"/>
          <w:szCs w:val="20"/>
        </w:rPr>
        <w:t>y</w:t>
      </w:r>
      <w:r>
        <w:rPr>
          <w:rFonts w:ascii="Georgia" w:hAnsi="Georgia"/>
          <w:color w:val="333333"/>
          <w:sz w:val="21"/>
          <w:szCs w:val="21"/>
        </w:rPr>
        <w:t>-intercept.</w:t>
      </w:r>
    </w:p>
    <w:p w:rsidR="00AD77BB" w:rsidRDefault="00B45BA0">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0612737" wp14:editId="7A2A0FDD">
            <wp:extent cx="5143500" cy="6457950"/>
            <wp:effectExtent l="0" t="0" r="0" b="0"/>
            <wp:docPr id="394"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143500" cy="6457950"/>
                    </a:xfrm>
                    <a:prstGeom prst="rect">
                      <a:avLst/>
                    </a:prstGeom>
                    <a:noFill/>
                    <a:ln>
                      <a:noFill/>
                    </a:ln>
                  </pic:spPr>
                </pic:pic>
              </a:graphicData>
            </a:graphic>
          </wp:inline>
        </w:drawing>
      </w:r>
    </w:p>
    <w:p w:rsidR="00AD77BB" w:rsidRDefault="00B45BA0">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3AAF9BE7" wp14:editId="7DFCC81A">
            <wp:extent cx="5372100" cy="7115175"/>
            <wp:effectExtent l="0" t="0" r="0" b="9525"/>
            <wp:docPr id="395"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372100" cy="7115175"/>
                    </a:xfrm>
                    <a:prstGeom prst="rect">
                      <a:avLst/>
                    </a:prstGeom>
                    <a:noFill/>
                    <a:ln>
                      <a:noFill/>
                    </a:ln>
                  </pic:spPr>
                </pic:pic>
              </a:graphicData>
            </a:graphic>
          </wp:inline>
        </w:drawing>
      </w:r>
    </w:p>
    <w:p w:rsidR="00AD77BB" w:rsidRDefault="00B45BA0">
      <w:pPr>
        <w:shd w:val="clear" w:color="auto" w:fill="FFFFFF"/>
        <w:spacing w:after="0" w:line="360" w:lineRule="auto"/>
        <w:ind w:left="30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65958FD2" wp14:editId="35BB473A">
            <wp:extent cx="5486400" cy="4810125"/>
            <wp:effectExtent l="0" t="0" r="0" b="9525"/>
            <wp:docPr id="396"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486400" cy="4810125"/>
                    </a:xfrm>
                    <a:prstGeom prst="rect">
                      <a:avLst/>
                    </a:prstGeom>
                    <a:noFill/>
                    <a:ln>
                      <a:noFill/>
                    </a:ln>
                  </pic:spPr>
                </pic:pic>
              </a:graphicData>
            </a:graphic>
          </wp:inline>
        </w:drawing>
      </w:r>
    </w:p>
    <w:p w:rsidR="00AD77BB" w:rsidRDefault="00B45BA0">
      <w:pPr>
        <w:shd w:val="clear" w:color="auto" w:fill="08629A"/>
        <w:spacing w:after="0" w:line="439" w:lineRule="atLeast"/>
        <w:ind w:left="300" w:right="375"/>
        <w:jc w:val="center"/>
        <w:textAlignment w:val="baseline"/>
        <w:rPr>
          <w:rFonts w:ascii="Calibri" w:eastAsia="Times New Roman" w:hAnsi="Calibri" w:cs="Times New Roman"/>
          <w:caps/>
          <w:color w:val="FFFFFF"/>
          <w:spacing w:val="30"/>
          <w:sz w:val="26"/>
          <w:szCs w:val="26"/>
        </w:rPr>
      </w:pPr>
      <w:r>
        <w:rPr>
          <w:rFonts w:ascii="Calibri" w:eastAsia="Times New Roman" w:hAnsi="Calibri" w:cs="Times New Roman"/>
          <w:caps/>
          <w:color w:val="FFFFFF"/>
          <w:spacing w:val="30"/>
          <w:sz w:val="25"/>
          <w:szCs w:val="25"/>
        </w:rPr>
        <w:t>TABLE 10.2</w:t>
      </w:r>
      <w:r>
        <w:rPr>
          <w:rFonts w:ascii="Calibri" w:eastAsia="Times New Roman" w:hAnsi="Calibri" w:cs="Times New Roman"/>
          <w:caps/>
          <w:color w:val="FFFFFF"/>
          <w:spacing w:val="30"/>
          <w:sz w:val="26"/>
          <w:szCs w:val="26"/>
        </w:rPr>
        <w:t> THE ERRORS IN FITTING DATA WITH THE LEAST SQUARES REGRESSION LINE</w:t>
      </w:r>
    </w:p>
    <w:tbl>
      <w:tblPr>
        <w:tblW w:w="0" w:type="auto"/>
        <w:tblInd w:w="720" w:type="dxa"/>
        <w:shd w:val="clear" w:color="auto" w:fill="E3EFF7"/>
        <w:tblCellMar>
          <w:left w:w="0" w:type="dxa"/>
          <w:right w:w="0" w:type="dxa"/>
        </w:tblCellMar>
        <w:tblLook w:val="04A0" w:firstRow="1" w:lastRow="0" w:firstColumn="1" w:lastColumn="0" w:noHBand="0" w:noVBand="1"/>
      </w:tblPr>
      <w:tblGrid>
        <w:gridCol w:w="353"/>
        <w:gridCol w:w="252"/>
        <w:gridCol w:w="1485"/>
        <w:gridCol w:w="807"/>
        <w:gridCol w:w="1113"/>
      </w:tblGrid>
      <w:tr w:rsidR="00AD77BB">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b/>
                <w:bCs/>
                <w:color w:val="F48800"/>
                <w:sz w:val="20"/>
                <w:szCs w:val="20"/>
              </w:rPr>
            </w:pPr>
            <w:r>
              <w:rPr>
                <w:rFonts w:ascii="Calibri" w:eastAsia="Times New Roman" w:hAnsi="Calibri" w:cs="Times New Roman"/>
                <w:b/>
                <w:bCs/>
                <w:i/>
                <w:iCs/>
                <w:color w:val="F48800"/>
                <w:sz w:val="20"/>
                <w:szCs w:val="20"/>
              </w:rPr>
              <w:t>x</w:t>
            </w:r>
          </w:p>
        </w:tc>
        <w:tc>
          <w:tcPr>
            <w:tcW w:w="0" w:type="auto"/>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b/>
                <w:bCs/>
                <w:color w:val="F48800"/>
                <w:sz w:val="20"/>
                <w:szCs w:val="20"/>
              </w:rPr>
            </w:pPr>
            <w:r>
              <w:rPr>
                <w:rFonts w:ascii="Calibri" w:eastAsia="Times New Roman" w:hAnsi="Calibri" w:cs="Times New Roman"/>
                <w:b/>
                <w:bCs/>
                <w:i/>
                <w:iCs/>
                <w:color w:val="F48800"/>
                <w:sz w:val="20"/>
                <w:szCs w:val="20"/>
              </w:rPr>
              <w:t>y</w:t>
            </w:r>
          </w:p>
        </w:tc>
        <w:tc>
          <w:tcPr>
            <w:tcW w:w="0" w:type="auto"/>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b/>
                <w:bCs/>
                <w:color w:val="F48800"/>
                <w:sz w:val="20"/>
                <w:szCs w:val="20"/>
              </w:rPr>
            </w:pPr>
            <w:r>
              <w:rPr>
                <w:rFonts w:ascii="MathJax_Math" w:eastAsia="Times New Roman" w:hAnsi="MathJax_Math" w:cs="Times New Roman"/>
                <w:i/>
                <w:iCs/>
                <w:color w:val="F48800"/>
                <w:sz w:val="17"/>
                <w:szCs w:val="17"/>
              </w:rPr>
              <w:t>y</w:t>
            </w:r>
            <w:r>
              <w:rPr>
                <w:rFonts w:ascii="MathJax_Main" w:eastAsia="Times New Roman" w:hAnsi="MathJax_Main" w:cs="Times New Roman"/>
                <w:color w:val="F48800"/>
                <w:sz w:val="17"/>
                <w:szCs w:val="17"/>
              </w:rPr>
              <w:t>ˆ=0.34375</w:t>
            </w:r>
            <w:r>
              <w:rPr>
                <w:rFonts w:ascii="MathJax_Math" w:eastAsia="Times New Roman" w:hAnsi="MathJax_Math" w:cs="Times New Roman"/>
                <w:i/>
                <w:iCs/>
                <w:color w:val="F48800"/>
                <w:sz w:val="17"/>
                <w:szCs w:val="17"/>
              </w:rPr>
              <w:t>x</w:t>
            </w:r>
            <w:r>
              <w:rPr>
                <w:rFonts w:ascii="MathJax_Main" w:eastAsia="Times New Roman" w:hAnsi="MathJax_Main" w:cs="Times New Roman"/>
                <w:color w:val="F48800"/>
                <w:sz w:val="17"/>
                <w:szCs w:val="17"/>
              </w:rPr>
              <w:t>−0.125</w:t>
            </w:r>
          </w:p>
        </w:tc>
        <w:tc>
          <w:tcPr>
            <w:tcW w:w="0" w:type="auto"/>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b/>
                <w:bCs/>
                <w:color w:val="F48800"/>
                <w:sz w:val="20"/>
                <w:szCs w:val="20"/>
              </w:rPr>
            </w:pPr>
            <w:r>
              <w:rPr>
                <w:rFonts w:ascii="MathJax_Math" w:eastAsia="Times New Roman" w:hAnsi="MathJax_Math" w:cs="Times New Roman"/>
                <w:i/>
                <w:iCs/>
                <w:color w:val="F48800"/>
                <w:sz w:val="17"/>
                <w:szCs w:val="17"/>
              </w:rPr>
              <w:t>y</w:t>
            </w:r>
            <w:r>
              <w:rPr>
                <w:rFonts w:ascii="MathJax_Main" w:eastAsia="Times New Roman" w:hAnsi="MathJax_Main" w:cs="Times New Roman"/>
                <w:color w:val="F48800"/>
                <w:sz w:val="17"/>
                <w:szCs w:val="17"/>
              </w:rPr>
              <w:t>−</w:t>
            </w:r>
            <w:r>
              <w:rPr>
                <w:rFonts w:ascii="MathJax_Math" w:eastAsia="Times New Roman" w:hAnsi="MathJax_Math" w:cs="Times New Roman"/>
                <w:i/>
                <w:iCs/>
                <w:color w:val="F48800"/>
                <w:sz w:val="17"/>
                <w:szCs w:val="17"/>
              </w:rPr>
              <w:t>y</w:t>
            </w:r>
            <w:r>
              <w:rPr>
                <w:rFonts w:ascii="MathJax_Main" w:eastAsia="Times New Roman" w:hAnsi="MathJax_Main" w:cs="Times New Roman"/>
                <w:color w:val="F48800"/>
                <w:sz w:val="17"/>
                <w:szCs w:val="17"/>
              </w:rPr>
              <w:t>ˆ</w:t>
            </w:r>
          </w:p>
        </w:tc>
        <w:tc>
          <w:tcPr>
            <w:tcW w:w="0" w:type="auto"/>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b/>
                <w:bCs/>
                <w:color w:val="F48800"/>
                <w:sz w:val="20"/>
                <w:szCs w:val="20"/>
              </w:rPr>
            </w:pPr>
            <w:r>
              <w:rPr>
                <w:rFonts w:ascii="MathJax_Size1" w:eastAsia="Times New Roman" w:hAnsi="MathJax_Size1" w:cs="Times New Roman"/>
                <w:color w:val="F48800"/>
                <w:sz w:val="17"/>
                <w:szCs w:val="17"/>
              </w:rPr>
              <w:t>(</w:t>
            </w:r>
            <w:r>
              <w:rPr>
                <w:rFonts w:ascii="MathJax_Math" w:eastAsia="Times New Roman" w:hAnsi="MathJax_Math" w:cs="Times New Roman"/>
                <w:i/>
                <w:iCs/>
                <w:color w:val="F48800"/>
                <w:sz w:val="17"/>
                <w:szCs w:val="17"/>
              </w:rPr>
              <w:t>y</w:t>
            </w:r>
            <w:r>
              <w:rPr>
                <w:rFonts w:ascii="MathJax_Main" w:eastAsia="Times New Roman" w:hAnsi="MathJax_Main" w:cs="Times New Roman"/>
                <w:color w:val="F48800"/>
                <w:sz w:val="17"/>
                <w:szCs w:val="17"/>
              </w:rPr>
              <w:t>−</w:t>
            </w:r>
            <w:r>
              <w:rPr>
                <w:rFonts w:ascii="MathJax_Math" w:eastAsia="Times New Roman" w:hAnsi="MathJax_Math" w:cs="Times New Roman"/>
                <w:i/>
                <w:iCs/>
                <w:color w:val="F48800"/>
                <w:sz w:val="17"/>
                <w:szCs w:val="17"/>
              </w:rPr>
              <w:t>y</w:t>
            </w:r>
            <w:r>
              <w:rPr>
                <w:rFonts w:ascii="MathJax_Main" w:eastAsia="Times New Roman" w:hAnsi="MathJax_Main" w:cs="Times New Roman"/>
                <w:color w:val="F48800"/>
                <w:sz w:val="17"/>
                <w:szCs w:val="17"/>
              </w:rPr>
              <w:t>ˆ</w:t>
            </w:r>
            <w:r>
              <w:rPr>
                <w:rFonts w:ascii="MathJax_Size1" w:eastAsia="Times New Roman" w:hAnsi="MathJax_Size1" w:cs="Times New Roman"/>
                <w:color w:val="F48800"/>
                <w:sz w:val="17"/>
                <w:szCs w:val="17"/>
              </w:rPr>
              <w:t>)</w:t>
            </w:r>
            <w:r>
              <w:rPr>
                <w:rFonts w:ascii="MathJax_Main" w:eastAsia="Times New Roman" w:hAnsi="MathJax_Main" w:cs="Times New Roman"/>
                <w:color w:val="F48800"/>
                <w:sz w:val="12"/>
                <w:szCs w:val="12"/>
              </w:rPr>
              <w:t>2</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2</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0</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0.5625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−0.5625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0.31640625</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2</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1</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0.5625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0.4375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0.19140625</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6</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2</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1.9375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0.0625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0.00390625</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8</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3</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2.6250</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0.3750</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0.14062500</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10</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3</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3.3125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−0.3125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270" w:lineRule="atLeast"/>
              <w:jc w:val="center"/>
              <w:rPr>
                <w:rFonts w:ascii="Calibri" w:eastAsia="Times New Roman" w:hAnsi="Calibri" w:cs="Times New Roman"/>
                <w:color w:val="555555"/>
                <w:sz w:val="20"/>
                <w:szCs w:val="20"/>
              </w:rPr>
            </w:pPr>
            <w:r>
              <w:rPr>
                <w:rFonts w:ascii="Calibri" w:eastAsia="Times New Roman" w:hAnsi="Calibri" w:cs="Times New Roman"/>
                <w:color w:val="555555"/>
                <w:sz w:val="20"/>
                <w:szCs w:val="20"/>
              </w:rPr>
              <w:t>0.09765625</w:t>
            </w:r>
          </w:p>
        </w:tc>
      </w:tr>
    </w:tbl>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3</w:t>
      </w:r>
    </w:p>
    <w:p w:rsidR="00AD77BB" w:rsidRDefault="00B45BA0">
      <w:pPr>
        <w:pStyle w:val="para"/>
        <w:shd w:val="clear" w:color="auto" w:fill="DAEEF3" w:themeFill="accent5" w:themeFillTint="33"/>
        <w:spacing w:before="0" w:beforeAutospacing="0" w:after="0" w:afterAutospacing="0" w:line="360" w:lineRule="auto"/>
        <w:ind w:left="300" w:right="374"/>
        <w:textAlignment w:val="baseline"/>
        <w:rPr>
          <w:rFonts w:ascii="Calibri" w:hAnsi="Calibri"/>
          <w:color w:val="333333"/>
          <w:sz w:val="21"/>
          <w:szCs w:val="21"/>
        </w:rPr>
      </w:pPr>
      <w:r>
        <w:rPr>
          <w:rFonts w:ascii="Calibri" w:hAnsi="Calibri"/>
          <w:color w:val="2689C6"/>
          <w:sz w:val="21"/>
          <w:szCs w:val="21"/>
        </w:rPr>
        <w:t>Table 10.3 "Data on Age and Value of Used Automobiles of a Specific Make and Model"</w:t>
      </w:r>
      <w:r>
        <w:rPr>
          <w:rStyle w:val="apple-converted-space"/>
          <w:rFonts w:ascii="Calibri" w:eastAsiaTheme="majorEastAsia" w:hAnsi="Calibri"/>
          <w:color w:val="333333"/>
          <w:sz w:val="21"/>
          <w:szCs w:val="21"/>
        </w:rPr>
        <w:t> </w:t>
      </w:r>
      <w:r>
        <w:rPr>
          <w:rFonts w:ascii="Calibri" w:hAnsi="Calibri"/>
          <w:color w:val="333333"/>
          <w:sz w:val="21"/>
          <w:szCs w:val="21"/>
        </w:rPr>
        <w:t>shows the age in years and the retail value in thousands of dollars of a random sample of ten automobiles of the same make and model.</w:t>
      </w:r>
    </w:p>
    <w:p w:rsidR="00AD77BB" w:rsidRDefault="00B45BA0">
      <w:pPr>
        <w:numPr>
          <w:ilvl w:val="0"/>
          <w:numId w:val="271"/>
        </w:numPr>
        <w:shd w:val="clear" w:color="auto" w:fill="DAEEF3" w:themeFill="accent5" w:themeFillTint="33"/>
        <w:spacing w:after="0" w:line="360" w:lineRule="auto"/>
        <w:ind w:right="374"/>
        <w:textAlignment w:val="baseline"/>
        <w:rPr>
          <w:rFonts w:ascii="Calibri" w:hAnsi="Calibri"/>
          <w:color w:val="333333"/>
          <w:sz w:val="20"/>
          <w:szCs w:val="20"/>
        </w:rPr>
      </w:pPr>
      <w:r>
        <w:rPr>
          <w:rFonts w:ascii="Calibri" w:hAnsi="Calibri"/>
          <w:color w:val="333333"/>
          <w:sz w:val="20"/>
          <w:szCs w:val="20"/>
        </w:rPr>
        <w:lastRenderedPageBreak/>
        <w:t>Construct the scatter diagram.</w:t>
      </w:r>
    </w:p>
    <w:p w:rsidR="00AD77BB" w:rsidRDefault="00B45BA0">
      <w:pPr>
        <w:numPr>
          <w:ilvl w:val="0"/>
          <w:numId w:val="271"/>
        </w:numPr>
        <w:shd w:val="clear" w:color="auto" w:fill="DAEEF3" w:themeFill="accent5" w:themeFillTint="33"/>
        <w:spacing w:after="0" w:line="360" w:lineRule="auto"/>
        <w:ind w:left="504" w:right="374" w:hanging="504"/>
        <w:textAlignment w:val="baseline"/>
        <w:rPr>
          <w:rFonts w:ascii="Calibri" w:hAnsi="Calibri"/>
          <w:color w:val="333333"/>
          <w:sz w:val="20"/>
          <w:szCs w:val="20"/>
        </w:rPr>
      </w:pPr>
      <w:r>
        <w:rPr>
          <w:rFonts w:ascii="Calibri" w:hAnsi="Calibri"/>
          <w:color w:val="333333"/>
          <w:sz w:val="20"/>
          <w:szCs w:val="20"/>
        </w:rPr>
        <w:t>Compute the linear correlation coefficient</w:t>
      </w:r>
      <w:r>
        <w:rPr>
          <w:rStyle w:val="apple-converted-space"/>
          <w:rFonts w:ascii="Calibri" w:hAnsi="Calibri"/>
          <w:color w:val="333333"/>
          <w:sz w:val="20"/>
          <w:szCs w:val="20"/>
        </w:rPr>
        <w:t> </w:t>
      </w:r>
      <w:r>
        <w:rPr>
          <w:rStyle w:val="Emphasis"/>
          <w:rFonts w:ascii="Calibri" w:hAnsi="Calibri"/>
          <w:color w:val="333333"/>
          <w:sz w:val="20"/>
          <w:szCs w:val="20"/>
        </w:rPr>
        <w:t>r</w:t>
      </w:r>
      <w:r>
        <w:rPr>
          <w:rFonts w:ascii="Calibri" w:hAnsi="Calibri"/>
          <w:color w:val="333333"/>
          <w:sz w:val="20"/>
          <w:szCs w:val="20"/>
        </w:rPr>
        <w:t>. Interpret its value in the context of the problem.</w:t>
      </w:r>
    </w:p>
    <w:p w:rsidR="00AD77BB" w:rsidRDefault="00B45BA0">
      <w:pPr>
        <w:numPr>
          <w:ilvl w:val="0"/>
          <w:numId w:val="271"/>
        </w:numPr>
        <w:shd w:val="clear" w:color="auto" w:fill="DAEEF3" w:themeFill="accent5" w:themeFillTint="33"/>
        <w:spacing w:after="0" w:line="360" w:lineRule="auto"/>
        <w:ind w:left="504" w:right="374" w:hanging="504"/>
        <w:textAlignment w:val="baseline"/>
        <w:rPr>
          <w:rFonts w:ascii="Calibri" w:hAnsi="Calibri"/>
          <w:color w:val="333333"/>
          <w:sz w:val="20"/>
          <w:szCs w:val="20"/>
        </w:rPr>
      </w:pPr>
      <w:r>
        <w:rPr>
          <w:rFonts w:ascii="Calibri" w:hAnsi="Calibri"/>
          <w:color w:val="333333"/>
          <w:sz w:val="20"/>
          <w:szCs w:val="20"/>
        </w:rPr>
        <w:t>Compute the least squares regression line. Plot it on the scatter diagram.</w:t>
      </w:r>
    </w:p>
    <w:p w:rsidR="00AD77BB" w:rsidRDefault="00B45BA0">
      <w:pPr>
        <w:numPr>
          <w:ilvl w:val="0"/>
          <w:numId w:val="271"/>
        </w:numPr>
        <w:shd w:val="clear" w:color="auto" w:fill="DAEEF3" w:themeFill="accent5" w:themeFillTint="33"/>
        <w:spacing w:after="0" w:line="360" w:lineRule="auto"/>
        <w:ind w:left="504" w:right="374" w:hanging="504"/>
        <w:textAlignment w:val="baseline"/>
        <w:rPr>
          <w:rFonts w:ascii="Calibri" w:hAnsi="Calibri"/>
          <w:color w:val="333333"/>
          <w:sz w:val="20"/>
          <w:szCs w:val="20"/>
        </w:rPr>
      </w:pPr>
      <w:r>
        <w:rPr>
          <w:rFonts w:ascii="Calibri" w:hAnsi="Calibri"/>
          <w:color w:val="333333"/>
          <w:sz w:val="20"/>
          <w:szCs w:val="20"/>
        </w:rPr>
        <w:t>Interpret the meaning of the slope of the least squares regression line in the context of the problem.</w:t>
      </w:r>
    </w:p>
    <w:p w:rsidR="00AD77BB" w:rsidRDefault="00B45BA0">
      <w:pPr>
        <w:numPr>
          <w:ilvl w:val="0"/>
          <w:numId w:val="271"/>
        </w:numPr>
        <w:shd w:val="clear" w:color="auto" w:fill="DAEEF3" w:themeFill="accent5" w:themeFillTint="33"/>
        <w:spacing w:after="0" w:line="360" w:lineRule="auto"/>
        <w:ind w:left="504" w:right="374" w:hanging="504"/>
        <w:textAlignment w:val="baseline"/>
        <w:rPr>
          <w:rFonts w:ascii="Calibri" w:hAnsi="Calibri"/>
          <w:color w:val="333333"/>
          <w:sz w:val="20"/>
          <w:szCs w:val="20"/>
        </w:rPr>
      </w:pPr>
      <w:r>
        <w:rPr>
          <w:rFonts w:ascii="Calibri" w:hAnsi="Calibri"/>
          <w:color w:val="333333"/>
          <w:sz w:val="20"/>
          <w:szCs w:val="20"/>
        </w:rPr>
        <w:t>Suppose a four-year-old automobile of this make and model is selected at random. Use the regression equation to predict its retail value.</w:t>
      </w:r>
    </w:p>
    <w:p w:rsidR="00AD77BB" w:rsidRDefault="00B45BA0">
      <w:pPr>
        <w:numPr>
          <w:ilvl w:val="0"/>
          <w:numId w:val="271"/>
        </w:numPr>
        <w:shd w:val="clear" w:color="auto" w:fill="DAEEF3" w:themeFill="accent5" w:themeFillTint="33"/>
        <w:spacing w:after="0" w:line="360" w:lineRule="auto"/>
        <w:ind w:left="504" w:right="374" w:hanging="504"/>
        <w:textAlignment w:val="baseline"/>
        <w:rPr>
          <w:rFonts w:ascii="Calibri" w:hAnsi="Calibri"/>
          <w:color w:val="333333"/>
          <w:sz w:val="20"/>
          <w:szCs w:val="20"/>
        </w:rPr>
      </w:pPr>
      <w:r>
        <w:rPr>
          <w:rFonts w:ascii="Calibri" w:hAnsi="Calibri"/>
          <w:color w:val="333333"/>
          <w:sz w:val="20"/>
          <w:szCs w:val="20"/>
        </w:rPr>
        <w:t>Suppose a 20-year-old automobile of this make and model is selected at random. Use the regression equation to predict its retail value. Interpret the result.</w:t>
      </w:r>
    </w:p>
    <w:p w:rsidR="00AD77BB" w:rsidRDefault="00B45BA0">
      <w:pPr>
        <w:numPr>
          <w:ilvl w:val="0"/>
          <w:numId w:val="271"/>
        </w:numPr>
        <w:shd w:val="clear" w:color="auto" w:fill="DAEEF3" w:themeFill="accent5" w:themeFillTint="33"/>
        <w:spacing w:after="0" w:line="360" w:lineRule="auto"/>
        <w:ind w:left="504" w:right="374" w:hanging="504"/>
        <w:textAlignment w:val="baseline"/>
        <w:rPr>
          <w:rFonts w:ascii="Calibri" w:hAnsi="Calibri"/>
          <w:color w:val="333333"/>
          <w:sz w:val="20"/>
          <w:szCs w:val="20"/>
        </w:rPr>
      </w:pPr>
      <w:r>
        <w:rPr>
          <w:rFonts w:ascii="Calibri" w:hAnsi="Calibri"/>
          <w:color w:val="333333"/>
          <w:sz w:val="20"/>
          <w:szCs w:val="20"/>
        </w:rPr>
        <w:t>Comment on the validity of using the regression equation to predict the price of a brand new automobile of this make and model.</w:t>
      </w:r>
    </w:p>
    <w:p w:rsidR="00AD77BB" w:rsidRDefault="00B45BA0">
      <w:pPr>
        <w:pStyle w:val="Title9"/>
        <w:shd w:val="clear" w:color="auto" w:fill="08629A"/>
        <w:spacing w:before="0" w:beforeAutospacing="0" w:after="0" w:afterAutospacing="0" w:line="360" w:lineRule="auto"/>
        <w:ind w:left="300" w:right="375"/>
        <w:jc w:val="center"/>
        <w:textAlignment w:val="baseline"/>
        <w:rPr>
          <w:rFonts w:ascii="Calibri" w:hAnsi="Calibri"/>
          <w:caps/>
          <w:color w:val="FFFFFF"/>
          <w:spacing w:val="30"/>
          <w:sz w:val="25"/>
          <w:szCs w:val="25"/>
        </w:rPr>
      </w:pPr>
      <w:r>
        <w:rPr>
          <w:rStyle w:val="title-prefix"/>
          <w:rFonts w:ascii="Calibri" w:hAnsi="Calibri"/>
          <w:caps/>
          <w:color w:val="FFFFFF"/>
          <w:spacing w:val="30"/>
          <w:sz w:val="25"/>
          <w:szCs w:val="25"/>
        </w:rPr>
        <w:t>TABLE 10.3</w:t>
      </w:r>
      <w:r>
        <w:rPr>
          <w:rStyle w:val="apple-converted-space"/>
          <w:rFonts w:ascii="Calibri" w:hAnsi="Calibri"/>
          <w:caps/>
          <w:color w:val="FFFFFF"/>
          <w:spacing w:val="30"/>
          <w:sz w:val="25"/>
          <w:szCs w:val="25"/>
        </w:rPr>
        <w:t> </w:t>
      </w:r>
      <w:r>
        <w:rPr>
          <w:rFonts w:ascii="Calibri" w:hAnsi="Calibri"/>
          <w:caps/>
          <w:color w:val="FFFFFF"/>
          <w:spacing w:val="30"/>
          <w:sz w:val="25"/>
          <w:szCs w:val="25"/>
        </w:rPr>
        <w:t>DATA ON AGE AND VALUE OF USED AUTOMOBILES OF A SPECIFIC MAKE AND MODEL</w:t>
      </w:r>
    </w:p>
    <w:tbl>
      <w:tblPr>
        <w:tblW w:w="0" w:type="auto"/>
        <w:tblCellMar>
          <w:left w:w="0" w:type="dxa"/>
          <w:right w:w="0" w:type="dxa"/>
        </w:tblCellMar>
        <w:tblLook w:val="04A0" w:firstRow="1" w:lastRow="0" w:firstColumn="1" w:lastColumn="0" w:noHBand="0" w:noVBand="1"/>
      </w:tblPr>
      <w:tblGrid>
        <w:gridCol w:w="240"/>
        <w:gridCol w:w="505"/>
        <w:gridCol w:w="505"/>
        <w:gridCol w:w="505"/>
        <w:gridCol w:w="505"/>
        <w:gridCol w:w="505"/>
        <w:gridCol w:w="505"/>
        <w:gridCol w:w="505"/>
        <w:gridCol w:w="505"/>
        <w:gridCol w:w="505"/>
        <w:gridCol w:w="505"/>
      </w:tblGrid>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rStyle w:val="Emphasis"/>
                <w:sz w:val="20"/>
                <w:szCs w:val="20"/>
              </w:rPr>
              <w:t>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6</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rStyle w:val="Emphasis"/>
                <w:sz w:val="20"/>
                <w:szCs w:val="20"/>
              </w:rPr>
              <w: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22.1</w:t>
            </w:r>
          </w:p>
        </w:tc>
      </w:tr>
    </w:tbl>
    <w:p w:rsidR="00AD77BB" w:rsidRDefault="00AD77BB">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p>
    <w:p w:rsidR="00AD77BB" w:rsidRDefault="00B45BA0">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Solution:</w:t>
      </w:r>
    </w:p>
    <w:p w:rsidR="00AD77BB" w:rsidRDefault="00AD77BB">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p>
    <w:p w:rsidR="00AD77BB" w:rsidRDefault="00B45BA0">
      <w:pPr>
        <w:numPr>
          <w:ilvl w:val="0"/>
          <w:numId w:val="272"/>
        </w:numPr>
        <w:shd w:val="clear" w:color="auto" w:fill="DAEEF3" w:themeFill="accent5" w:themeFillTint="33"/>
        <w:spacing w:after="0" w:line="360" w:lineRule="auto"/>
        <w:ind w:right="375"/>
        <w:textAlignment w:val="baseline"/>
        <w:rPr>
          <w:rFonts w:ascii="Calibri" w:hAnsi="Calibri"/>
          <w:color w:val="333333"/>
          <w:sz w:val="20"/>
          <w:szCs w:val="20"/>
        </w:rPr>
      </w:pPr>
      <w:r>
        <w:rPr>
          <w:rFonts w:ascii="Calibri" w:hAnsi="Calibri"/>
          <w:color w:val="333333"/>
          <w:sz w:val="20"/>
          <w:szCs w:val="20"/>
        </w:rPr>
        <w:t>The scatter diagram is shown in</w:t>
      </w:r>
      <w:r>
        <w:rPr>
          <w:rStyle w:val="apple-converted-space"/>
          <w:rFonts w:ascii="Calibri" w:hAnsi="Calibri"/>
          <w:color w:val="333333"/>
          <w:sz w:val="20"/>
          <w:szCs w:val="20"/>
        </w:rPr>
        <w:t> </w:t>
      </w:r>
      <w:r>
        <w:rPr>
          <w:rFonts w:ascii="Calibri" w:hAnsi="Calibri"/>
          <w:color w:val="2689C6"/>
          <w:sz w:val="20"/>
          <w:szCs w:val="20"/>
        </w:rPr>
        <w:t>Figure 10.7 "Scatter Diagram for Age and Value of Used Automobiles"</w:t>
      </w:r>
      <w:r>
        <w:rPr>
          <w:rFonts w:ascii="Calibri" w:hAnsi="Calibri"/>
          <w:color w:val="333333"/>
          <w:sz w:val="20"/>
          <w:szCs w:val="20"/>
        </w:rPr>
        <w:t>.</w:t>
      </w:r>
    </w:p>
    <w:p w:rsidR="00AD77BB" w:rsidRDefault="00B45BA0">
      <w:pPr>
        <w:pStyle w:val="ListParagraph"/>
        <w:shd w:val="clear" w:color="auto" w:fill="DAEEF3" w:themeFill="accent5" w:themeFillTint="33"/>
        <w:spacing w:after="0" w:line="439" w:lineRule="atLeast"/>
        <w:ind w:right="375"/>
        <w:textAlignment w:val="baseline"/>
        <w:rPr>
          <w:rFonts w:ascii="Calibri" w:eastAsia="Times New Roman" w:hAnsi="Calibri" w:cs="Times New Roman"/>
          <w:i/>
          <w:iCs/>
          <w:color w:val="BB9966"/>
          <w:sz w:val="19"/>
          <w:szCs w:val="19"/>
        </w:rPr>
      </w:pPr>
      <w:r>
        <w:rPr>
          <w:rFonts w:ascii="Calibri" w:eastAsia="Times New Roman" w:hAnsi="Calibri" w:cs="Times New Roman"/>
          <w:i/>
          <w:iCs/>
          <w:color w:val="000000"/>
          <w:sz w:val="20"/>
          <w:szCs w:val="20"/>
        </w:rPr>
        <w:t>Figure 10.7</w:t>
      </w:r>
      <w:r>
        <w:rPr>
          <w:rFonts w:ascii="Calibri" w:eastAsia="Times New Roman" w:hAnsi="Calibri" w:cs="Times New Roman"/>
          <w:i/>
          <w:iCs/>
          <w:color w:val="BB9966"/>
          <w:sz w:val="19"/>
          <w:szCs w:val="19"/>
        </w:rPr>
        <w:t>Scatter Diagram for Age and Value of Used Automobiles</w:t>
      </w:r>
    </w:p>
    <w:p w:rsidR="00AD77BB" w:rsidRDefault="00B45BA0">
      <w:pPr>
        <w:pStyle w:val="ListParagraph"/>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noProof/>
          <w:shd w:val="clear" w:color="auto" w:fill="E3EFF7"/>
        </w:rPr>
        <w:drawing>
          <wp:inline distT="0" distB="0" distL="0" distR="0" wp14:anchorId="6CA85109" wp14:editId="1039C5BA">
            <wp:extent cx="2457450" cy="1962150"/>
            <wp:effectExtent l="0" t="0" r="0" b="0"/>
            <wp:docPr id="397" name="Picture 412" descr="http://images.flatworldknowledge.com/shafer/shafer-fig10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images.flatworldknowledge.com/shafer/shafer-fig10_007.jp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457450" cy="1962150"/>
                    </a:xfrm>
                    <a:prstGeom prst="rect">
                      <a:avLst/>
                    </a:prstGeom>
                    <a:noFill/>
                    <a:ln>
                      <a:noFill/>
                    </a:ln>
                  </pic:spPr>
                </pic:pic>
              </a:graphicData>
            </a:graphic>
          </wp:inline>
        </w:drawing>
      </w:r>
    </w:p>
    <w:p w:rsidR="00AD77BB" w:rsidRDefault="00B45BA0">
      <w:pPr>
        <w:pStyle w:val="ListParagraph"/>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13632300" wp14:editId="5D4273D7">
            <wp:extent cx="4400550" cy="5562600"/>
            <wp:effectExtent l="0" t="0" r="0" b="0"/>
            <wp:docPr id="398"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4400550" cy="5562600"/>
                    </a:xfrm>
                    <a:prstGeom prst="rect">
                      <a:avLst/>
                    </a:prstGeom>
                    <a:noFill/>
                    <a:ln>
                      <a:noFill/>
                    </a:ln>
                  </pic:spPr>
                </pic:pic>
              </a:graphicData>
            </a:graphic>
          </wp:inline>
        </w:drawing>
      </w:r>
    </w:p>
    <w:p w:rsidR="00AD77BB" w:rsidRDefault="00B45BA0">
      <w:pPr>
        <w:pStyle w:val="ListParagraph"/>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962EBD3" wp14:editId="42FDECFF">
            <wp:extent cx="4514850" cy="6019800"/>
            <wp:effectExtent l="0" t="0" r="0" b="0"/>
            <wp:docPr id="399"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514850" cy="6019800"/>
                    </a:xfrm>
                    <a:prstGeom prst="rect">
                      <a:avLst/>
                    </a:prstGeom>
                    <a:noFill/>
                    <a:ln>
                      <a:noFill/>
                    </a:ln>
                  </pic:spPr>
                </pic:pic>
              </a:graphicData>
            </a:graphic>
          </wp:inline>
        </w:drawing>
      </w:r>
    </w:p>
    <w:p w:rsidR="00AD77BB" w:rsidRDefault="00B45BA0">
      <w:pPr>
        <w:numPr>
          <w:ilvl w:val="0"/>
          <w:numId w:val="273"/>
        </w:num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Since we know nothing about the automobile other than its age, we assume that it is of about average value and use the average value of all four-year-old vehicles of this make and model as our estimate. The average value is simply the value of </w:t>
      </w:r>
      <w:r>
        <w:rPr>
          <w:rFonts w:ascii="MathJax_Math" w:eastAsia="Times New Roman" w:hAnsi="MathJax_Math" w:cs="Times New Roman"/>
          <w:i/>
          <w:iCs/>
          <w:color w:val="333333"/>
          <w:sz w:val="17"/>
          <w:szCs w:val="17"/>
        </w:rPr>
        <w:t>y</w:t>
      </w:r>
      <w:r>
        <w:rPr>
          <w:rFonts w:ascii="MathJax_Main" w:eastAsia="Times New Roman" w:hAnsi="MathJax_Main" w:cs="Times New Roman"/>
          <w:color w:val="333333"/>
          <w:sz w:val="17"/>
          <w:szCs w:val="17"/>
        </w:rPr>
        <w:t>ˆ</w:t>
      </w:r>
      <w:r>
        <w:rPr>
          <w:rFonts w:ascii="Calibri" w:eastAsia="Times New Roman" w:hAnsi="Calibri" w:cs="Times New Roman"/>
          <w:color w:val="333333"/>
          <w:sz w:val="20"/>
          <w:szCs w:val="20"/>
        </w:rPr>
        <w:t> obtained when the number 4 is inserted for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in the least squares regression equation:</w:t>
      </w:r>
    </w:p>
    <w:p w:rsidR="00AD77BB" w:rsidRDefault="00AD77BB">
      <w:pPr>
        <w:numPr>
          <w:ilvl w:val="0"/>
          <w:numId w:val="273"/>
        </w:num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p>
    <w:p w:rsidR="00AD77BB" w:rsidRDefault="00B45BA0">
      <w:pPr>
        <w:shd w:val="clear" w:color="auto" w:fill="DAEEF3" w:themeFill="accent5" w:themeFillTint="33"/>
        <w:spacing w:line="360" w:lineRule="auto"/>
        <w:ind w:left="300" w:right="375"/>
        <w:jc w:val="center"/>
        <w:textAlignment w:val="baseline"/>
        <w:rPr>
          <w:rFonts w:ascii="Calibri" w:eastAsia="Times New Roman" w:hAnsi="Calibri" w:cs="Times New Roman"/>
          <w:color w:val="333333"/>
          <w:sz w:val="20"/>
          <w:szCs w:val="20"/>
        </w:rPr>
      </w:pPr>
      <w:r>
        <w:rPr>
          <w:rFonts w:ascii="MathJax_Math" w:eastAsia="Times New Roman" w:hAnsi="MathJax_Math" w:cs="Times New Roman"/>
          <w:i/>
          <w:iCs/>
          <w:color w:val="333333"/>
          <w:sz w:val="17"/>
          <w:szCs w:val="17"/>
        </w:rPr>
        <w:t>y</w:t>
      </w:r>
      <w:r>
        <w:rPr>
          <w:rFonts w:ascii="MathJax_Main" w:eastAsia="Times New Roman" w:hAnsi="MathJax_Main" w:cs="Times New Roman"/>
          <w:color w:val="333333"/>
          <w:sz w:val="17"/>
          <w:szCs w:val="17"/>
        </w:rPr>
        <w:t>ˆ=−2.05(4)+32.83=24.63</w:t>
      </w:r>
    </w:p>
    <w:p w:rsidR="00AD77BB" w:rsidRDefault="00B45BA0">
      <w:pPr>
        <w:shd w:val="clear" w:color="auto" w:fill="DAEEF3" w:themeFill="accent5" w:themeFillTint="33"/>
        <w:spacing w:before="150" w:after="0" w:line="360" w:lineRule="auto"/>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corresponds to $24,630.</w:t>
      </w:r>
    </w:p>
    <w:p w:rsidR="00AD77BB" w:rsidRDefault="00B45BA0">
      <w:pPr>
        <w:numPr>
          <w:ilvl w:val="0"/>
          <w:numId w:val="274"/>
        </w:numPr>
        <w:shd w:val="clear" w:color="auto" w:fill="DAEEF3" w:themeFill="accent5" w:themeFillTint="33"/>
        <w:spacing w:after="0" w:line="360" w:lineRule="auto"/>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Now we insert </w:t>
      </w:r>
      <w:r>
        <w:rPr>
          <w:rFonts w:ascii="MathJax_Math" w:eastAsia="Times New Roman" w:hAnsi="MathJax_Math" w:cs="Times New Roman"/>
          <w:i/>
          <w:iCs/>
          <w:color w:val="333333"/>
          <w:sz w:val="17"/>
          <w:szCs w:val="17"/>
        </w:rPr>
        <w:t>x</w:t>
      </w:r>
      <w:r>
        <w:rPr>
          <w:rFonts w:ascii="MathJax_Main" w:eastAsia="Times New Roman" w:hAnsi="MathJax_Main" w:cs="Times New Roman"/>
          <w:color w:val="333333"/>
          <w:sz w:val="17"/>
          <w:szCs w:val="17"/>
        </w:rPr>
        <w:t>=20</w:t>
      </w:r>
      <w:r>
        <w:rPr>
          <w:rFonts w:ascii="Calibri" w:eastAsia="Times New Roman" w:hAnsi="Calibri" w:cs="Times New Roman"/>
          <w:color w:val="333333"/>
          <w:sz w:val="20"/>
          <w:szCs w:val="20"/>
        </w:rPr>
        <w:t> into the least squares regression equation, to obtain</w:t>
      </w:r>
    </w:p>
    <w:p w:rsidR="00AD77BB" w:rsidRDefault="00AD77BB">
      <w:pPr>
        <w:shd w:val="clear" w:color="auto" w:fill="DAEEF3" w:themeFill="accent5" w:themeFillTint="33"/>
        <w:spacing w:after="0" w:line="360" w:lineRule="auto"/>
        <w:ind w:right="750"/>
        <w:textAlignment w:val="baseline"/>
        <w:rPr>
          <w:rFonts w:ascii="Calibri" w:eastAsia="Times New Roman" w:hAnsi="Calibri" w:cs="Times New Roman"/>
          <w:color w:val="333333"/>
          <w:sz w:val="20"/>
          <w:szCs w:val="20"/>
        </w:rPr>
      </w:pPr>
    </w:p>
    <w:p w:rsidR="00AD77BB" w:rsidRDefault="00B45BA0">
      <w:pPr>
        <w:shd w:val="clear" w:color="auto" w:fill="DAEEF3" w:themeFill="accent5" w:themeFillTint="33"/>
        <w:spacing w:line="360" w:lineRule="auto"/>
        <w:ind w:left="300" w:right="375"/>
        <w:jc w:val="center"/>
        <w:textAlignment w:val="baseline"/>
        <w:rPr>
          <w:rFonts w:ascii="Calibri" w:eastAsia="Times New Roman" w:hAnsi="Calibri" w:cs="Times New Roman"/>
          <w:color w:val="333333"/>
          <w:sz w:val="20"/>
          <w:szCs w:val="20"/>
        </w:rPr>
      </w:pPr>
      <w:r>
        <w:rPr>
          <w:rFonts w:ascii="MathJax_Math" w:eastAsia="Times New Roman" w:hAnsi="MathJax_Math" w:cs="Times New Roman"/>
          <w:i/>
          <w:iCs/>
          <w:color w:val="333333"/>
          <w:sz w:val="17"/>
          <w:szCs w:val="17"/>
        </w:rPr>
        <w:lastRenderedPageBreak/>
        <w:t>y</w:t>
      </w:r>
      <w:r>
        <w:rPr>
          <w:rFonts w:ascii="MathJax_Main" w:eastAsia="Times New Roman" w:hAnsi="MathJax_Main" w:cs="Times New Roman"/>
          <w:color w:val="333333"/>
          <w:sz w:val="17"/>
          <w:szCs w:val="17"/>
        </w:rPr>
        <w:t>ˆ=−2.05(20)+32.83=−8.17</w:t>
      </w:r>
    </w:p>
    <w:p w:rsidR="00AD77BB" w:rsidRDefault="00B45BA0">
      <w:p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corresponds to −$8,170. Something is wrong here, since a negative makes no sense. The error arose from applying the regression equation to a value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not in the range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-values in the original data, from two to six years.</w:t>
      </w:r>
    </w:p>
    <w:p w:rsidR="00AD77BB" w:rsidRDefault="00AD77BB">
      <w:p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p>
    <w:p w:rsidR="00AD77BB" w:rsidRDefault="00B45BA0">
      <w:p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Applying the regression equation </w:t>
      </w:r>
      <w:r>
        <w:rPr>
          <w:rFonts w:ascii="MathJax_Math" w:eastAsia="Times New Roman" w:hAnsi="MathJax_Math" w:cs="Times New Roman"/>
          <w:i/>
          <w:iCs/>
          <w:color w:val="333333"/>
          <w:sz w:val="17"/>
          <w:szCs w:val="17"/>
        </w:rPr>
        <w:t>y</w:t>
      </w:r>
      <w:r>
        <w:rPr>
          <w:rFonts w:ascii="MathJax_Main" w:eastAsia="Times New Roman" w:hAnsi="MathJax_Main" w:cs="Times New Roman"/>
          <w:color w:val="333333"/>
          <w:sz w:val="17"/>
          <w:szCs w:val="17"/>
        </w:rPr>
        <w:t>ˆ=</w:t>
      </w:r>
      <w:r>
        <w:rPr>
          <w:rFonts w:ascii="MathJax_Math" w:eastAsia="Times New Roman" w:hAnsi="MathJax_Math" w:cs="Times New Roman"/>
          <w:i/>
          <w:iCs/>
          <w:color w:val="333333"/>
          <w:sz w:val="13"/>
          <w:szCs w:val="13"/>
        </w:rPr>
        <w:t>β</w:t>
      </w:r>
      <w:r>
        <w:rPr>
          <w:rFonts w:ascii="MathJax_Main" w:eastAsia="Times New Roman" w:hAnsi="MathJax_Main" w:cs="Times New Roman"/>
          <w:color w:val="333333"/>
          <w:sz w:val="17"/>
          <w:szCs w:val="17"/>
        </w:rPr>
        <w:t>ˆ</w:t>
      </w:r>
      <w:r>
        <w:rPr>
          <w:rFonts w:ascii="MathJax_Main" w:eastAsia="Times New Roman" w:hAnsi="MathJax_Main" w:cs="Times New Roman"/>
          <w:color w:val="333333"/>
          <w:sz w:val="12"/>
          <w:szCs w:val="12"/>
        </w:rPr>
        <w:t>1</w:t>
      </w:r>
      <w:r>
        <w:rPr>
          <w:rFonts w:ascii="MathJax_Math" w:eastAsia="Times New Roman" w:hAnsi="MathJax_Math" w:cs="Times New Roman"/>
          <w:i/>
          <w:iCs/>
          <w:color w:val="333333"/>
          <w:sz w:val="17"/>
          <w:szCs w:val="17"/>
        </w:rPr>
        <w:t>x</w:t>
      </w:r>
      <w:r>
        <w:rPr>
          <w:rFonts w:ascii="MathJax_Main" w:eastAsia="Times New Roman" w:hAnsi="MathJax_Main" w:cs="Times New Roman"/>
          <w:color w:val="333333"/>
          <w:sz w:val="17"/>
          <w:szCs w:val="17"/>
        </w:rPr>
        <w:t>+</w:t>
      </w:r>
      <w:r>
        <w:rPr>
          <w:rFonts w:ascii="MathJax_Math" w:eastAsia="Times New Roman" w:hAnsi="MathJax_Math" w:cs="Times New Roman"/>
          <w:i/>
          <w:iCs/>
          <w:color w:val="333333"/>
          <w:sz w:val="13"/>
          <w:szCs w:val="13"/>
        </w:rPr>
        <w:t>β</w:t>
      </w:r>
      <w:r>
        <w:rPr>
          <w:rFonts w:ascii="MathJax_Main" w:eastAsia="Times New Roman" w:hAnsi="MathJax_Main" w:cs="Times New Roman"/>
          <w:color w:val="333333"/>
          <w:sz w:val="17"/>
          <w:szCs w:val="17"/>
        </w:rPr>
        <w:t>ˆ</w:t>
      </w:r>
      <w:r>
        <w:rPr>
          <w:rFonts w:ascii="MathJax_Main" w:eastAsia="Times New Roman" w:hAnsi="MathJax_Main" w:cs="Times New Roman"/>
          <w:color w:val="333333"/>
          <w:sz w:val="12"/>
          <w:szCs w:val="12"/>
        </w:rPr>
        <w:t>0</w:t>
      </w:r>
      <w:r>
        <w:rPr>
          <w:rFonts w:ascii="Calibri" w:eastAsia="Times New Roman" w:hAnsi="Calibri" w:cs="Times New Roman"/>
          <w:color w:val="333333"/>
          <w:sz w:val="20"/>
          <w:szCs w:val="20"/>
        </w:rPr>
        <w:t> to a value of </w:t>
      </w:r>
      <w:r>
        <w:rPr>
          <w:rFonts w:ascii="Calibri" w:eastAsia="Times New Roman" w:hAnsi="Calibri" w:cs="Times New Roman"/>
          <w:i/>
          <w:iCs/>
          <w:color w:val="333333"/>
          <w:sz w:val="20"/>
          <w:szCs w:val="20"/>
        </w:rPr>
        <w:t xml:space="preserve">x </w:t>
      </w:r>
      <w:r>
        <w:rPr>
          <w:rFonts w:ascii="Calibri" w:eastAsia="Times New Roman" w:hAnsi="Calibri" w:cs="Times New Roman"/>
          <w:color w:val="333333"/>
          <w:sz w:val="20"/>
          <w:szCs w:val="20"/>
        </w:rPr>
        <w:t>outside the range of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xml:space="preserve">-values in the data set is called </w:t>
      </w:r>
      <w:r>
        <w:rPr>
          <w:rFonts w:ascii="Calibri" w:eastAsia="Times New Roman" w:hAnsi="Calibri" w:cs="Times New Roman"/>
          <w:i/>
          <w:iCs/>
          <w:color w:val="333333"/>
          <w:sz w:val="20"/>
          <w:szCs w:val="20"/>
        </w:rPr>
        <w:t>extrapolation</w:t>
      </w:r>
      <w:r>
        <w:rPr>
          <w:rFonts w:ascii="Calibri" w:eastAsia="Times New Roman" w:hAnsi="Calibri" w:cs="Times New Roman"/>
          <w:color w:val="333333"/>
          <w:sz w:val="20"/>
          <w:szCs w:val="20"/>
        </w:rPr>
        <w:t>. It is an invalid use of the regression equation and should be avoided.</w:t>
      </w:r>
    </w:p>
    <w:p w:rsidR="00AD77BB" w:rsidRDefault="00B45BA0">
      <w:pPr>
        <w:numPr>
          <w:ilvl w:val="0"/>
          <w:numId w:val="274"/>
        </w:numPr>
        <w:shd w:val="clear" w:color="auto" w:fill="E3EFF7"/>
        <w:spacing w:line="360" w:lineRule="auto"/>
        <w:ind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price of a brand new vehicle of this make and model is the value of the automobile at age 0. If the value </w:t>
      </w:r>
      <w:r>
        <w:rPr>
          <w:rFonts w:ascii="MathJax_Math" w:eastAsia="Times New Roman" w:hAnsi="MathJax_Math" w:cs="Times New Roman"/>
          <w:i/>
          <w:iCs/>
          <w:color w:val="333333"/>
          <w:sz w:val="17"/>
          <w:szCs w:val="17"/>
        </w:rPr>
        <w:t>x</w:t>
      </w:r>
      <w:r>
        <w:rPr>
          <w:rFonts w:ascii="MathJax_Main" w:eastAsia="Times New Roman" w:hAnsi="MathJax_Main" w:cs="Times New Roman"/>
          <w:color w:val="333333"/>
          <w:sz w:val="17"/>
          <w:szCs w:val="17"/>
        </w:rPr>
        <w:t>=0</w:t>
      </w:r>
      <w:r>
        <w:rPr>
          <w:rFonts w:ascii="Calibri" w:eastAsia="Times New Roman" w:hAnsi="Calibri" w:cs="Times New Roman"/>
          <w:color w:val="333333"/>
          <w:sz w:val="20"/>
          <w:szCs w:val="20"/>
        </w:rPr>
        <w:t> is inserted into the regression equation the result is always </w:t>
      </w:r>
      <w:r>
        <w:rPr>
          <w:rFonts w:ascii="MathJax_Math" w:eastAsia="Times New Roman" w:hAnsi="MathJax_Math" w:cs="Times New Roman"/>
          <w:i/>
          <w:iCs/>
          <w:color w:val="333333"/>
          <w:sz w:val="13"/>
          <w:szCs w:val="13"/>
        </w:rPr>
        <w:t>β</w:t>
      </w:r>
      <w:r>
        <w:rPr>
          <w:rFonts w:ascii="MathJax_Main" w:eastAsia="Times New Roman" w:hAnsi="MathJax_Main" w:cs="Times New Roman"/>
          <w:color w:val="333333"/>
          <w:sz w:val="17"/>
          <w:szCs w:val="17"/>
        </w:rPr>
        <w:t>ˆ</w:t>
      </w:r>
      <w:r>
        <w:rPr>
          <w:rFonts w:ascii="MathJax_Main" w:eastAsia="Times New Roman" w:hAnsi="MathJax_Main" w:cs="Times New Roman"/>
          <w:color w:val="333333"/>
          <w:sz w:val="12"/>
          <w:szCs w:val="12"/>
        </w:rPr>
        <w:t>0</w:t>
      </w:r>
      <w:r>
        <w:rPr>
          <w:rFonts w:ascii="Calibri" w:eastAsia="Times New Roman" w:hAnsi="Calibri" w:cs="Times New Roman"/>
          <w:color w:val="333333"/>
          <w:sz w:val="20"/>
          <w:szCs w:val="20"/>
        </w:rPr>
        <w:t>, the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-intercept, in this case 32.83, which corresponds to $32,830. But this is a case of extrapolation, just as part (f) was, hence this result is invalid, although not obviously so. In the context of the problem, since automobiles tend to lose value much more quickly immediately after they are purchased than they do after they are several years old, the number $32,830 is probably an underestimate of the price of a new automobile of this make and model.</w:t>
      </w:r>
    </w:p>
    <w:p w:rsidR="00AD77BB" w:rsidRDefault="00B45BA0">
      <w:pPr>
        <w:shd w:val="clear" w:color="auto" w:fill="FFFFFF"/>
        <w:spacing w:after="0"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For emphasis we highlight the points raised by parts (f) and (g) of the example.</w:t>
      </w:r>
    </w:p>
    <w:p w:rsidR="00AD77BB" w:rsidRDefault="00AD77BB">
      <w:pPr>
        <w:pStyle w:val="ListParagraph"/>
        <w:shd w:val="clear" w:color="auto" w:fill="FFFFFF" w:themeFill="background1"/>
        <w:spacing w:after="0" w:line="360" w:lineRule="auto"/>
        <w:textAlignment w:val="baseline"/>
        <w:rPr>
          <w:rFonts w:ascii="Calibri" w:eastAsia="Times New Roman" w:hAnsi="Calibri" w:cs="Times New Roman"/>
          <w:color w:val="333333"/>
          <w:sz w:val="20"/>
          <w:szCs w:val="20"/>
        </w:rPr>
      </w:pPr>
    </w:p>
    <w:p w:rsidR="00AD77BB" w:rsidRDefault="00B45BA0">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Definition</w:t>
      </w: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rPr>
        <w:t>The process of using the least squares regression equation to estimate the value of</w:t>
      </w:r>
      <w:r>
        <w:rPr>
          <w:rStyle w:val="apple-converted-space"/>
          <w:rFonts w:ascii="Georgia" w:hAnsi="Georgia"/>
          <w:color w:val="333333"/>
          <w:sz w:val="20"/>
          <w:szCs w:val="20"/>
        </w:rPr>
        <w:t> </w:t>
      </w:r>
      <w:r>
        <w:rPr>
          <w:rStyle w:val="Emphasis"/>
          <w:rFonts w:ascii="Georgia" w:hAnsi="Georgia"/>
          <w:color w:val="333333"/>
          <w:sz w:val="20"/>
          <w:szCs w:val="20"/>
        </w:rPr>
        <w:t>y</w:t>
      </w:r>
      <w:r>
        <w:rPr>
          <w:rStyle w:val="apple-converted-space"/>
          <w:rFonts w:ascii="Georgia" w:hAnsi="Georgia"/>
          <w:color w:val="333333"/>
          <w:sz w:val="20"/>
          <w:szCs w:val="20"/>
        </w:rPr>
        <w:t> </w:t>
      </w:r>
      <w:r>
        <w:rPr>
          <w:rStyle w:val="Emphasis"/>
          <w:rFonts w:ascii="Georgia" w:hAnsi="Georgia"/>
          <w:color w:val="333333"/>
          <w:sz w:val="20"/>
          <w:szCs w:val="20"/>
        </w:rPr>
        <w:t>at a value of</w:t>
      </w:r>
      <w:r>
        <w:rPr>
          <w:rStyle w:val="apple-converted-space"/>
          <w:rFonts w:ascii="Georgia" w:hAnsi="Georgia"/>
          <w:color w:val="333333"/>
          <w:sz w:val="20"/>
          <w:szCs w:val="20"/>
        </w:rPr>
        <w:t> </w:t>
      </w:r>
      <w:r>
        <w:rPr>
          <w:rStyle w:val="Emphasis"/>
          <w:rFonts w:ascii="Georgia" w:hAnsi="Georgia"/>
          <w:color w:val="333333"/>
          <w:sz w:val="20"/>
          <w:szCs w:val="20"/>
        </w:rPr>
        <w:t>x</w:t>
      </w:r>
      <w:r>
        <w:rPr>
          <w:rStyle w:val="apple-converted-space"/>
          <w:rFonts w:ascii="Georgia" w:hAnsi="Georgia"/>
          <w:color w:val="333333"/>
          <w:sz w:val="20"/>
          <w:szCs w:val="20"/>
        </w:rPr>
        <w:t> </w:t>
      </w:r>
      <w:r>
        <w:rPr>
          <w:rStyle w:val="Emphasis"/>
          <w:rFonts w:ascii="Georgia" w:hAnsi="Georgia"/>
          <w:color w:val="333333"/>
          <w:sz w:val="20"/>
          <w:szCs w:val="20"/>
        </w:rPr>
        <w:t>that does not lie in the range of the</w:t>
      </w:r>
      <w:r>
        <w:rPr>
          <w:rStyle w:val="apple-converted-space"/>
          <w:rFonts w:ascii="Georgia" w:hAnsi="Georgia"/>
          <w:color w:val="333333"/>
          <w:sz w:val="20"/>
          <w:szCs w:val="20"/>
        </w:rPr>
        <w:t> </w:t>
      </w:r>
      <w:r>
        <w:rPr>
          <w:rStyle w:val="Emphasis"/>
          <w:rFonts w:ascii="Georgia" w:hAnsi="Georgia"/>
          <w:color w:val="333333"/>
          <w:sz w:val="20"/>
          <w:szCs w:val="20"/>
        </w:rPr>
        <w:t>x-values in the data set that was used to form the regression line is called</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extrapolation</w:t>
      </w:r>
      <w:r>
        <w:rPr>
          <w:rStyle w:val="Emphasis"/>
          <w:rFonts w:ascii="Georgia" w:hAnsi="Georgia"/>
          <w:color w:val="333333"/>
          <w:sz w:val="20"/>
          <w:szCs w:val="20"/>
        </w:rPr>
        <w:t>. It is an invalid use of the regression equation that can lead to errors, hence should be avoided.</w:t>
      </w:r>
    </w:p>
    <w:p w:rsidR="00AD77BB" w:rsidRDefault="00B45BA0">
      <w:pPr>
        <w:pStyle w:val="Heading2"/>
        <w:shd w:val="clear" w:color="auto" w:fill="FFFFFF"/>
        <w:spacing w:before="0" w:line="360" w:lineRule="auto"/>
        <w:textAlignment w:val="baseline"/>
        <w:rPr>
          <w:rFonts w:ascii="Calibri" w:hAnsi="Calibri"/>
          <w:color w:val="333333"/>
          <w:sz w:val="28"/>
          <w:szCs w:val="28"/>
        </w:rPr>
      </w:pPr>
      <w:r>
        <w:rPr>
          <w:rFonts w:ascii="Calibri" w:hAnsi="Calibri"/>
          <w:color w:val="333333"/>
          <w:sz w:val="28"/>
          <w:szCs w:val="28"/>
        </w:rPr>
        <w:t>The Sum of the Squared Errors</w:t>
      </w:r>
      <w:r>
        <w:rPr>
          <w:rStyle w:val="apple-converted-space"/>
          <w:rFonts w:ascii="Calibri" w:hAnsi="Calibri"/>
          <w:color w:val="333333"/>
          <w:sz w:val="28"/>
          <w:szCs w:val="28"/>
        </w:rPr>
        <w:t> </w:t>
      </w:r>
      <w:r>
        <w:rPr>
          <w:rStyle w:val="mi"/>
          <w:rFonts w:ascii="MathJax_Math" w:hAnsi="MathJax_Math"/>
          <w:b w:val="0"/>
          <w:bCs w:val="0"/>
          <w:i/>
          <w:iCs/>
          <w:color w:val="333333"/>
          <w:sz w:val="20"/>
          <w:szCs w:val="20"/>
        </w:rPr>
        <w:t>SSE</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In general, in order to measure the goodness of fit of a line to a set of data, we must compute the predicted</w:t>
      </w:r>
      <w:r>
        <w:rPr>
          <w:rStyle w:val="apple-converted-space"/>
          <w:rFonts w:ascii="Georgia" w:hAnsi="Georgia"/>
          <w:color w:val="333333"/>
          <w:sz w:val="20"/>
          <w:szCs w:val="20"/>
        </w:rPr>
        <w:t> </w:t>
      </w:r>
      <w:r>
        <w:rPr>
          <w:rStyle w:val="Emphasis"/>
          <w:rFonts w:ascii="Georgia" w:hAnsi="Georgia"/>
          <w:color w:val="333333"/>
          <w:sz w:val="20"/>
          <w:szCs w:val="20"/>
        </w:rPr>
        <w:t>y</w:t>
      </w:r>
      <w:r>
        <w:rPr>
          <w:rFonts w:ascii="Georgia" w:hAnsi="Georgia"/>
          <w:color w:val="333333"/>
          <w:sz w:val="20"/>
          <w:szCs w:val="20"/>
        </w:rPr>
        <w:t>-value</w:t>
      </w:r>
      <w:r>
        <w:rPr>
          <w:rStyle w:val="apple-converted-space"/>
          <w:rFonts w:ascii="Georgia" w:hAnsi="Georgia"/>
          <w:color w:val="333333"/>
          <w:sz w:val="20"/>
          <w:szCs w:val="20"/>
        </w:rPr>
        <w:t> </w:t>
      </w:r>
      <w:r>
        <w:rPr>
          <w:rStyle w:val="mi"/>
          <w:rFonts w:ascii="MathJax_Math" w:hAnsi="MathJax_Math"/>
          <w:i/>
          <w:iCs/>
          <w:color w:val="333333"/>
          <w:sz w:val="20"/>
          <w:szCs w:val="20"/>
        </w:rPr>
        <w:t>y</w:t>
      </w:r>
      <w:r>
        <w:rPr>
          <w:rStyle w:val="mo"/>
          <w:rFonts w:ascii="MathJax_Main" w:hAnsi="MathJax_Main"/>
          <w:color w:val="333333"/>
          <w:sz w:val="20"/>
          <w:szCs w:val="20"/>
        </w:rPr>
        <w:t>ˆ</w:t>
      </w:r>
      <w:r>
        <w:rPr>
          <w:rStyle w:val="apple-converted-space"/>
          <w:rFonts w:ascii="Georgia" w:hAnsi="Georgia"/>
          <w:color w:val="333333"/>
          <w:sz w:val="20"/>
          <w:szCs w:val="20"/>
        </w:rPr>
        <w:t> </w:t>
      </w:r>
      <w:r>
        <w:rPr>
          <w:rFonts w:ascii="Georgia" w:hAnsi="Georgia"/>
          <w:color w:val="333333"/>
          <w:sz w:val="20"/>
          <w:szCs w:val="20"/>
        </w:rPr>
        <w:t>at every point in the data set, compute each error, square it, and then add up all the squares. In the case of the least squares regression line, however, the line that best fits the data, the sum of the squared errors can be computed directly from the data using the following formula.</w:t>
      </w: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The sum of the squared errors for the least squares regression line is denoted by</w:t>
      </w:r>
      <w:r>
        <w:rPr>
          <w:rStyle w:val="apple-converted-space"/>
          <w:rFonts w:ascii="Georgia" w:hAnsi="Georgia"/>
          <w:color w:val="333333"/>
          <w:sz w:val="20"/>
          <w:szCs w:val="20"/>
        </w:rPr>
        <w:t> </w:t>
      </w:r>
      <w:r>
        <w:rPr>
          <w:rStyle w:val="mi"/>
          <w:rFonts w:ascii="MathJax_Math" w:hAnsi="MathJax_Math"/>
          <w:i/>
          <w:iCs/>
          <w:color w:val="333333"/>
          <w:sz w:val="20"/>
          <w:szCs w:val="20"/>
        </w:rPr>
        <w:t>SSE</w:t>
      </w:r>
      <w:r>
        <w:rPr>
          <w:rStyle w:val="mo"/>
          <w:rFonts w:ascii="MathJax_Main" w:hAnsi="MathJax_Main"/>
          <w:color w:val="333333"/>
          <w:sz w:val="20"/>
          <w:szCs w:val="20"/>
        </w:rPr>
        <w:t>.</w:t>
      </w:r>
      <w:r>
        <w:rPr>
          <w:rStyle w:val="apple-converted-space"/>
          <w:rFonts w:ascii="Georgia" w:hAnsi="Georgia"/>
          <w:color w:val="333333"/>
          <w:sz w:val="20"/>
          <w:szCs w:val="20"/>
        </w:rPr>
        <w:t> </w:t>
      </w:r>
      <w:r>
        <w:rPr>
          <w:rFonts w:ascii="Georgia" w:hAnsi="Georgia"/>
          <w:color w:val="333333"/>
          <w:sz w:val="20"/>
          <w:szCs w:val="20"/>
        </w:rPr>
        <w:t>It can be computed using the formula</w:t>
      </w:r>
    </w:p>
    <w:p w:rsidR="00AD77BB" w:rsidRDefault="00B45BA0">
      <w:pPr>
        <w:shd w:val="clear" w:color="auto" w:fill="F4F4F4"/>
        <w:spacing w:line="360" w:lineRule="auto"/>
        <w:jc w:val="center"/>
        <w:textAlignment w:val="baseline"/>
        <w:rPr>
          <w:rStyle w:val="mi"/>
          <w:rFonts w:ascii="MathJax_Math" w:hAnsi="MathJax_Math"/>
          <w:i/>
          <w:iCs/>
          <w:color w:val="555555"/>
          <w:sz w:val="15"/>
          <w:szCs w:val="15"/>
        </w:rPr>
      </w:pPr>
      <w:r>
        <w:rPr>
          <w:rStyle w:val="mi"/>
          <w:rFonts w:ascii="MathJax_Math" w:hAnsi="MathJax_Math"/>
          <w:i/>
          <w:iCs/>
          <w:color w:val="555555"/>
          <w:sz w:val="20"/>
          <w:szCs w:val="20"/>
        </w:rPr>
        <w:t>SSE</w:t>
      </w:r>
      <w:r>
        <w:rPr>
          <w:rStyle w:val="mo"/>
          <w:rFonts w:ascii="MathJax_Main" w:hAnsi="MathJax_Main"/>
          <w:color w:val="555555"/>
          <w:sz w:val="20"/>
          <w:szCs w:val="20"/>
        </w:rPr>
        <w:t>=</w:t>
      </w:r>
      <w:r>
        <w:rPr>
          <w:rStyle w:val="mi"/>
          <w:rFonts w:ascii="MathJax_Math" w:hAnsi="MathJax_Math"/>
          <w:i/>
          <w:iCs/>
          <w:color w:val="555555"/>
          <w:sz w:val="20"/>
          <w:szCs w:val="20"/>
        </w:rPr>
        <w:t>SS</w:t>
      </w:r>
      <w:r>
        <w:rPr>
          <w:rStyle w:val="mi"/>
          <w:rFonts w:ascii="MathJax_Math" w:hAnsi="MathJax_Math"/>
          <w:i/>
          <w:iCs/>
          <w:color w:val="555555"/>
          <w:sz w:val="15"/>
          <w:szCs w:val="15"/>
        </w:rPr>
        <w:t>yy</w:t>
      </w:r>
      <w:r>
        <w:rPr>
          <w:rStyle w:val="mo"/>
          <w:rFonts w:ascii="MathJax_Main" w:hAnsi="MathJax_Main"/>
          <w:color w:val="555555"/>
          <w:sz w:val="20"/>
          <w:szCs w:val="20"/>
        </w:rPr>
        <w:t>−</w:t>
      </w:r>
      <w:r>
        <w:rPr>
          <w:rStyle w:val="mi"/>
          <w:rFonts w:ascii="MathJax_Math" w:hAnsi="MathJax_Math"/>
          <w:i/>
          <w:iCs/>
          <w:color w:val="555555"/>
          <w:sz w:val="15"/>
          <w:szCs w:val="15"/>
        </w:rPr>
        <w:t>β</w:t>
      </w:r>
      <w:r>
        <w:rPr>
          <w:rStyle w:val="mo"/>
          <w:rFonts w:ascii="MathJax_Main" w:hAnsi="MathJax_Main"/>
          <w:color w:val="555555"/>
          <w:sz w:val="20"/>
          <w:szCs w:val="20"/>
        </w:rPr>
        <w:t>ˆ</w:t>
      </w:r>
      <w:r>
        <w:rPr>
          <w:rStyle w:val="mn"/>
          <w:rFonts w:ascii="MathJax_Main" w:hAnsi="MathJax_Main"/>
          <w:color w:val="555555"/>
          <w:sz w:val="15"/>
          <w:szCs w:val="15"/>
        </w:rPr>
        <w:t>1</w:t>
      </w:r>
      <w:r>
        <w:rPr>
          <w:rStyle w:val="mi"/>
          <w:rFonts w:ascii="MathJax_Math" w:hAnsi="MathJax_Math"/>
          <w:i/>
          <w:iCs/>
          <w:color w:val="555555"/>
          <w:sz w:val="20"/>
          <w:szCs w:val="20"/>
        </w:rPr>
        <w:t>Ss</w:t>
      </w:r>
      <w:r>
        <w:rPr>
          <w:rStyle w:val="mi"/>
          <w:rFonts w:ascii="MathJax_Math" w:hAnsi="MathJax_Math"/>
          <w:i/>
          <w:iCs/>
          <w:color w:val="555555"/>
          <w:sz w:val="15"/>
          <w:szCs w:val="15"/>
        </w:rPr>
        <w:t>xy</w:t>
      </w:r>
    </w:p>
    <w:p w:rsidR="00AD77BB" w:rsidRDefault="00AD77BB">
      <w:pPr>
        <w:shd w:val="clear" w:color="auto" w:fill="F4F4F4"/>
        <w:spacing w:line="360" w:lineRule="auto"/>
        <w:jc w:val="center"/>
        <w:textAlignment w:val="baseline"/>
        <w:rPr>
          <w:rFonts w:ascii="Calibri" w:hAnsi="Calibri"/>
          <w:sz w:val="23"/>
          <w:szCs w:val="23"/>
        </w:rPr>
      </w:pPr>
    </w:p>
    <w:p w:rsidR="00AD77BB" w:rsidRDefault="00B45BA0">
      <w:pPr>
        <w:pStyle w:val="ListParagraph"/>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2279C955" wp14:editId="352D7B6D">
            <wp:extent cx="4772025" cy="6677025"/>
            <wp:effectExtent l="0" t="0" r="9525" b="9525"/>
            <wp:docPr id="400"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772025" cy="6677025"/>
                    </a:xfrm>
                    <a:prstGeom prst="rect">
                      <a:avLst/>
                    </a:prstGeom>
                    <a:noFill/>
                    <a:ln>
                      <a:noFill/>
                    </a:ln>
                  </pic:spPr>
                </pic:pic>
              </a:graphicData>
            </a:graphic>
          </wp:inline>
        </w:drawing>
      </w:r>
    </w:p>
    <w:p w:rsidR="00AD77BB" w:rsidRDefault="00B45BA0">
      <w:pPr>
        <w:pStyle w:val="ListParagraph"/>
        <w:shd w:val="clear" w:color="auto" w:fill="FFFFFF" w:themeFill="background1"/>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2CE4CB42" wp14:editId="60566177">
            <wp:extent cx="4829175" cy="6134100"/>
            <wp:effectExtent l="0" t="0" r="9525" b="0"/>
            <wp:docPr id="401"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4829175" cy="6134100"/>
                    </a:xfrm>
                    <a:prstGeom prst="rect">
                      <a:avLst/>
                    </a:prstGeom>
                    <a:noFill/>
                    <a:ln>
                      <a:noFill/>
                    </a:ln>
                  </pic:spPr>
                </pic:pic>
              </a:graphicData>
            </a:graphic>
          </wp:inline>
        </w:drawing>
      </w:r>
    </w:p>
    <w:p w:rsidR="00AD77BB" w:rsidRDefault="00B45BA0">
      <w:pPr>
        <w:pStyle w:val="ListParagraph"/>
        <w:shd w:val="clear" w:color="auto" w:fill="FFFFFF" w:themeFill="background1"/>
        <w:spacing w:after="0" w:line="360" w:lineRule="auto"/>
        <w:ind w:left="1440"/>
        <w:textAlignment w:val="baseline"/>
        <w:rPr>
          <w:rStyle w:val="mn"/>
          <w:rFonts w:ascii="MathJax_Main" w:hAnsi="MathJax_Main"/>
          <w:b/>
          <w:color w:val="555555"/>
          <w:shd w:val="clear" w:color="auto" w:fill="E3EFF7"/>
        </w:rPr>
      </w:pPr>
      <w:r>
        <w:rPr>
          <w:rStyle w:val="mi"/>
          <w:rFonts w:ascii="MathJax_Math" w:hAnsi="MathJax_Math"/>
          <w:b/>
          <w:i/>
          <w:iCs/>
          <w:color w:val="555555"/>
          <w:sz w:val="20"/>
          <w:szCs w:val="20"/>
          <w:shd w:val="clear" w:color="auto" w:fill="E3EFF7"/>
        </w:rPr>
        <w:t>SSE</w:t>
      </w:r>
      <w:r>
        <w:rPr>
          <w:rStyle w:val="mo"/>
          <w:rFonts w:ascii="MathJax_Main" w:hAnsi="MathJax_Main"/>
          <w:b/>
          <w:color w:val="555555"/>
          <w:sz w:val="20"/>
          <w:szCs w:val="20"/>
          <w:shd w:val="clear" w:color="auto" w:fill="E3EFF7"/>
        </w:rPr>
        <w:t>=</w:t>
      </w:r>
      <w:r>
        <w:rPr>
          <w:rStyle w:val="mi"/>
          <w:rFonts w:ascii="MathJax_Math" w:hAnsi="MathJax_Math"/>
          <w:b/>
          <w:i/>
          <w:iCs/>
          <w:color w:val="555555"/>
          <w:sz w:val="20"/>
          <w:szCs w:val="20"/>
          <w:shd w:val="clear" w:color="auto" w:fill="E3EFF7"/>
        </w:rPr>
        <w:t>SS</w:t>
      </w:r>
      <w:r>
        <w:rPr>
          <w:rStyle w:val="mi"/>
          <w:rFonts w:ascii="MathJax_Math" w:hAnsi="MathJax_Math"/>
          <w:b/>
          <w:i/>
          <w:iCs/>
          <w:color w:val="555555"/>
          <w:sz w:val="15"/>
          <w:szCs w:val="15"/>
          <w:shd w:val="clear" w:color="auto" w:fill="E3EFF7"/>
        </w:rPr>
        <w:t>yy</w:t>
      </w:r>
      <w:r>
        <w:rPr>
          <w:rStyle w:val="mo"/>
          <w:rFonts w:ascii="MathJax_Main" w:hAnsi="MathJax_Main"/>
          <w:b/>
          <w:color w:val="555555"/>
          <w:sz w:val="20"/>
          <w:szCs w:val="20"/>
          <w:shd w:val="clear" w:color="auto" w:fill="E3EFF7"/>
        </w:rPr>
        <w:t>−</w:t>
      </w:r>
      <w:r>
        <w:rPr>
          <w:rStyle w:val="mi"/>
          <w:rFonts w:ascii="MathJax_Math" w:hAnsi="MathJax_Math"/>
          <w:b/>
          <w:i/>
          <w:iCs/>
          <w:color w:val="555555"/>
          <w:sz w:val="15"/>
          <w:szCs w:val="15"/>
          <w:shd w:val="clear" w:color="auto" w:fill="E3EFF7"/>
        </w:rPr>
        <w:t>β</w:t>
      </w:r>
      <w:r>
        <w:rPr>
          <w:rStyle w:val="mo"/>
          <w:rFonts w:ascii="MathJax_Main" w:hAnsi="MathJax_Main"/>
          <w:b/>
          <w:color w:val="555555"/>
          <w:sz w:val="20"/>
          <w:szCs w:val="20"/>
          <w:shd w:val="clear" w:color="auto" w:fill="E3EFF7"/>
        </w:rPr>
        <w:t>ˆ</w:t>
      </w:r>
      <w:r>
        <w:rPr>
          <w:rStyle w:val="mn"/>
          <w:rFonts w:ascii="MathJax_Main" w:hAnsi="MathJax_Main"/>
          <w:b/>
          <w:color w:val="555555"/>
          <w:sz w:val="15"/>
          <w:szCs w:val="15"/>
          <w:shd w:val="clear" w:color="auto" w:fill="E3EFF7"/>
        </w:rPr>
        <w:t>1</w:t>
      </w:r>
      <w:r>
        <w:rPr>
          <w:rStyle w:val="mi"/>
          <w:rFonts w:ascii="MathJax_Math" w:hAnsi="MathJax_Math"/>
          <w:b/>
          <w:i/>
          <w:iCs/>
          <w:color w:val="555555"/>
          <w:sz w:val="20"/>
          <w:szCs w:val="20"/>
          <w:shd w:val="clear" w:color="auto" w:fill="E3EFF7"/>
        </w:rPr>
        <w:t>SS</w:t>
      </w:r>
      <w:r>
        <w:rPr>
          <w:rStyle w:val="mi"/>
          <w:rFonts w:ascii="MathJax_Math" w:hAnsi="MathJax_Math"/>
          <w:b/>
          <w:i/>
          <w:iCs/>
          <w:color w:val="555555"/>
          <w:sz w:val="15"/>
          <w:szCs w:val="15"/>
          <w:shd w:val="clear" w:color="auto" w:fill="E3EFF7"/>
        </w:rPr>
        <w:t>xy</w:t>
      </w:r>
      <w:r>
        <w:rPr>
          <w:rStyle w:val="mo"/>
          <w:rFonts w:ascii="MathJax_Main" w:hAnsi="MathJax_Main"/>
          <w:b/>
          <w:color w:val="555555"/>
          <w:sz w:val="20"/>
          <w:szCs w:val="20"/>
          <w:shd w:val="clear" w:color="auto" w:fill="E3EFF7"/>
        </w:rPr>
        <w:t>=</w:t>
      </w:r>
      <w:r>
        <w:rPr>
          <w:rStyle w:val="mn"/>
          <w:rFonts w:ascii="MathJax_Main" w:hAnsi="MathJax_Main"/>
          <w:b/>
          <w:color w:val="555555"/>
          <w:sz w:val="20"/>
          <w:szCs w:val="20"/>
          <w:shd w:val="clear" w:color="auto" w:fill="E3EFF7"/>
        </w:rPr>
        <w:t>87.781</w:t>
      </w:r>
      <w:r>
        <w:rPr>
          <w:rStyle w:val="mo"/>
          <w:rFonts w:ascii="MathJax_Main" w:hAnsi="MathJax_Main"/>
          <w:b/>
          <w:color w:val="555555"/>
          <w:sz w:val="20"/>
          <w:szCs w:val="20"/>
          <w:shd w:val="clear" w:color="auto" w:fill="E3EFF7"/>
        </w:rPr>
        <w:t>−(</w:t>
      </w:r>
      <w:r>
        <w:rPr>
          <w:rStyle w:val="mtext"/>
          <w:rFonts w:ascii="MathJax_Main" w:hAnsi="MathJax_Main"/>
          <w:b/>
          <w:color w:val="555555"/>
          <w:sz w:val="20"/>
          <w:szCs w:val="20"/>
          <w:shd w:val="clear" w:color="auto" w:fill="E3EFF7"/>
        </w:rPr>
        <w:t>−</w:t>
      </w:r>
      <w:r>
        <w:rPr>
          <w:rStyle w:val="mn"/>
          <w:rFonts w:ascii="MathJax_Main" w:hAnsi="MathJax_Main"/>
          <w:b/>
          <w:color w:val="555555"/>
          <w:sz w:val="20"/>
          <w:szCs w:val="20"/>
          <w:shd w:val="clear" w:color="auto" w:fill="E3EFF7"/>
        </w:rPr>
        <w:t>2.05</w:t>
      </w:r>
      <w:r>
        <w:rPr>
          <w:rStyle w:val="mo"/>
          <w:rFonts w:ascii="MathJax_Main" w:hAnsi="MathJax_Main"/>
          <w:b/>
          <w:color w:val="555555"/>
          <w:sz w:val="20"/>
          <w:szCs w:val="20"/>
          <w:shd w:val="clear" w:color="auto" w:fill="E3EFF7"/>
        </w:rPr>
        <w:t>)(</w:t>
      </w:r>
      <w:r>
        <w:rPr>
          <w:rStyle w:val="mtext"/>
          <w:rFonts w:ascii="MathJax_Main" w:hAnsi="MathJax_Main"/>
          <w:b/>
          <w:color w:val="555555"/>
          <w:sz w:val="20"/>
          <w:szCs w:val="20"/>
          <w:shd w:val="clear" w:color="auto" w:fill="E3EFF7"/>
        </w:rPr>
        <w:t>−</w:t>
      </w:r>
      <w:r>
        <w:rPr>
          <w:rStyle w:val="mn"/>
          <w:rFonts w:ascii="MathJax_Main" w:hAnsi="MathJax_Main"/>
          <w:b/>
          <w:color w:val="555555"/>
          <w:sz w:val="20"/>
          <w:szCs w:val="20"/>
          <w:shd w:val="clear" w:color="auto" w:fill="E3EFF7"/>
        </w:rPr>
        <w:t>28.7</w:t>
      </w:r>
      <w:r>
        <w:rPr>
          <w:rStyle w:val="mo"/>
          <w:rFonts w:ascii="MathJax_Main" w:hAnsi="MathJax_Main"/>
          <w:b/>
          <w:color w:val="555555"/>
          <w:sz w:val="20"/>
          <w:szCs w:val="20"/>
          <w:shd w:val="clear" w:color="auto" w:fill="E3EFF7"/>
        </w:rPr>
        <w:t>)=</w:t>
      </w:r>
      <w:r>
        <w:rPr>
          <w:rStyle w:val="mn"/>
          <w:rFonts w:ascii="MathJax_Main" w:hAnsi="MathJax_Main"/>
          <w:b/>
          <w:color w:val="555555"/>
          <w:sz w:val="20"/>
          <w:szCs w:val="20"/>
          <w:shd w:val="clear" w:color="auto" w:fill="E3EFF7"/>
        </w:rPr>
        <w:t>28.946</w:t>
      </w: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Cs/>
          <w:caps/>
          <w:color w:val="FFFFFF"/>
          <w:spacing w:val="30"/>
          <w:sz w:val="26"/>
          <w:szCs w:val="26"/>
        </w:rPr>
      </w:pPr>
      <w:r>
        <w:rPr>
          <w:rFonts w:ascii="Calibri" w:eastAsia="Times New Roman" w:hAnsi="Calibri" w:cs="Times New Roman"/>
          <w:b/>
          <w:bCs/>
          <w:caps/>
          <w:color w:val="FFFFFF"/>
          <w:spacing w:val="30"/>
          <w:sz w:val="26"/>
          <w:szCs w:val="26"/>
        </w:rPr>
        <w:t>KEY TAKEAWAYS</w:t>
      </w:r>
    </w:p>
    <w:p w:rsidR="00AD77BB" w:rsidRDefault="00B45BA0">
      <w:pPr>
        <w:numPr>
          <w:ilvl w:val="0"/>
          <w:numId w:val="275"/>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How well a straight line fits a data set is measured by the sum of the squared errors.</w:t>
      </w:r>
    </w:p>
    <w:p w:rsidR="00AD77BB" w:rsidRDefault="00B45BA0">
      <w:pPr>
        <w:numPr>
          <w:ilvl w:val="0"/>
          <w:numId w:val="275"/>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least squares regression line is the line that best fits the data. Its slope and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-intercept are computed from the data using formulas.</w:t>
      </w:r>
    </w:p>
    <w:p w:rsidR="00AD77BB" w:rsidRDefault="00B45BA0">
      <w:pPr>
        <w:numPr>
          <w:ilvl w:val="0"/>
          <w:numId w:val="275"/>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slope </w:t>
      </w:r>
      <w:r>
        <w:rPr>
          <w:rFonts w:ascii="MathJax_Math" w:eastAsia="Times New Roman" w:hAnsi="MathJax_Math" w:cs="Times New Roman"/>
          <w:i/>
          <w:iCs/>
          <w:color w:val="333333"/>
          <w:sz w:val="13"/>
          <w:szCs w:val="13"/>
        </w:rPr>
        <w:t>β</w:t>
      </w:r>
      <w:r>
        <w:rPr>
          <w:rFonts w:ascii="MathJax_Main" w:eastAsia="Times New Roman" w:hAnsi="MathJax_Main" w:cs="Times New Roman"/>
          <w:color w:val="333333"/>
          <w:sz w:val="17"/>
          <w:szCs w:val="17"/>
        </w:rPr>
        <w:t>ˆ</w:t>
      </w:r>
      <w:r>
        <w:rPr>
          <w:rFonts w:ascii="MathJax_Main" w:eastAsia="Times New Roman" w:hAnsi="MathJax_Main" w:cs="Times New Roman"/>
          <w:color w:val="333333"/>
          <w:sz w:val="12"/>
          <w:szCs w:val="12"/>
        </w:rPr>
        <w:t>1</w:t>
      </w:r>
      <w:r>
        <w:rPr>
          <w:rFonts w:ascii="Calibri" w:eastAsia="Times New Roman" w:hAnsi="Calibri" w:cs="Times New Roman"/>
          <w:color w:val="333333"/>
          <w:sz w:val="20"/>
          <w:szCs w:val="20"/>
        </w:rPr>
        <w:t> of the least squares regression line estimates the size and direction of the mean change in the dependent variable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when the independent variable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increased by one unit.</w:t>
      </w:r>
    </w:p>
    <w:p w:rsidR="00AD77BB" w:rsidRDefault="00B45BA0">
      <w:pPr>
        <w:numPr>
          <w:ilvl w:val="0"/>
          <w:numId w:val="275"/>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The sum of the squared errors </w:t>
      </w:r>
      <w:r>
        <w:rPr>
          <w:rFonts w:ascii="MathJax_Math" w:eastAsia="Times New Roman" w:hAnsi="MathJax_Math" w:cs="Times New Roman"/>
          <w:i/>
          <w:iCs/>
          <w:color w:val="333333"/>
          <w:sz w:val="17"/>
          <w:szCs w:val="17"/>
        </w:rPr>
        <w:t>SSE</w:t>
      </w:r>
      <w:r>
        <w:rPr>
          <w:rFonts w:ascii="Calibri" w:eastAsia="Times New Roman" w:hAnsi="Calibri" w:cs="Times New Roman"/>
          <w:color w:val="333333"/>
          <w:sz w:val="20"/>
          <w:szCs w:val="20"/>
        </w:rPr>
        <w:t> of the least squares regression line can be computed using a formula, without having to compute all the individual errors.</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EXERCISES</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BASIC</w:t>
      </w:r>
    </w:p>
    <w:p w:rsidR="00AD77BB" w:rsidRDefault="00B45BA0">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For the Basic and Application exercises in this section use the computations that were done for the exercises with the same number in</w:t>
      </w:r>
      <w:r>
        <w:rPr>
          <w:rFonts w:ascii="Calibri" w:hAnsi="Calibri"/>
          <w:color w:val="2689C6"/>
          <w:sz w:val="21"/>
          <w:szCs w:val="21"/>
        </w:rPr>
        <w:t>Section 10.2 "The Linear Correlation Coefficient"</w:t>
      </w:r>
      <w:r>
        <w:rPr>
          <w:rFonts w:ascii="Calibri" w:hAnsi="Calibri"/>
          <w:color w:val="333333"/>
          <w:sz w:val="21"/>
          <w:szCs w:val="21"/>
        </w:rPr>
        <w:t>.</w:t>
      </w:r>
    </w:p>
    <w:p w:rsidR="00AD77BB" w:rsidRDefault="00B45BA0">
      <w:pPr>
        <w:pStyle w:val="para"/>
        <w:numPr>
          <w:ilvl w:val="0"/>
          <w:numId w:val="276"/>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Compute the least squares regression line for the data in Exercise 1 of</w:t>
      </w:r>
      <w:r>
        <w:rPr>
          <w:rFonts w:ascii="Calibri" w:hAnsi="Calibri"/>
          <w:color w:val="2689C6"/>
          <w:sz w:val="20"/>
          <w:szCs w:val="20"/>
        </w:rPr>
        <w:t>Section 10.2 "The Linear Correlation Coefficient"</w:t>
      </w:r>
      <w:r>
        <w:rPr>
          <w:rFonts w:ascii="Calibri" w:hAnsi="Calibri"/>
          <w:color w:val="333333"/>
          <w:sz w:val="20"/>
          <w:szCs w:val="20"/>
        </w:rPr>
        <w:t>.</w:t>
      </w:r>
    </w:p>
    <w:p w:rsidR="00AD77BB" w:rsidRDefault="00B45BA0">
      <w:pPr>
        <w:pStyle w:val="para"/>
        <w:numPr>
          <w:ilvl w:val="0"/>
          <w:numId w:val="276"/>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Compute the least squares regression line for the data in Exercise 2 of</w:t>
      </w:r>
      <w:r>
        <w:rPr>
          <w:rFonts w:ascii="Calibri" w:hAnsi="Calibri"/>
          <w:color w:val="2689C6"/>
          <w:sz w:val="20"/>
          <w:szCs w:val="20"/>
        </w:rPr>
        <w:t>Section 10.2 "The Linear Correlation Coefficient"</w:t>
      </w:r>
      <w:r>
        <w:rPr>
          <w:rFonts w:ascii="Calibri" w:hAnsi="Calibri"/>
          <w:color w:val="333333"/>
          <w:sz w:val="20"/>
          <w:szCs w:val="20"/>
        </w:rPr>
        <w:t>.</w:t>
      </w:r>
    </w:p>
    <w:p w:rsidR="00AD77BB" w:rsidRDefault="00B45BA0">
      <w:pPr>
        <w:pStyle w:val="para"/>
        <w:numPr>
          <w:ilvl w:val="0"/>
          <w:numId w:val="276"/>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Compute the least squares regression line for the data in Exercise 3 of</w:t>
      </w:r>
      <w:r>
        <w:rPr>
          <w:rFonts w:ascii="Calibri" w:hAnsi="Calibri"/>
          <w:color w:val="2689C6"/>
          <w:sz w:val="20"/>
          <w:szCs w:val="20"/>
        </w:rPr>
        <w:t>Section 10.2 "The Linear Correlation Coefficient"</w:t>
      </w:r>
      <w:r>
        <w:rPr>
          <w:rFonts w:ascii="Calibri" w:hAnsi="Calibri"/>
          <w:color w:val="333333"/>
          <w:sz w:val="20"/>
          <w:szCs w:val="20"/>
        </w:rPr>
        <w:t>.</w:t>
      </w:r>
    </w:p>
    <w:p w:rsidR="00AD77BB" w:rsidRDefault="00B45BA0">
      <w:pPr>
        <w:pStyle w:val="para"/>
        <w:numPr>
          <w:ilvl w:val="0"/>
          <w:numId w:val="276"/>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Compute the least squares regression line for the data in Exercise 4 of</w:t>
      </w:r>
      <w:r>
        <w:rPr>
          <w:rFonts w:ascii="Calibri" w:hAnsi="Calibri"/>
          <w:color w:val="2689C6"/>
          <w:sz w:val="20"/>
          <w:szCs w:val="20"/>
        </w:rPr>
        <w:t>Section 10.2 "The Linear Correlation Coefficient"</w:t>
      </w:r>
      <w:r>
        <w:rPr>
          <w:rFonts w:ascii="Calibri" w:hAnsi="Calibri"/>
          <w:color w:val="333333"/>
          <w:sz w:val="20"/>
          <w:szCs w:val="20"/>
        </w:rPr>
        <w:t>.</w:t>
      </w:r>
    </w:p>
    <w:p w:rsidR="00AD77BB" w:rsidRDefault="00B45BA0">
      <w:pPr>
        <w:pStyle w:val="para"/>
        <w:numPr>
          <w:ilvl w:val="0"/>
          <w:numId w:val="276"/>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data in Exercise 5 of</w:t>
      </w:r>
      <w:r>
        <w:rPr>
          <w:rStyle w:val="apple-converted-space"/>
          <w:rFonts w:ascii="Calibri" w:eastAsiaTheme="majorEastAsia"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7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rsidR="00AD77BB" w:rsidRDefault="00B45BA0">
      <w:pPr>
        <w:numPr>
          <w:ilvl w:val="1"/>
          <w:numId w:val="27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sum of the squared errors</w:t>
      </w:r>
      <w:r>
        <w:rPr>
          <w:rStyle w:val="apple-converted-space"/>
          <w:rFonts w:ascii="Calibri" w:hAnsi="Calibri"/>
          <w:color w:val="333333"/>
          <w:sz w:val="20"/>
          <w:szCs w:val="20"/>
        </w:rPr>
        <w:t> </w:t>
      </w:r>
      <w:r>
        <w:rPr>
          <w:rStyle w:val="mi"/>
          <w:rFonts w:ascii="MathJax_Math" w:hAnsi="MathJax_Math"/>
          <w:i/>
          <w:iCs/>
          <w:color w:val="333333"/>
          <w:sz w:val="17"/>
          <w:szCs w:val="17"/>
        </w:rPr>
        <w:t>SSE</w:t>
      </w:r>
      <w:r>
        <w:rPr>
          <w:rStyle w:val="apple-converted-space"/>
          <w:rFonts w:ascii="Calibri" w:hAnsi="Calibri"/>
          <w:color w:val="333333"/>
          <w:sz w:val="20"/>
          <w:szCs w:val="20"/>
        </w:rPr>
        <w:t> </w:t>
      </w:r>
      <w:r>
        <w:rPr>
          <w:rFonts w:ascii="Calibri" w:hAnsi="Calibri"/>
          <w:color w:val="333333"/>
          <w:sz w:val="20"/>
          <w:szCs w:val="20"/>
        </w:rPr>
        <w:t>using the definition</w:t>
      </w:r>
      <w:r>
        <w:rPr>
          <w:rStyle w:val="apple-converted-space"/>
          <w:rFonts w:ascii="Calibri" w:hAnsi="Calibri"/>
          <w:color w:val="333333"/>
          <w:sz w:val="20"/>
          <w:szCs w:val="20"/>
        </w:rPr>
        <w:t> </w:t>
      </w:r>
      <w:r>
        <w:rPr>
          <w:rStyle w:val="mi"/>
          <w:rFonts w:ascii="MathJax_Main" w:hAnsi="MathJax_Main"/>
          <w:color w:val="333333"/>
          <w:sz w:val="17"/>
          <w:szCs w:val="17"/>
        </w:rPr>
        <w:t>Σ</w:t>
      </w:r>
      <w:r>
        <w:rPr>
          <w:rStyle w:val="mo"/>
          <w:rFonts w:ascii="MathJax_Main" w:hAnsi="MathJax_Main"/>
          <w:color w:val="333333"/>
          <w:sz w:val="17"/>
          <w:szCs w:val="17"/>
        </w:rPr>
        <w:t>(</w:t>
      </w:r>
      <w:r>
        <w:rPr>
          <w:rStyle w:val="mi"/>
          <w:rFonts w:ascii="MathJax_Math" w:hAnsi="MathJax_Math"/>
          <w:i/>
          <w:iCs/>
          <w:color w:val="333333"/>
          <w:sz w:val="17"/>
          <w:szCs w:val="17"/>
        </w:rPr>
        <w:t>y</w:t>
      </w:r>
      <w:r>
        <w:rPr>
          <w:rStyle w:val="mo"/>
          <w:rFonts w:ascii="MathJax_Main" w:hAnsi="MathJax_Main"/>
          <w:color w:val="333333"/>
          <w:sz w:val="17"/>
          <w:szCs w:val="17"/>
        </w:rPr>
        <w:t>−</w:t>
      </w:r>
      <w:r>
        <w:rPr>
          <w:rStyle w:val="mi"/>
          <w:rFonts w:ascii="MathJax_Math" w:hAnsi="MathJax_Math"/>
          <w:i/>
          <w:iCs/>
          <w:color w:val="333333"/>
          <w:sz w:val="17"/>
          <w:szCs w:val="17"/>
        </w:rPr>
        <w:t>y</w:t>
      </w:r>
      <w:r>
        <w:rPr>
          <w:rStyle w:val="mo"/>
          <w:rFonts w:ascii="MathJax_Main" w:hAnsi="MathJax_Main"/>
          <w:color w:val="333333"/>
          <w:sz w:val="17"/>
          <w:szCs w:val="17"/>
        </w:rPr>
        <w:t>ˆ)</w:t>
      </w:r>
      <w:r>
        <w:rPr>
          <w:rStyle w:val="mn"/>
          <w:rFonts w:ascii="MathJax_Main" w:hAnsi="MathJax_Main"/>
          <w:color w:val="333333"/>
          <w:sz w:val="12"/>
          <w:szCs w:val="12"/>
        </w:rPr>
        <w:t>2</w:t>
      </w:r>
      <w:r>
        <w:rPr>
          <w:rStyle w:val="mo"/>
          <w:rFonts w:ascii="MathJax_Main" w:hAnsi="MathJax_Main"/>
          <w:color w:val="333333"/>
          <w:sz w:val="17"/>
          <w:szCs w:val="17"/>
        </w:rPr>
        <w:t>.</w:t>
      </w:r>
    </w:p>
    <w:p w:rsidR="00AD77BB" w:rsidRDefault="00B45BA0">
      <w:pPr>
        <w:numPr>
          <w:ilvl w:val="1"/>
          <w:numId w:val="27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sum of the squared errors</w:t>
      </w:r>
      <w:r>
        <w:rPr>
          <w:rStyle w:val="apple-converted-space"/>
          <w:rFonts w:ascii="Calibri" w:hAnsi="Calibri"/>
          <w:color w:val="333333"/>
          <w:sz w:val="20"/>
          <w:szCs w:val="20"/>
        </w:rPr>
        <w:t> </w:t>
      </w:r>
      <w:r>
        <w:rPr>
          <w:rStyle w:val="mi"/>
          <w:rFonts w:ascii="MathJax_Math" w:hAnsi="MathJax_Math"/>
          <w:i/>
          <w:iCs/>
          <w:color w:val="333333"/>
          <w:sz w:val="17"/>
          <w:szCs w:val="17"/>
        </w:rPr>
        <w:t>SSE</w:t>
      </w:r>
      <w:r>
        <w:rPr>
          <w:rStyle w:val="apple-converted-space"/>
          <w:rFonts w:ascii="Calibri" w:hAnsi="Calibri"/>
          <w:color w:val="333333"/>
          <w:sz w:val="20"/>
          <w:szCs w:val="20"/>
        </w:rPr>
        <w:t> </w:t>
      </w:r>
      <w:r>
        <w:rPr>
          <w:rFonts w:ascii="Calibri" w:hAnsi="Calibri"/>
          <w:color w:val="333333"/>
          <w:sz w:val="20"/>
          <w:szCs w:val="20"/>
        </w:rPr>
        <w:t>using the formula</w:t>
      </w:r>
      <w:r>
        <w:rPr>
          <w:rStyle w:val="apple-converted-space"/>
          <w:rFonts w:ascii="Calibri" w:hAnsi="Calibri"/>
          <w:color w:val="333333"/>
          <w:sz w:val="20"/>
          <w:szCs w:val="20"/>
        </w:rPr>
        <w:t> </w:t>
      </w:r>
      <w:r>
        <w:rPr>
          <w:rStyle w:val="mi"/>
          <w:rFonts w:ascii="MathJax_Math" w:hAnsi="MathJax_Math"/>
          <w:i/>
          <w:iCs/>
          <w:color w:val="333333"/>
          <w:sz w:val="17"/>
          <w:szCs w:val="17"/>
        </w:rPr>
        <w:t>SSE</w:t>
      </w:r>
      <w:r>
        <w:rPr>
          <w:rStyle w:val="mo"/>
          <w:rFonts w:ascii="MathJax_Main" w:hAnsi="MathJax_Main"/>
          <w:color w:val="333333"/>
          <w:sz w:val="17"/>
          <w:szCs w:val="17"/>
        </w:rPr>
        <w:t>=</w:t>
      </w:r>
      <w:r>
        <w:rPr>
          <w:rStyle w:val="mi"/>
          <w:rFonts w:ascii="MathJax_Math" w:hAnsi="MathJax_Math"/>
          <w:i/>
          <w:iCs/>
          <w:color w:val="333333"/>
          <w:sz w:val="17"/>
          <w:szCs w:val="17"/>
        </w:rPr>
        <w:t>SS</w:t>
      </w:r>
      <w:r>
        <w:rPr>
          <w:rStyle w:val="mi"/>
          <w:rFonts w:ascii="MathJax_Math" w:hAnsi="MathJax_Math"/>
          <w:i/>
          <w:iCs/>
          <w:color w:val="333333"/>
          <w:sz w:val="12"/>
          <w:szCs w:val="12"/>
        </w:rPr>
        <w:t>yy</w:t>
      </w:r>
      <w:r>
        <w:rPr>
          <w:rStyle w:val="mo"/>
          <w:rFonts w:ascii="MathJax_Main" w:hAnsi="MathJax_Main"/>
          <w:color w:val="333333"/>
          <w:sz w:val="17"/>
          <w:szCs w:val="17"/>
        </w:rPr>
        <w:t>−</w:t>
      </w:r>
      <w:r>
        <w:rPr>
          <w:rStyle w:val="mi"/>
          <w:rFonts w:ascii="MathJax_Math" w:hAnsi="MathJax_Math"/>
          <w:i/>
          <w:iCs/>
          <w:color w:val="333333"/>
          <w:sz w:val="13"/>
          <w:szCs w:val="13"/>
        </w:rPr>
        <w:t>β</w:t>
      </w:r>
      <w:r>
        <w:rPr>
          <w:rStyle w:val="mo"/>
          <w:rFonts w:ascii="MathJax_Main" w:hAnsi="MathJax_Main"/>
          <w:color w:val="333333"/>
          <w:sz w:val="17"/>
          <w:szCs w:val="17"/>
        </w:rPr>
        <w:t>ˆ</w:t>
      </w:r>
      <w:r>
        <w:rPr>
          <w:rStyle w:val="mn"/>
          <w:rFonts w:ascii="MathJax_Main" w:hAnsi="MathJax_Main"/>
          <w:color w:val="333333"/>
          <w:sz w:val="12"/>
          <w:szCs w:val="12"/>
        </w:rPr>
        <w:t>1</w:t>
      </w:r>
      <w:r>
        <w:rPr>
          <w:rStyle w:val="mi"/>
          <w:rFonts w:ascii="MathJax_Math" w:hAnsi="MathJax_Math"/>
          <w:i/>
          <w:iCs/>
          <w:color w:val="333333"/>
          <w:sz w:val="17"/>
          <w:szCs w:val="17"/>
        </w:rPr>
        <w:t>SS</w:t>
      </w:r>
      <w:r>
        <w:rPr>
          <w:rStyle w:val="mi"/>
          <w:rFonts w:ascii="MathJax_Math" w:hAnsi="MathJax_Math"/>
          <w:i/>
          <w:iCs/>
          <w:color w:val="333333"/>
          <w:sz w:val="12"/>
          <w:szCs w:val="12"/>
        </w:rPr>
        <w:t>xy</w:t>
      </w:r>
      <w:r>
        <w:rPr>
          <w:rStyle w:val="mo"/>
          <w:rFonts w:ascii="MathJax_Main" w:hAnsi="MathJax_Main"/>
          <w:color w:val="333333"/>
          <w:sz w:val="17"/>
          <w:szCs w:val="17"/>
        </w:rPr>
        <w:t>.</w:t>
      </w:r>
    </w:p>
    <w:p w:rsidR="00AD77BB" w:rsidRDefault="00B45BA0">
      <w:pPr>
        <w:pStyle w:val="para"/>
        <w:numPr>
          <w:ilvl w:val="0"/>
          <w:numId w:val="276"/>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data in Exercise 6 of</w:t>
      </w:r>
      <w:r>
        <w:rPr>
          <w:rStyle w:val="apple-converted-space"/>
          <w:rFonts w:ascii="Calibri" w:eastAsiaTheme="majorEastAsia"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7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rsidR="00AD77BB" w:rsidRDefault="00B45BA0">
      <w:pPr>
        <w:numPr>
          <w:ilvl w:val="1"/>
          <w:numId w:val="27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sum of the squared errors</w:t>
      </w:r>
      <w:r>
        <w:rPr>
          <w:rStyle w:val="apple-converted-space"/>
          <w:rFonts w:ascii="Calibri" w:hAnsi="Calibri"/>
          <w:color w:val="333333"/>
          <w:sz w:val="20"/>
          <w:szCs w:val="20"/>
        </w:rPr>
        <w:t> </w:t>
      </w:r>
      <w:r>
        <w:rPr>
          <w:rStyle w:val="mi"/>
          <w:rFonts w:ascii="MathJax_Math" w:hAnsi="MathJax_Math"/>
          <w:i/>
          <w:iCs/>
          <w:color w:val="333333"/>
          <w:sz w:val="17"/>
          <w:szCs w:val="17"/>
        </w:rPr>
        <w:t>SSE</w:t>
      </w:r>
      <w:r>
        <w:rPr>
          <w:rStyle w:val="apple-converted-space"/>
          <w:rFonts w:ascii="Calibri" w:hAnsi="Calibri"/>
          <w:color w:val="333333"/>
          <w:sz w:val="20"/>
          <w:szCs w:val="20"/>
        </w:rPr>
        <w:t> </w:t>
      </w:r>
      <w:r>
        <w:rPr>
          <w:rFonts w:ascii="Calibri" w:hAnsi="Calibri"/>
          <w:color w:val="333333"/>
          <w:sz w:val="20"/>
          <w:szCs w:val="20"/>
        </w:rPr>
        <w:t>using the definition</w:t>
      </w:r>
      <w:r>
        <w:rPr>
          <w:rStyle w:val="apple-converted-space"/>
          <w:rFonts w:ascii="Calibri" w:hAnsi="Calibri"/>
          <w:color w:val="333333"/>
          <w:sz w:val="20"/>
          <w:szCs w:val="20"/>
        </w:rPr>
        <w:t> </w:t>
      </w:r>
      <w:r>
        <w:rPr>
          <w:rStyle w:val="mi"/>
          <w:rFonts w:ascii="MathJax_Main" w:hAnsi="MathJax_Main"/>
          <w:color w:val="333333"/>
          <w:sz w:val="17"/>
          <w:szCs w:val="17"/>
        </w:rPr>
        <w:t>Σ</w:t>
      </w:r>
      <w:r>
        <w:rPr>
          <w:rStyle w:val="mo"/>
          <w:rFonts w:ascii="MathJax_Main" w:hAnsi="MathJax_Main"/>
          <w:color w:val="333333"/>
          <w:sz w:val="17"/>
          <w:szCs w:val="17"/>
        </w:rPr>
        <w:t>(</w:t>
      </w:r>
      <w:r>
        <w:rPr>
          <w:rStyle w:val="mi"/>
          <w:rFonts w:ascii="MathJax_Math" w:hAnsi="MathJax_Math"/>
          <w:i/>
          <w:iCs/>
          <w:color w:val="333333"/>
          <w:sz w:val="17"/>
          <w:szCs w:val="17"/>
        </w:rPr>
        <w:t>y</w:t>
      </w:r>
      <w:r>
        <w:rPr>
          <w:rStyle w:val="mo"/>
          <w:rFonts w:ascii="MathJax_Main" w:hAnsi="MathJax_Main"/>
          <w:color w:val="333333"/>
          <w:sz w:val="17"/>
          <w:szCs w:val="17"/>
        </w:rPr>
        <w:t>−</w:t>
      </w:r>
      <w:r>
        <w:rPr>
          <w:rStyle w:val="mi"/>
          <w:rFonts w:ascii="MathJax_Math" w:hAnsi="MathJax_Math"/>
          <w:i/>
          <w:iCs/>
          <w:color w:val="333333"/>
          <w:sz w:val="17"/>
          <w:szCs w:val="17"/>
        </w:rPr>
        <w:t>y</w:t>
      </w:r>
      <w:r>
        <w:rPr>
          <w:rStyle w:val="mo"/>
          <w:rFonts w:ascii="MathJax_Main" w:hAnsi="MathJax_Main"/>
          <w:color w:val="333333"/>
          <w:sz w:val="17"/>
          <w:szCs w:val="17"/>
        </w:rPr>
        <w:t>ˆ)</w:t>
      </w:r>
      <w:r>
        <w:rPr>
          <w:rStyle w:val="mn"/>
          <w:rFonts w:ascii="MathJax_Main" w:hAnsi="MathJax_Main"/>
          <w:color w:val="333333"/>
          <w:sz w:val="12"/>
          <w:szCs w:val="12"/>
        </w:rPr>
        <w:t>2</w:t>
      </w:r>
      <w:r>
        <w:rPr>
          <w:rStyle w:val="mo"/>
          <w:rFonts w:ascii="MathJax_Main" w:hAnsi="MathJax_Main"/>
          <w:color w:val="333333"/>
          <w:sz w:val="17"/>
          <w:szCs w:val="17"/>
        </w:rPr>
        <w:t>.</w:t>
      </w:r>
    </w:p>
    <w:p w:rsidR="00AD77BB" w:rsidRDefault="00B45BA0">
      <w:pPr>
        <w:numPr>
          <w:ilvl w:val="1"/>
          <w:numId w:val="27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sum of the squared errors</w:t>
      </w:r>
      <w:r>
        <w:rPr>
          <w:rStyle w:val="apple-converted-space"/>
          <w:rFonts w:ascii="Calibri" w:hAnsi="Calibri"/>
          <w:color w:val="333333"/>
          <w:sz w:val="20"/>
          <w:szCs w:val="20"/>
        </w:rPr>
        <w:t> </w:t>
      </w:r>
      <w:r>
        <w:rPr>
          <w:rStyle w:val="mi"/>
          <w:rFonts w:ascii="MathJax_Math" w:hAnsi="MathJax_Math"/>
          <w:i/>
          <w:iCs/>
          <w:color w:val="333333"/>
          <w:sz w:val="17"/>
          <w:szCs w:val="17"/>
        </w:rPr>
        <w:t>SSE</w:t>
      </w:r>
      <w:r>
        <w:rPr>
          <w:rStyle w:val="apple-converted-space"/>
          <w:rFonts w:ascii="Calibri" w:hAnsi="Calibri"/>
          <w:color w:val="333333"/>
          <w:sz w:val="20"/>
          <w:szCs w:val="20"/>
        </w:rPr>
        <w:t> </w:t>
      </w:r>
      <w:r>
        <w:rPr>
          <w:rFonts w:ascii="Calibri" w:hAnsi="Calibri"/>
          <w:color w:val="333333"/>
          <w:sz w:val="20"/>
          <w:szCs w:val="20"/>
        </w:rPr>
        <w:t>using the formula</w:t>
      </w:r>
      <w:r>
        <w:rPr>
          <w:rStyle w:val="apple-converted-space"/>
          <w:rFonts w:ascii="Calibri" w:hAnsi="Calibri"/>
          <w:color w:val="333333"/>
          <w:sz w:val="20"/>
          <w:szCs w:val="20"/>
        </w:rPr>
        <w:t> </w:t>
      </w:r>
      <w:r>
        <w:rPr>
          <w:rStyle w:val="mi"/>
          <w:rFonts w:ascii="MathJax_Math" w:hAnsi="MathJax_Math"/>
          <w:i/>
          <w:iCs/>
          <w:color w:val="333333"/>
          <w:sz w:val="17"/>
          <w:szCs w:val="17"/>
        </w:rPr>
        <w:t>SSE</w:t>
      </w:r>
      <w:r>
        <w:rPr>
          <w:rStyle w:val="mo"/>
          <w:rFonts w:ascii="MathJax_Main" w:hAnsi="MathJax_Main"/>
          <w:color w:val="333333"/>
          <w:sz w:val="17"/>
          <w:szCs w:val="17"/>
        </w:rPr>
        <w:t>=</w:t>
      </w:r>
      <w:r>
        <w:rPr>
          <w:rStyle w:val="mi"/>
          <w:rFonts w:ascii="MathJax_Math" w:hAnsi="MathJax_Math"/>
          <w:i/>
          <w:iCs/>
          <w:color w:val="333333"/>
          <w:sz w:val="17"/>
          <w:szCs w:val="17"/>
        </w:rPr>
        <w:t>SS</w:t>
      </w:r>
      <w:r>
        <w:rPr>
          <w:rStyle w:val="mi"/>
          <w:rFonts w:ascii="MathJax_Math" w:hAnsi="MathJax_Math"/>
          <w:i/>
          <w:iCs/>
          <w:color w:val="333333"/>
          <w:sz w:val="12"/>
          <w:szCs w:val="12"/>
        </w:rPr>
        <w:t>yy</w:t>
      </w:r>
      <w:r>
        <w:rPr>
          <w:rStyle w:val="mo"/>
          <w:rFonts w:ascii="MathJax_Main" w:hAnsi="MathJax_Main"/>
          <w:color w:val="333333"/>
          <w:sz w:val="17"/>
          <w:szCs w:val="17"/>
        </w:rPr>
        <w:t>−</w:t>
      </w:r>
      <w:r>
        <w:rPr>
          <w:rStyle w:val="mi"/>
          <w:rFonts w:ascii="MathJax_Math" w:hAnsi="MathJax_Math"/>
          <w:i/>
          <w:iCs/>
          <w:color w:val="333333"/>
          <w:sz w:val="13"/>
          <w:szCs w:val="13"/>
        </w:rPr>
        <w:t>β</w:t>
      </w:r>
      <w:r>
        <w:rPr>
          <w:rStyle w:val="mo"/>
          <w:rFonts w:ascii="MathJax_Main" w:hAnsi="MathJax_Main"/>
          <w:color w:val="333333"/>
          <w:sz w:val="17"/>
          <w:szCs w:val="17"/>
        </w:rPr>
        <w:t>ˆ</w:t>
      </w:r>
      <w:r>
        <w:rPr>
          <w:rStyle w:val="mn"/>
          <w:rFonts w:ascii="MathJax_Main" w:hAnsi="MathJax_Main"/>
          <w:color w:val="333333"/>
          <w:sz w:val="12"/>
          <w:szCs w:val="12"/>
        </w:rPr>
        <w:t>1</w:t>
      </w:r>
      <w:r>
        <w:rPr>
          <w:rStyle w:val="mi"/>
          <w:rFonts w:ascii="MathJax_Math" w:hAnsi="MathJax_Math"/>
          <w:i/>
          <w:iCs/>
          <w:color w:val="333333"/>
          <w:sz w:val="17"/>
          <w:szCs w:val="17"/>
        </w:rPr>
        <w:t>SS</w:t>
      </w:r>
      <w:r>
        <w:rPr>
          <w:rStyle w:val="mi"/>
          <w:rFonts w:ascii="MathJax_Math" w:hAnsi="MathJax_Math"/>
          <w:i/>
          <w:iCs/>
          <w:color w:val="333333"/>
          <w:sz w:val="12"/>
          <w:szCs w:val="12"/>
        </w:rPr>
        <w:t>xy</w:t>
      </w:r>
      <w:r>
        <w:rPr>
          <w:rStyle w:val="mo"/>
          <w:rFonts w:ascii="MathJax_Main" w:hAnsi="MathJax_Main"/>
          <w:color w:val="333333"/>
          <w:sz w:val="17"/>
          <w:szCs w:val="17"/>
        </w:rPr>
        <w:t>.</w:t>
      </w:r>
    </w:p>
    <w:p w:rsidR="00AD77BB" w:rsidRDefault="00B45BA0">
      <w:pPr>
        <w:pStyle w:val="para"/>
        <w:numPr>
          <w:ilvl w:val="0"/>
          <w:numId w:val="276"/>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 for the data in Exercise 7 of</w:t>
      </w:r>
      <w:r>
        <w:rPr>
          <w:rFonts w:ascii="Calibri" w:hAnsi="Calibri"/>
          <w:color w:val="2689C6"/>
          <w:sz w:val="20"/>
          <w:szCs w:val="20"/>
        </w:rPr>
        <w:t>Section 10.2 "The Linear Correlation Coefficient"</w:t>
      </w:r>
      <w:r>
        <w:rPr>
          <w:rFonts w:ascii="Calibri" w:hAnsi="Calibri"/>
          <w:color w:val="333333"/>
          <w:sz w:val="20"/>
          <w:szCs w:val="20"/>
        </w:rPr>
        <w:t>.</w:t>
      </w:r>
    </w:p>
    <w:p w:rsidR="00AD77BB" w:rsidRDefault="00B45BA0">
      <w:pPr>
        <w:pStyle w:val="para"/>
        <w:numPr>
          <w:ilvl w:val="0"/>
          <w:numId w:val="276"/>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 for the data in Exercise 8 of</w:t>
      </w:r>
      <w:r>
        <w:rPr>
          <w:rFonts w:ascii="Calibri" w:hAnsi="Calibri"/>
          <w:color w:val="2689C6"/>
          <w:sz w:val="20"/>
          <w:szCs w:val="20"/>
        </w:rPr>
        <w:t>Section 10.2 "The Linear Correlation Coefficient"</w:t>
      </w:r>
      <w:r>
        <w:rPr>
          <w:rFonts w:ascii="Calibri" w:hAnsi="Calibri"/>
          <w:color w:val="333333"/>
          <w:sz w:val="20"/>
          <w:szCs w:val="20"/>
        </w:rPr>
        <w:t>.</w:t>
      </w:r>
    </w:p>
    <w:p w:rsidR="00AD77BB" w:rsidRDefault="00B45BA0">
      <w:pPr>
        <w:pStyle w:val="para"/>
        <w:numPr>
          <w:ilvl w:val="0"/>
          <w:numId w:val="276"/>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For the data in Exercise 9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7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rsidR="00AD77BB" w:rsidRDefault="00B45BA0">
      <w:pPr>
        <w:numPr>
          <w:ilvl w:val="1"/>
          <w:numId w:val="27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Can you compute the sum of the squared errors</w:t>
      </w:r>
      <w:r>
        <w:rPr>
          <w:rStyle w:val="apple-converted-space"/>
          <w:rFonts w:ascii="Calibri" w:hAnsi="Calibri"/>
          <w:color w:val="333333"/>
          <w:sz w:val="20"/>
          <w:szCs w:val="20"/>
        </w:rPr>
        <w:t> </w:t>
      </w:r>
      <w:r>
        <w:rPr>
          <w:rStyle w:val="mi"/>
          <w:rFonts w:ascii="MathJax_Math" w:hAnsi="MathJax_Math"/>
          <w:i/>
          <w:iCs/>
          <w:color w:val="333333"/>
          <w:sz w:val="17"/>
          <w:szCs w:val="17"/>
        </w:rPr>
        <w:t>SSE</w:t>
      </w:r>
      <w:r>
        <w:rPr>
          <w:rStyle w:val="apple-converted-space"/>
          <w:rFonts w:ascii="Calibri" w:hAnsi="Calibri"/>
          <w:color w:val="333333"/>
          <w:sz w:val="20"/>
          <w:szCs w:val="20"/>
        </w:rPr>
        <w:t> </w:t>
      </w:r>
      <w:r>
        <w:rPr>
          <w:rFonts w:ascii="Calibri" w:hAnsi="Calibri"/>
          <w:color w:val="333333"/>
          <w:sz w:val="20"/>
          <w:szCs w:val="20"/>
        </w:rPr>
        <w:t>using the definition</w:t>
      </w:r>
      <w:r>
        <w:rPr>
          <w:rStyle w:val="mi"/>
          <w:rFonts w:ascii="MathJax_Main" w:hAnsi="MathJax_Main"/>
          <w:color w:val="333333"/>
          <w:sz w:val="17"/>
          <w:szCs w:val="17"/>
        </w:rPr>
        <w:t>Σ</w:t>
      </w:r>
      <w:r>
        <w:rPr>
          <w:rStyle w:val="mo"/>
          <w:rFonts w:ascii="MathJax_Main" w:hAnsi="MathJax_Main"/>
          <w:color w:val="333333"/>
          <w:sz w:val="17"/>
          <w:szCs w:val="17"/>
        </w:rPr>
        <w:t>(</w:t>
      </w:r>
      <w:r>
        <w:rPr>
          <w:rStyle w:val="mi"/>
          <w:rFonts w:ascii="MathJax_Math" w:hAnsi="MathJax_Math"/>
          <w:i/>
          <w:iCs/>
          <w:color w:val="333333"/>
          <w:sz w:val="17"/>
          <w:szCs w:val="17"/>
        </w:rPr>
        <w:t>y</w:t>
      </w:r>
      <w:r>
        <w:rPr>
          <w:rStyle w:val="mo"/>
          <w:rFonts w:ascii="MathJax_Main" w:hAnsi="MathJax_Main"/>
          <w:color w:val="333333"/>
          <w:sz w:val="17"/>
          <w:szCs w:val="17"/>
        </w:rPr>
        <w:t>−</w:t>
      </w:r>
      <w:r>
        <w:rPr>
          <w:rStyle w:val="mi"/>
          <w:rFonts w:ascii="MathJax_Math" w:hAnsi="MathJax_Math"/>
          <w:i/>
          <w:iCs/>
          <w:color w:val="333333"/>
          <w:sz w:val="17"/>
          <w:szCs w:val="17"/>
        </w:rPr>
        <w:t>y</w:t>
      </w:r>
      <w:r>
        <w:rPr>
          <w:rStyle w:val="mo"/>
          <w:rFonts w:ascii="MathJax_Main" w:hAnsi="MathJax_Main"/>
          <w:color w:val="333333"/>
          <w:sz w:val="17"/>
          <w:szCs w:val="17"/>
        </w:rPr>
        <w:t>ˆ)</w:t>
      </w:r>
      <w:r>
        <w:rPr>
          <w:rStyle w:val="mn"/>
          <w:rFonts w:ascii="MathJax_Main" w:hAnsi="MathJax_Main"/>
          <w:color w:val="333333"/>
          <w:sz w:val="12"/>
          <w:szCs w:val="12"/>
        </w:rPr>
        <w:t>2</w:t>
      </w:r>
      <w:r>
        <w:rPr>
          <w:rFonts w:ascii="Calibri" w:hAnsi="Calibri"/>
          <w:color w:val="333333"/>
          <w:sz w:val="20"/>
          <w:szCs w:val="20"/>
        </w:rPr>
        <w:t>? Explain.</w:t>
      </w:r>
    </w:p>
    <w:p w:rsidR="00AD77BB" w:rsidRDefault="00B45BA0">
      <w:pPr>
        <w:numPr>
          <w:ilvl w:val="1"/>
          <w:numId w:val="27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sum of the squared errors</w:t>
      </w:r>
      <w:r>
        <w:rPr>
          <w:rStyle w:val="apple-converted-space"/>
          <w:rFonts w:ascii="Calibri" w:hAnsi="Calibri"/>
          <w:color w:val="333333"/>
          <w:sz w:val="20"/>
          <w:szCs w:val="20"/>
        </w:rPr>
        <w:t> </w:t>
      </w:r>
      <w:r>
        <w:rPr>
          <w:rStyle w:val="mi"/>
          <w:rFonts w:ascii="MathJax_Math" w:hAnsi="MathJax_Math"/>
          <w:i/>
          <w:iCs/>
          <w:color w:val="333333"/>
          <w:sz w:val="17"/>
          <w:szCs w:val="17"/>
        </w:rPr>
        <w:t>SSE</w:t>
      </w:r>
      <w:r>
        <w:rPr>
          <w:rStyle w:val="apple-converted-space"/>
          <w:rFonts w:ascii="Calibri" w:hAnsi="Calibri"/>
          <w:color w:val="333333"/>
          <w:sz w:val="20"/>
          <w:szCs w:val="20"/>
        </w:rPr>
        <w:t> </w:t>
      </w:r>
      <w:r>
        <w:rPr>
          <w:rFonts w:ascii="Calibri" w:hAnsi="Calibri"/>
          <w:color w:val="333333"/>
          <w:sz w:val="20"/>
          <w:szCs w:val="20"/>
        </w:rPr>
        <w:t>using the formula</w:t>
      </w:r>
      <w:r>
        <w:rPr>
          <w:rStyle w:val="apple-converted-space"/>
          <w:rFonts w:ascii="Calibri" w:hAnsi="Calibri"/>
          <w:color w:val="333333"/>
          <w:sz w:val="20"/>
          <w:szCs w:val="20"/>
        </w:rPr>
        <w:t> </w:t>
      </w:r>
      <w:r>
        <w:rPr>
          <w:rStyle w:val="mi"/>
          <w:rFonts w:ascii="MathJax_Math" w:hAnsi="MathJax_Math"/>
          <w:i/>
          <w:iCs/>
          <w:color w:val="333333"/>
          <w:sz w:val="17"/>
          <w:szCs w:val="17"/>
        </w:rPr>
        <w:t>SSE</w:t>
      </w:r>
      <w:r>
        <w:rPr>
          <w:rStyle w:val="mo"/>
          <w:rFonts w:ascii="MathJax_Main" w:hAnsi="MathJax_Main"/>
          <w:color w:val="333333"/>
          <w:sz w:val="17"/>
          <w:szCs w:val="17"/>
        </w:rPr>
        <w:t>=</w:t>
      </w:r>
      <w:r>
        <w:rPr>
          <w:rStyle w:val="mi"/>
          <w:rFonts w:ascii="MathJax_Math" w:hAnsi="MathJax_Math"/>
          <w:i/>
          <w:iCs/>
          <w:color w:val="333333"/>
          <w:sz w:val="17"/>
          <w:szCs w:val="17"/>
        </w:rPr>
        <w:t>SS</w:t>
      </w:r>
      <w:r>
        <w:rPr>
          <w:rStyle w:val="mi"/>
          <w:rFonts w:ascii="MathJax_Math" w:hAnsi="MathJax_Math"/>
          <w:i/>
          <w:iCs/>
          <w:color w:val="333333"/>
          <w:sz w:val="12"/>
          <w:szCs w:val="12"/>
        </w:rPr>
        <w:t>yy</w:t>
      </w:r>
      <w:r>
        <w:rPr>
          <w:rStyle w:val="mo"/>
          <w:rFonts w:ascii="MathJax_Main" w:hAnsi="MathJax_Main"/>
          <w:color w:val="333333"/>
          <w:sz w:val="17"/>
          <w:szCs w:val="17"/>
        </w:rPr>
        <w:t>−</w:t>
      </w:r>
      <w:r>
        <w:rPr>
          <w:rStyle w:val="mi"/>
          <w:rFonts w:ascii="MathJax_Math" w:hAnsi="MathJax_Math"/>
          <w:i/>
          <w:iCs/>
          <w:color w:val="333333"/>
          <w:sz w:val="13"/>
          <w:szCs w:val="13"/>
        </w:rPr>
        <w:t>β</w:t>
      </w:r>
      <w:r>
        <w:rPr>
          <w:rStyle w:val="mo"/>
          <w:rFonts w:ascii="MathJax_Main" w:hAnsi="MathJax_Main"/>
          <w:color w:val="333333"/>
          <w:sz w:val="17"/>
          <w:szCs w:val="17"/>
        </w:rPr>
        <w:t>ˆ</w:t>
      </w:r>
      <w:r>
        <w:rPr>
          <w:rStyle w:val="mn"/>
          <w:rFonts w:ascii="MathJax_Main" w:hAnsi="MathJax_Main"/>
          <w:color w:val="333333"/>
          <w:sz w:val="12"/>
          <w:szCs w:val="12"/>
        </w:rPr>
        <w:t>1</w:t>
      </w:r>
      <w:r>
        <w:rPr>
          <w:rStyle w:val="mi"/>
          <w:rFonts w:ascii="MathJax_Math" w:hAnsi="MathJax_Math"/>
          <w:i/>
          <w:iCs/>
          <w:color w:val="333333"/>
          <w:sz w:val="17"/>
          <w:szCs w:val="17"/>
        </w:rPr>
        <w:t>SS</w:t>
      </w:r>
      <w:r>
        <w:rPr>
          <w:rStyle w:val="mi"/>
          <w:rFonts w:ascii="MathJax_Math" w:hAnsi="MathJax_Math"/>
          <w:i/>
          <w:iCs/>
          <w:color w:val="333333"/>
          <w:sz w:val="12"/>
          <w:szCs w:val="12"/>
        </w:rPr>
        <w:t>xy</w:t>
      </w:r>
      <w:r>
        <w:rPr>
          <w:rStyle w:val="mo"/>
          <w:rFonts w:ascii="MathJax_Main" w:hAnsi="MathJax_Main"/>
          <w:color w:val="333333"/>
          <w:sz w:val="17"/>
          <w:szCs w:val="17"/>
        </w:rPr>
        <w:t>.</w:t>
      </w:r>
    </w:p>
    <w:p w:rsidR="00AD77BB" w:rsidRDefault="00B45BA0">
      <w:pPr>
        <w:pStyle w:val="para"/>
        <w:numPr>
          <w:ilvl w:val="0"/>
          <w:numId w:val="276"/>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For the data in Exercise 10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7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rsidR="00AD77BB" w:rsidRDefault="00B45BA0">
      <w:pPr>
        <w:numPr>
          <w:ilvl w:val="1"/>
          <w:numId w:val="27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Can you compute the sum of the squared errors</w:t>
      </w:r>
      <w:r>
        <w:rPr>
          <w:rStyle w:val="apple-converted-space"/>
          <w:rFonts w:ascii="Calibri" w:hAnsi="Calibri"/>
          <w:color w:val="333333"/>
          <w:sz w:val="20"/>
          <w:szCs w:val="20"/>
        </w:rPr>
        <w:t> </w:t>
      </w:r>
      <w:r>
        <w:rPr>
          <w:rStyle w:val="mi"/>
          <w:rFonts w:ascii="MathJax_Math" w:hAnsi="MathJax_Math"/>
          <w:i/>
          <w:iCs/>
          <w:color w:val="333333"/>
          <w:sz w:val="17"/>
          <w:szCs w:val="17"/>
        </w:rPr>
        <w:t>SSE</w:t>
      </w:r>
      <w:r>
        <w:rPr>
          <w:rStyle w:val="apple-converted-space"/>
          <w:rFonts w:ascii="Calibri" w:hAnsi="Calibri"/>
          <w:color w:val="333333"/>
          <w:sz w:val="20"/>
          <w:szCs w:val="20"/>
        </w:rPr>
        <w:t> </w:t>
      </w:r>
      <w:r>
        <w:rPr>
          <w:rFonts w:ascii="Calibri" w:hAnsi="Calibri"/>
          <w:color w:val="333333"/>
          <w:sz w:val="20"/>
          <w:szCs w:val="20"/>
        </w:rPr>
        <w:t xml:space="preserve">using the definition </w:t>
      </w:r>
      <w:r>
        <w:rPr>
          <w:rStyle w:val="mi"/>
          <w:rFonts w:ascii="MathJax_Main" w:hAnsi="MathJax_Main"/>
          <w:color w:val="333333"/>
          <w:sz w:val="17"/>
          <w:szCs w:val="17"/>
        </w:rPr>
        <w:t>Σ</w:t>
      </w:r>
      <w:r>
        <w:rPr>
          <w:rStyle w:val="mo"/>
          <w:rFonts w:ascii="MathJax_Main" w:hAnsi="MathJax_Main"/>
          <w:color w:val="333333"/>
          <w:sz w:val="17"/>
          <w:szCs w:val="17"/>
        </w:rPr>
        <w:t>(</w:t>
      </w:r>
      <w:r>
        <w:rPr>
          <w:rStyle w:val="mi"/>
          <w:rFonts w:ascii="MathJax_Math" w:hAnsi="MathJax_Math"/>
          <w:i/>
          <w:iCs/>
          <w:color w:val="333333"/>
          <w:sz w:val="17"/>
          <w:szCs w:val="17"/>
        </w:rPr>
        <w:t>y</w:t>
      </w:r>
      <w:r>
        <w:rPr>
          <w:rStyle w:val="mo"/>
          <w:rFonts w:ascii="MathJax_Main" w:hAnsi="MathJax_Main"/>
          <w:color w:val="333333"/>
          <w:sz w:val="17"/>
          <w:szCs w:val="17"/>
        </w:rPr>
        <w:t>−</w:t>
      </w:r>
      <w:r>
        <w:rPr>
          <w:rStyle w:val="mi"/>
          <w:rFonts w:ascii="MathJax_Math" w:hAnsi="MathJax_Math"/>
          <w:i/>
          <w:iCs/>
          <w:color w:val="333333"/>
          <w:sz w:val="17"/>
          <w:szCs w:val="17"/>
        </w:rPr>
        <w:t>y</w:t>
      </w:r>
      <w:r>
        <w:rPr>
          <w:rStyle w:val="mo"/>
          <w:rFonts w:ascii="MathJax_Main" w:hAnsi="MathJax_Main"/>
          <w:color w:val="333333"/>
          <w:sz w:val="17"/>
          <w:szCs w:val="17"/>
        </w:rPr>
        <w:t>ˆ)</w:t>
      </w:r>
      <w:r>
        <w:rPr>
          <w:rStyle w:val="mn"/>
          <w:rFonts w:ascii="MathJax_Main" w:hAnsi="MathJax_Main"/>
          <w:color w:val="333333"/>
          <w:sz w:val="12"/>
          <w:szCs w:val="12"/>
        </w:rPr>
        <w:t>2</w:t>
      </w:r>
      <w:r>
        <w:rPr>
          <w:rFonts w:ascii="Calibri" w:hAnsi="Calibri"/>
          <w:color w:val="333333"/>
          <w:sz w:val="20"/>
          <w:szCs w:val="20"/>
        </w:rPr>
        <w:t>? Explain.</w:t>
      </w:r>
    </w:p>
    <w:p w:rsidR="00AD77BB" w:rsidRDefault="00B45BA0">
      <w:pPr>
        <w:numPr>
          <w:ilvl w:val="1"/>
          <w:numId w:val="276"/>
        </w:numPr>
        <w:shd w:val="clear" w:color="auto" w:fill="DAEEF3" w:themeFill="accent5" w:themeFillTint="33"/>
        <w:spacing w:after="0" w:line="360" w:lineRule="auto"/>
        <w:textAlignment w:val="baseline"/>
        <w:rPr>
          <w:rStyle w:val="mo"/>
        </w:rPr>
      </w:pPr>
      <w:r>
        <w:rPr>
          <w:rFonts w:ascii="Calibri" w:hAnsi="Calibri"/>
          <w:color w:val="333333"/>
          <w:sz w:val="20"/>
          <w:szCs w:val="20"/>
        </w:rPr>
        <w:t>Compute the sum of the squared errors</w:t>
      </w:r>
      <w:r>
        <w:rPr>
          <w:rStyle w:val="apple-converted-space"/>
          <w:rFonts w:ascii="Calibri" w:hAnsi="Calibri"/>
          <w:color w:val="333333"/>
          <w:sz w:val="20"/>
          <w:szCs w:val="20"/>
        </w:rPr>
        <w:t> </w:t>
      </w:r>
      <w:r>
        <w:rPr>
          <w:rStyle w:val="mi"/>
          <w:rFonts w:ascii="MathJax_Math" w:hAnsi="MathJax_Math"/>
          <w:i/>
          <w:iCs/>
          <w:color w:val="333333"/>
          <w:sz w:val="17"/>
          <w:szCs w:val="17"/>
        </w:rPr>
        <w:t>SSE</w:t>
      </w:r>
      <w:r>
        <w:rPr>
          <w:rStyle w:val="apple-converted-space"/>
          <w:rFonts w:ascii="Calibri" w:hAnsi="Calibri"/>
          <w:color w:val="333333"/>
          <w:sz w:val="20"/>
          <w:szCs w:val="20"/>
        </w:rPr>
        <w:t> </w:t>
      </w:r>
      <w:r>
        <w:rPr>
          <w:rFonts w:ascii="Calibri" w:hAnsi="Calibri"/>
          <w:color w:val="333333"/>
          <w:sz w:val="20"/>
          <w:szCs w:val="20"/>
        </w:rPr>
        <w:t>using the formula</w:t>
      </w:r>
      <w:r>
        <w:rPr>
          <w:rStyle w:val="apple-converted-space"/>
          <w:rFonts w:ascii="Calibri" w:hAnsi="Calibri"/>
          <w:color w:val="333333"/>
          <w:sz w:val="20"/>
          <w:szCs w:val="20"/>
        </w:rPr>
        <w:t> </w:t>
      </w:r>
      <w:r>
        <w:rPr>
          <w:rStyle w:val="mi"/>
          <w:rFonts w:ascii="MathJax_Math" w:hAnsi="MathJax_Math"/>
          <w:i/>
          <w:iCs/>
          <w:color w:val="333333"/>
          <w:sz w:val="17"/>
          <w:szCs w:val="17"/>
        </w:rPr>
        <w:t>SSE</w:t>
      </w:r>
      <w:r>
        <w:rPr>
          <w:rStyle w:val="mo"/>
          <w:rFonts w:ascii="MathJax_Main" w:hAnsi="MathJax_Main"/>
          <w:color w:val="333333"/>
          <w:sz w:val="17"/>
          <w:szCs w:val="17"/>
        </w:rPr>
        <w:t>=</w:t>
      </w:r>
      <w:r>
        <w:rPr>
          <w:rStyle w:val="mi"/>
          <w:rFonts w:ascii="MathJax_Math" w:hAnsi="MathJax_Math"/>
          <w:i/>
          <w:iCs/>
          <w:color w:val="333333"/>
          <w:sz w:val="17"/>
          <w:szCs w:val="17"/>
        </w:rPr>
        <w:t>SS</w:t>
      </w:r>
      <w:r>
        <w:rPr>
          <w:rStyle w:val="mi"/>
          <w:rFonts w:ascii="MathJax_Math" w:hAnsi="MathJax_Math"/>
          <w:i/>
          <w:iCs/>
          <w:color w:val="333333"/>
          <w:sz w:val="12"/>
          <w:szCs w:val="12"/>
        </w:rPr>
        <w:t>yy</w:t>
      </w:r>
      <w:r>
        <w:rPr>
          <w:rStyle w:val="mo"/>
          <w:rFonts w:ascii="MathJax_Main" w:hAnsi="MathJax_Main"/>
          <w:color w:val="333333"/>
          <w:sz w:val="17"/>
          <w:szCs w:val="17"/>
        </w:rPr>
        <w:t>−</w:t>
      </w:r>
      <w:r>
        <w:rPr>
          <w:rStyle w:val="mi"/>
          <w:rFonts w:ascii="MathJax_Math" w:hAnsi="MathJax_Math"/>
          <w:i/>
          <w:iCs/>
          <w:color w:val="333333"/>
          <w:sz w:val="13"/>
          <w:szCs w:val="13"/>
        </w:rPr>
        <w:t>β</w:t>
      </w:r>
      <w:r>
        <w:rPr>
          <w:rStyle w:val="mo"/>
          <w:rFonts w:ascii="MathJax_Main" w:hAnsi="MathJax_Main"/>
          <w:color w:val="333333"/>
          <w:sz w:val="17"/>
          <w:szCs w:val="17"/>
        </w:rPr>
        <w:t>ˆ</w:t>
      </w:r>
      <w:r>
        <w:rPr>
          <w:rStyle w:val="mn"/>
          <w:rFonts w:ascii="MathJax_Main" w:hAnsi="MathJax_Main"/>
          <w:color w:val="333333"/>
          <w:sz w:val="12"/>
          <w:szCs w:val="12"/>
        </w:rPr>
        <w:t>1</w:t>
      </w:r>
      <w:r>
        <w:rPr>
          <w:rStyle w:val="mi"/>
          <w:rFonts w:ascii="MathJax_Math" w:hAnsi="MathJax_Math"/>
          <w:i/>
          <w:iCs/>
          <w:color w:val="333333"/>
          <w:sz w:val="17"/>
          <w:szCs w:val="17"/>
        </w:rPr>
        <w:t>SS</w:t>
      </w:r>
      <w:r>
        <w:rPr>
          <w:rStyle w:val="mi"/>
          <w:rFonts w:ascii="MathJax_Math" w:hAnsi="MathJax_Math"/>
          <w:i/>
          <w:iCs/>
          <w:color w:val="333333"/>
          <w:sz w:val="12"/>
          <w:szCs w:val="12"/>
        </w:rPr>
        <w:t>xy</w:t>
      </w:r>
      <w:r>
        <w:rPr>
          <w:rStyle w:val="mo"/>
          <w:rFonts w:ascii="MathJax_Main" w:hAnsi="MathJax_Main"/>
          <w:color w:val="333333"/>
          <w:sz w:val="17"/>
          <w:szCs w:val="17"/>
        </w:rPr>
        <w:t>.</w:t>
      </w:r>
    </w:p>
    <w:p w:rsidR="00AD77BB" w:rsidRDefault="00AD77BB">
      <w:pPr>
        <w:shd w:val="clear" w:color="auto" w:fill="DAEEF3" w:themeFill="accent5" w:themeFillTint="33"/>
        <w:spacing w:after="0" w:line="360" w:lineRule="auto"/>
        <w:ind w:left="720"/>
        <w:textAlignment w:val="baseline"/>
      </w:pP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lastRenderedPageBreak/>
        <w:t>APPLICATIONS</w:t>
      </w:r>
    </w:p>
    <w:p w:rsidR="00AD77BB" w:rsidRDefault="00B45BA0">
      <w:pPr>
        <w:pStyle w:val="para"/>
        <w:numPr>
          <w:ilvl w:val="0"/>
          <w:numId w:val="27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11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On average, how many new words does a child from 13 to 18 months old learn each month? Explain.</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average vocabulary of all 16-month-old children.</w:t>
      </w:r>
    </w:p>
    <w:p w:rsidR="00AD77BB" w:rsidRDefault="00B45BA0">
      <w:pPr>
        <w:pStyle w:val="para"/>
        <w:numPr>
          <w:ilvl w:val="0"/>
          <w:numId w:val="27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12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On average, how many additional feet are added to the braking distance for each additional 100 pounds of weight? Explain.</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average braking distance of all cars weighing 3,000 pounds.</w:t>
      </w:r>
    </w:p>
    <w:p w:rsidR="00AD77BB" w:rsidRDefault="00B45BA0">
      <w:pPr>
        <w:pStyle w:val="para"/>
        <w:numPr>
          <w:ilvl w:val="0"/>
          <w:numId w:val="27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13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average resting heart rate of all 40-year-old men.</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average resting heart rate of all newborn baby boys. Comment on the validity of the estimate.</w:t>
      </w:r>
    </w:p>
    <w:p w:rsidR="00AD77BB" w:rsidRDefault="00B45BA0">
      <w:pPr>
        <w:pStyle w:val="para"/>
        <w:numPr>
          <w:ilvl w:val="0"/>
          <w:numId w:val="27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14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average wave height when the wind is blowing at 10 miles per hour.</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average wave height when there is no wind blowing. Comment on the validity of the estimate.</w:t>
      </w:r>
    </w:p>
    <w:p w:rsidR="00AD77BB" w:rsidRDefault="00B45BA0">
      <w:pPr>
        <w:pStyle w:val="para"/>
        <w:numPr>
          <w:ilvl w:val="0"/>
          <w:numId w:val="27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15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On average, for each additional thousand dollars spent on advertising, how does revenue change? Explain.</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revenue if $2,500 is spent on advertising next year.</w:t>
      </w:r>
    </w:p>
    <w:p w:rsidR="00AD77BB" w:rsidRDefault="00B45BA0">
      <w:pPr>
        <w:pStyle w:val="para"/>
        <w:numPr>
          <w:ilvl w:val="0"/>
          <w:numId w:val="27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16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On average, for each additional inch of height of two-year-old girl, what is the change in the adult height? Explain.</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Predict the adult height of a two-year-old girl who is 33 inches tall.</w:t>
      </w:r>
    </w:p>
    <w:p w:rsidR="00AD77BB" w:rsidRDefault="00B45BA0">
      <w:pPr>
        <w:pStyle w:val="para"/>
        <w:numPr>
          <w:ilvl w:val="0"/>
          <w:numId w:val="27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17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w:t>
      </w:r>
      <w:r>
        <w:rPr>
          <w:rStyle w:val="apple-converted-space"/>
          <w:rFonts w:ascii="Calibri" w:hAnsi="Calibri"/>
          <w:color w:val="333333"/>
          <w:sz w:val="20"/>
          <w:szCs w:val="20"/>
        </w:rPr>
        <w:t> </w:t>
      </w:r>
      <w:r>
        <w:rPr>
          <w:rStyle w:val="mi"/>
          <w:rFonts w:ascii="MathJax_Math" w:hAnsi="MathJax_Math"/>
          <w:i/>
          <w:iCs/>
          <w:color w:val="333333"/>
          <w:sz w:val="17"/>
          <w:szCs w:val="17"/>
        </w:rPr>
        <w:t>SSE</w:t>
      </w:r>
      <w:r>
        <w:rPr>
          <w:rStyle w:val="apple-converted-space"/>
          <w:rFonts w:ascii="Calibri" w:hAnsi="Calibri"/>
          <w:color w:val="333333"/>
          <w:sz w:val="20"/>
          <w:szCs w:val="20"/>
        </w:rPr>
        <w:t> </w:t>
      </w:r>
      <w:r>
        <w:rPr>
          <w:rFonts w:ascii="Calibri" w:hAnsi="Calibri"/>
          <w:color w:val="333333"/>
          <w:sz w:val="20"/>
          <w:szCs w:val="20"/>
        </w:rPr>
        <w:t>using the formula</w:t>
      </w:r>
      <w:r>
        <w:rPr>
          <w:rStyle w:val="apple-converted-space"/>
          <w:rFonts w:ascii="Calibri" w:hAnsi="Calibri"/>
          <w:color w:val="333333"/>
          <w:sz w:val="20"/>
          <w:szCs w:val="20"/>
        </w:rPr>
        <w:t> </w:t>
      </w:r>
      <w:r>
        <w:rPr>
          <w:rStyle w:val="mi"/>
          <w:rFonts w:ascii="MathJax_Math" w:hAnsi="MathJax_Math"/>
          <w:i/>
          <w:iCs/>
          <w:color w:val="333333"/>
          <w:sz w:val="17"/>
          <w:szCs w:val="17"/>
        </w:rPr>
        <w:t>SSE</w:t>
      </w:r>
      <w:r>
        <w:rPr>
          <w:rStyle w:val="mo"/>
          <w:rFonts w:ascii="MathJax_Main" w:hAnsi="MathJax_Main"/>
          <w:color w:val="333333"/>
          <w:sz w:val="17"/>
          <w:szCs w:val="17"/>
        </w:rPr>
        <w:t>=</w:t>
      </w:r>
      <w:r>
        <w:rPr>
          <w:rStyle w:val="mi"/>
          <w:rFonts w:ascii="MathJax_Math" w:hAnsi="MathJax_Math"/>
          <w:i/>
          <w:iCs/>
          <w:color w:val="333333"/>
          <w:sz w:val="17"/>
          <w:szCs w:val="17"/>
        </w:rPr>
        <w:t>SS</w:t>
      </w:r>
      <w:r>
        <w:rPr>
          <w:rStyle w:val="mi"/>
          <w:rFonts w:ascii="MathJax_Math" w:hAnsi="MathJax_Math"/>
          <w:i/>
          <w:iCs/>
          <w:color w:val="333333"/>
          <w:sz w:val="12"/>
          <w:szCs w:val="12"/>
        </w:rPr>
        <w:t>yy</w:t>
      </w:r>
      <w:r>
        <w:rPr>
          <w:rStyle w:val="mo"/>
          <w:rFonts w:ascii="MathJax_Main" w:hAnsi="MathJax_Main"/>
          <w:color w:val="333333"/>
          <w:sz w:val="17"/>
          <w:szCs w:val="17"/>
        </w:rPr>
        <w:t>−</w:t>
      </w:r>
      <w:r>
        <w:rPr>
          <w:rStyle w:val="mi"/>
          <w:rFonts w:ascii="MathJax_Math" w:hAnsi="MathJax_Math"/>
          <w:i/>
          <w:iCs/>
          <w:color w:val="333333"/>
          <w:sz w:val="13"/>
          <w:szCs w:val="13"/>
        </w:rPr>
        <w:t>β</w:t>
      </w:r>
      <w:r>
        <w:rPr>
          <w:rStyle w:val="mo"/>
          <w:rFonts w:ascii="MathJax_Main" w:hAnsi="MathJax_Main"/>
          <w:color w:val="333333"/>
          <w:sz w:val="17"/>
          <w:szCs w:val="17"/>
        </w:rPr>
        <w:t>ˆ</w:t>
      </w:r>
      <w:r>
        <w:rPr>
          <w:rStyle w:val="mn"/>
          <w:rFonts w:ascii="MathJax_Main" w:hAnsi="MathJax_Main"/>
          <w:color w:val="333333"/>
          <w:sz w:val="12"/>
          <w:szCs w:val="12"/>
        </w:rPr>
        <w:t>1</w:t>
      </w:r>
      <w:r>
        <w:rPr>
          <w:rStyle w:val="mi"/>
          <w:rFonts w:ascii="MathJax_Math" w:hAnsi="MathJax_Math"/>
          <w:i/>
          <w:iCs/>
          <w:color w:val="333333"/>
          <w:sz w:val="17"/>
          <w:szCs w:val="17"/>
        </w:rPr>
        <w:t>SS</w:t>
      </w:r>
      <w:r>
        <w:rPr>
          <w:rStyle w:val="mi"/>
          <w:rFonts w:ascii="MathJax_Math" w:hAnsi="MathJax_Math"/>
          <w:i/>
          <w:iCs/>
          <w:color w:val="333333"/>
          <w:sz w:val="12"/>
          <w:szCs w:val="12"/>
        </w:rPr>
        <w:t>xy</w:t>
      </w:r>
      <w:r>
        <w:rPr>
          <w:rStyle w:val="mo"/>
          <w:rFonts w:ascii="MathJax_Main" w:hAnsi="MathJax_Main"/>
          <w:color w:val="333333"/>
          <w:sz w:val="17"/>
          <w:szCs w:val="17"/>
        </w:rPr>
        <w:t>.</w:t>
      </w:r>
    </w:p>
    <w:p w:rsidR="00AD77BB" w:rsidRDefault="00B45BA0">
      <w:pPr>
        <w:pStyle w:val="ListParagraph"/>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lastRenderedPageBreak/>
        <w:t>Estimate the average final exam score of all students whose course average just before the exam is 85.</w:t>
      </w:r>
    </w:p>
    <w:p w:rsidR="00AD77BB" w:rsidRDefault="00B45BA0">
      <w:pPr>
        <w:pStyle w:val="para"/>
        <w:numPr>
          <w:ilvl w:val="0"/>
          <w:numId w:val="27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18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w:t>
      </w:r>
      <w:r>
        <w:rPr>
          <w:rStyle w:val="apple-converted-space"/>
          <w:rFonts w:ascii="Calibri" w:hAnsi="Calibri"/>
          <w:color w:val="333333"/>
          <w:sz w:val="20"/>
          <w:szCs w:val="20"/>
        </w:rPr>
        <w:t> </w:t>
      </w:r>
      <w:r>
        <w:rPr>
          <w:rStyle w:val="mi"/>
          <w:rFonts w:ascii="MathJax_Math" w:hAnsi="MathJax_Math"/>
          <w:i/>
          <w:iCs/>
          <w:color w:val="333333"/>
          <w:sz w:val="17"/>
          <w:szCs w:val="17"/>
        </w:rPr>
        <w:t>SSE</w:t>
      </w:r>
      <w:r>
        <w:rPr>
          <w:rStyle w:val="apple-converted-space"/>
          <w:rFonts w:ascii="Calibri" w:hAnsi="Calibri"/>
          <w:color w:val="333333"/>
          <w:sz w:val="20"/>
          <w:szCs w:val="20"/>
        </w:rPr>
        <w:t> </w:t>
      </w:r>
      <w:r>
        <w:rPr>
          <w:rFonts w:ascii="Calibri" w:hAnsi="Calibri"/>
          <w:color w:val="333333"/>
          <w:sz w:val="20"/>
          <w:szCs w:val="20"/>
        </w:rPr>
        <w:t>using the formula</w:t>
      </w:r>
      <w:r>
        <w:rPr>
          <w:rStyle w:val="apple-converted-space"/>
          <w:rFonts w:ascii="Calibri" w:hAnsi="Calibri"/>
          <w:color w:val="333333"/>
          <w:sz w:val="20"/>
          <w:szCs w:val="20"/>
        </w:rPr>
        <w:t> </w:t>
      </w:r>
      <w:r>
        <w:rPr>
          <w:rStyle w:val="mi"/>
          <w:rFonts w:ascii="MathJax_Math" w:hAnsi="MathJax_Math"/>
          <w:i/>
          <w:iCs/>
          <w:color w:val="333333"/>
          <w:sz w:val="17"/>
          <w:szCs w:val="17"/>
        </w:rPr>
        <w:t>SSE</w:t>
      </w:r>
      <w:r>
        <w:rPr>
          <w:rStyle w:val="mo"/>
          <w:rFonts w:ascii="MathJax_Main" w:hAnsi="MathJax_Main"/>
          <w:color w:val="333333"/>
          <w:sz w:val="17"/>
          <w:szCs w:val="17"/>
        </w:rPr>
        <w:t>=</w:t>
      </w:r>
      <w:r>
        <w:rPr>
          <w:rStyle w:val="mi"/>
          <w:rFonts w:ascii="MathJax_Math" w:hAnsi="MathJax_Math"/>
          <w:i/>
          <w:iCs/>
          <w:color w:val="333333"/>
          <w:sz w:val="17"/>
          <w:szCs w:val="17"/>
        </w:rPr>
        <w:t>SS</w:t>
      </w:r>
      <w:r>
        <w:rPr>
          <w:rStyle w:val="mi"/>
          <w:rFonts w:ascii="MathJax_Math" w:hAnsi="MathJax_Math"/>
          <w:i/>
          <w:iCs/>
          <w:color w:val="333333"/>
          <w:sz w:val="12"/>
          <w:szCs w:val="12"/>
        </w:rPr>
        <w:t>yy</w:t>
      </w:r>
      <w:r>
        <w:rPr>
          <w:rStyle w:val="mo"/>
          <w:rFonts w:ascii="MathJax_Main" w:hAnsi="MathJax_Main"/>
          <w:color w:val="333333"/>
          <w:sz w:val="17"/>
          <w:szCs w:val="17"/>
        </w:rPr>
        <w:t>−</w:t>
      </w:r>
      <w:r>
        <w:rPr>
          <w:rStyle w:val="mi"/>
          <w:rFonts w:ascii="MathJax_Math" w:hAnsi="MathJax_Math"/>
          <w:i/>
          <w:iCs/>
          <w:color w:val="333333"/>
          <w:sz w:val="13"/>
          <w:szCs w:val="13"/>
        </w:rPr>
        <w:t>β</w:t>
      </w:r>
      <w:r>
        <w:rPr>
          <w:rStyle w:val="mo"/>
          <w:rFonts w:ascii="MathJax_Main" w:hAnsi="MathJax_Main"/>
          <w:color w:val="333333"/>
          <w:sz w:val="17"/>
          <w:szCs w:val="17"/>
        </w:rPr>
        <w:t>ˆ</w:t>
      </w:r>
      <w:r>
        <w:rPr>
          <w:rStyle w:val="mn"/>
          <w:rFonts w:ascii="MathJax_Main" w:hAnsi="MathJax_Main"/>
          <w:color w:val="333333"/>
          <w:sz w:val="12"/>
          <w:szCs w:val="12"/>
        </w:rPr>
        <w:t>1</w:t>
      </w:r>
      <w:r>
        <w:rPr>
          <w:rStyle w:val="mi"/>
          <w:rFonts w:ascii="MathJax_Math" w:hAnsi="MathJax_Math"/>
          <w:i/>
          <w:iCs/>
          <w:color w:val="333333"/>
          <w:sz w:val="17"/>
          <w:szCs w:val="17"/>
        </w:rPr>
        <w:t>SS</w:t>
      </w:r>
      <w:r>
        <w:rPr>
          <w:rStyle w:val="mi"/>
          <w:rFonts w:ascii="MathJax_Math" w:hAnsi="MathJax_Math"/>
          <w:i/>
          <w:iCs/>
          <w:color w:val="333333"/>
          <w:sz w:val="12"/>
          <w:szCs w:val="12"/>
        </w:rPr>
        <w:t>xy</w:t>
      </w:r>
      <w:r>
        <w:rPr>
          <w:rStyle w:val="mo"/>
          <w:rFonts w:ascii="MathJax_Main" w:hAnsi="MathJax_Main"/>
          <w:color w:val="333333"/>
          <w:sz w:val="17"/>
          <w:szCs w:val="17"/>
        </w:rPr>
        <w:t>.</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number of acres that would be harvested if 90 million acres of corn were planted.</w:t>
      </w:r>
    </w:p>
    <w:p w:rsidR="00AD77BB" w:rsidRDefault="00B45BA0">
      <w:pPr>
        <w:pStyle w:val="para"/>
        <w:numPr>
          <w:ilvl w:val="0"/>
          <w:numId w:val="27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19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Interpret the value of the slope of the least squares regression line in the context of the problem.</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average concentration of the active ingredient in the blood in men after consuming 1 ounce of the medication.</w:t>
      </w:r>
    </w:p>
    <w:p w:rsidR="00AD77BB" w:rsidRDefault="00B45BA0">
      <w:pPr>
        <w:pStyle w:val="para"/>
        <w:numPr>
          <w:ilvl w:val="0"/>
          <w:numId w:val="27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20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Interpret the value of the slope of the least squares regression line in the context of the problem.</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age of an oak tree whose girth five feet off the ground is 92 inches.</w:t>
      </w:r>
    </w:p>
    <w:p w:rsidR="00AD77BB" w:rsidRDefault="00B45BA0">
      <w:pPr>
        <w:pStyle w:val="para"/>
        <w:numPr>
          <w:ilvl w:val="0"/>
          <w:numId w:val="27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21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The 28-day strength of concrete used on a certain job must be at least 3,200 psi. If the 3-day strength is 1,300 psi, would we anticipate that the concrete will be sufficiently strong on the 28th day? Explain fully.</w:t>
      </w:r>
    </w:p>
    <w:p w:rsidR="00AD77BB" w:rsidRDefault="00B45BA0">
      <w:pPr>
        <w:pStyle w:val="para"/>
        <w:numPr>
          <w:ilvl w:val="0"/>
          <w:numId w:val="27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22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w:t>
      </w:r>
    </w:p>
    <w:p w:rsidR="00AD77BB" w:rsidRDefault="00B45BA0">
      <w:pPr>
        <w:numPr>
          <w:ilvl w:val="1"/>
          <w:numId w:val="27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If the power facility is called upon to provide more than 95 million watt-hours tomorrow then energy will have to be purchased from elsewhere at a premium. The forecast is for an average temperature of 42 degrees. Should the company plan on purchasing power at a premium?</w:t>
      </w:r>
    </w:p>
    <w:p w:rsidR="00AD77BB" w:rsidRDefault="00B45BA0">
      <w:pPr>
        <w:shd w:val="clear" w:color="auto" w:fill="FFFFFF" w:themeFill="background1"/>
        <w:spacing w:after="0" w:line="360" w:lineRule="auto"/>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6CE5FECD" wp14:editId="4E6CDFE1">
            <wp:extent cx="5372100" cy="5038725"/>
            <wp:effectExtent l="0" t="0" r="0" b="9525"/>
            <wp:docPr id="402"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372100" cy="5038725"/>
                    </a:xfrm>
                    <a:prstGeom prst="rect">
                      <a:avLst/>
                    </a:prstGeom>
                    <a:noFill/>
                    <a:ln>
                      <a:noFill/>
                    </a:ln>
                  </pic:spPr>
                </pic:pic>
              </a:graphicData>
            </a:graphic>
          </wp:inline>
        </w:drawing>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LARGE DATA SET EXERCISES</w:t>
      </w:r>
    </w:p>
    <w:p w:rsidR="00AD77BB" w:rsidRDefault="00B45BA0">
      <w:pPr>
        <w:pStyle w:val="para"/>
        <w:numPr>
          <w:ilvl w:val="0"/>
          <w:numId w:val="27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Large Data Set 1 lists the SAT scores and GPAs of 1,000 students.</w:t>
      </w:r>
    </w:p>
    <w:p w:rsidR="00AD77BB" w:rsidRDefault="00B45BA0">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2689C6"/>
          <w:sz w:val="20"/>
          <w:szCs w:val="20"/>
        </w:rPr>
        <w:t>http://www.1.xls</w:t>
      </w:r>
    </w:p>
    <w:p w:rsidR="00AD77BB" w:rsidRDefault="00AD77BB">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p>
    <w:p w:rsidR="00AD77BB" w:rsidRDefault="00B45BA0">
      <w:pPr>
        <w:pStyle w:val="ListParagraph"/>
        <w:numPr>
          <w:ilvl w:val="1"/>
          <w:numId w:val="27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 xml:space="preserve"> Compute the least squares regression line with SAT score as the independent variable (</w:t>
      </w:r>
      <w:r>
        <w:rPr>
          <w:rStyle w:val="Emphasis"/>
          <w:rFonts w:ascii="Calibri" w:hAnsi="Calibri"/>
          <w:color w:val="333333"/>
          <w:sz w:val="20"/>
          <w:szCs w:val="20"/>
        </w:rPr>
        <w:t>x</w:t>
      </w:r>
      <w:r>
        <w:rPr>
          <w:rFonts w:ascii="Calibri" w:hAnsi="Calibri"/>
          <w:color w:val="333333"/>
          <w:sz w:val="20"/>
          <w:szCs w:val="20"/>
        </w:rPr>
        <w:t>) and GPA as the dependent variable (</w:t>
      </w:r>
      <w:r>
        <w:rPr>
          <w:rStyle w:val="Emphasis"/>
          <w:rFonts w:ascii="Calibri" w:hAnsi="Calibri"/>
          <w:color w:val="333333"/>
          <w:sz w:val="20"/>
          <w:szCs w:val="20"/>
        </w:rPr>
        <w:t>y</w:t>
      </w:r>
      <w:r>
        <w:rPr>
          <w:rFonts w:ascii="Calibri" w:hAnsi="Calibri"/>
          <w:color w:val="333333"/>
          <w:sz w:val="20"/>
          <w:szCs w:val="20"/>
        </w:rPr>
        <w:t>).</w:t>
      </w:r>
    </w:p>
    <w:p w:rsidR="00AD77BB" w:rsidRDefault="00B45BA0">
      <w:pPr>
        <w:numPr>
          <w:ilvl w:val="1"/>
          <w:numId w:val="27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Interpret the meaning of the slope</w:t>
      </w:r>
      <w:r>
        <w:rPr>
          <w:rStyle w:val="apple-converted-space"/>
          <w:rFonts w:ascii="Calibri" w:hAnsi="Calibri"/>
          <w:color w:val="333333"/>
          <w:sz w:val="20"/>
          <w:szCs w:val="20"/>
        </w:rPr>
        <w:t> </w:t>
      </w:r>
      <w:r>
        <w:rPr>
          <w:rStyle w:val="mi"/>
          <w:rFonts w:ascii="MathJax_Math" w:hAnsi="MathJax_Math"/>
          <w:i/>
          <w:iCs/>
          <w:color w:val="333333"/>
          <w:sz w:val="13"/>
          <w:szCs w:val="13"/>
        </w:rPr>
        <w:t>β</w:t>
      </w:r>
      <w:r>
        <w:rPr>
          <w:rStyle w:val="mo"/>
          <w:rFonts w:ascii="MathJax_Main" w:hAnsi="MathJax_Main"/>
          <w:color w:val="333333"/>
          <w:sz w:val="17"/>
          <w:szCs w:val="17"/>
        </w:rPr>
        <w:t>ˆ</w:t>
      </w:r>
      <w:r>
        <w:rPr>
          <w:rStyle w:val="mn"/>
          <w:rFonts w:ascii="MathJax_Main" w:hAnsi="MathJax_Main"/>
          <w:color w:val="333333"/>
          <w:sz w:val="12"/>
          <w:szCs w:val="12"/>
        </w:rPr>
        <w:t>1</w:t>
      </w:r>
      <w:r>
        <w:rPr>
          <w:rStyle w:val="apple-converted-space"/>
          <w:rFonts w:ascii="Calibri" w:hAnsi="Calibri"/>
          <w:color w:val="333333"/>
          <w:sz w:val="20"/>
          <w:szCs w:val="20"/>
        </w:rPr>
        <w:t> </w:t>
      </w:r>
      <w:r>
        <w:rPr>
          <w:rFonts w:ascii="Calibri" w:hAnsi="Calibri"/>
          <w:color w:val="333333"/>
          <w:sz w:val="20"/>
          <w:szCs w:val="20"/>
        </w:rPr>
        <w:t>of regression line in the context of problem.</w:t>
      </w:r>
    </w:p>
    <w:p w:rsidR="00AD77BB" w:rsidRDefault="00B45BA0">
      <w:pPr>
        <w:pStyle w:val="ListParagraph"/>
        <w:numPr>
          <w:ilvl w:val="1"/>
          <w:numId w:val="27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 xml:space="preserve"> Compute</w:t>
      </w:r>
      <w:r>
        <w:rPr>
          <w:rStyle w:val="apple-converted-space"/>
          <w:rFonts w:ascii="Calibri" w:hAnsi="Calibri"/>
          <w:color w:val="333333"/>
          <w:sz w:val="20"/>
          <w:szCs w:val="20"/>
        </w:rPr>
        <w:t> </w:t>
      </w:r>
      <w:r>
        <w:rPr>
          <w:rStyle w:val="mi"/>
          <w:rFonts w:ascii="MathJax_Math" w:hAnsi="MathJax_Math"/>
          <w:i/>
          <w:iCs/>
          <w:color w:val="333333"/>
          <w:sz w:val="17"/>
          <w:szCs w:val="17"/>
        </w:rPr>
        <w:t>SSE</w:t>
      </w:r>
      <w:r>
        <w:rPr>
          <w:rFonts w:ascii="Calibri" w:hAnsi="Calibri"/>
          <w:color w:val="333333"/>
          <w:sz w:val="20"/>
          <w:szCs w:val="20"/>
        </w:rPr>
        <w:t>, the measure of the goodness of fit of the regression line to the sample data.</w:t>
      </w:r>
    </w:p>
    <w:p w:rsidR="00AD77BB" w:rsidRDefault="00B45BA0">
      <w:pPr>
        <w:numPr>
          <w:ilvl w:val="1"/>
          <w:numId w:val="27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GPA of a student whose SAT score is 1350.</w:t>
      </w:r>
    </w:p>
    <w:p w:rsidR="00AD77BB" w:rsidRDefault="00B45BA0">
      <w:pPr>
        <w:pStyle w:val="para"/>
        <w:numPr>
          <w:ilvl w:val="0"/>
          <w:numId w:val="27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Large Data Set 12 lists the golf scores on one round of golf for 75 golfers first using their own original clubs, then using clubs of a new, experimental design (after two months of familiarization with the new clubs).</w:t>
      </w:r>
    </w:p>
    <w:p w:rsidR="00AD77BB" w:rsidRDefault="00B45BA0">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2689C6"/>
          <w:sz w:val="20"/>
          <w:szCs w:val="20"/>
        </w:rPr>
        <w:t>http://www.12.xls</w:t>
      </w:r>
    </w:p>
    <w:p w:rsidR="00AD77BB" w:rsidRDefault="00AD77BB">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p>
    <w:p w:rsidR="00AD77BB" w:rsidRDefault="00B45BA0">
      <w:pPr>
        <w:numPr>
          <w:ilvl w:val="1"/>
          <w:numId w:val="27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lastRenderedPageBreak/>
        <w:t>Compute the least squares regression line with scores using the original clubs as the independent variable (</w:t>
      </w:r>
      <w:r>
        <w:rPr>
          <w:rStyle w:val="Emphasis"/>
          <w:rFonts w:ascii="Calibri" w:hAnsi="Calibri"/>
          <w:color w:val="333333"/>
          <w:sz w:val="20"/>
          <w:szCs w:val="20"/>
        </w:rPr>
        <w:t>x</w:t>
      </w:r>
      <w:r>
        <w:rPr>
          <w:rFonts w:ascii="Calibri" w:hAnsi="Calibri"/>
          <w:color w:val="333333"/>
          <w:sz w:val="20"/>
          <w:szCs w:val="20"/>
        </w:rPr>
        <w:t>) and scores using the new clubs as the dependent variable (</w:t>
      </w:r>
      <w:r>
        <w:rPr>
          <w:rStyle w:val="Emphasis"/>
          <w:rFonts w:ascii="Calibri" w:hAnsi="Calibri"/>
          <w:color w:val="333333"/>
          <w:sz w:val="20"/>
          <w:szCs w:val="20"/>
        </w:rPr>
        <w:t>y</w:t>
      </w:r>
      <w:r>
        <w:rPr>
          <w:rFonts w:ascii="Calibri" w:hAnsi="Calibri"/>
          <w:color w:val="333333"/>
          <w:sz w:val="20"/>
          <w:szCs w:val="20"/>
        </w:rPr>
        <w:t>).</w:t>
      </w:r>
    </w:p>
    <w:p w:rsidR="00AD77BB" w:rsidRDefault="00B45BA0">
      <w:pPr>
        <w:numPr>
          <w:ilvl w:val="1"/>
          <w:numId w:val="27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Interpret the meaning of the slope</w:t>
      </w:r>
      <w:r>
        <w:rPr>
          <w:rStyle w:val="apple-converted-space"/>
          <w:rFonts w:ascii="Calibri" w:hAnsi="Calibri"/>
          <w:color w:val="333333"/>
          <w:sz w:val="20"/>
          <w:szCs w:val="20"/>
        </w:rPr>
        <w:t> </w:t>
      </w:r>
      <w:r>
        <w:rPr>
          <w:rStyle w:val="mi"/>
          <w:rFonts w:ascii="MathJax_Math" w:hAnsi="MathJax_Math"/>
          <w:i/>
          <w:iCs/>
          <w:color w:val="333333"/>
          <w:sz w:val="13"/>
          <w:szCs w:val="13"/>
        </w:rPr>
        <w:t>β</w:t>
      </w:r>
      <w:r>
        <w:rPr>
          <w:rStyle w:val="mo"/>
          <w:rFonts w:ascii="MathJax_Main" w:hAnsi="MathJax_Main"/>
          <w:color w:val="333333"/>
          <w:sz w:val="17"/>
          <w:szCs w:val="17"/>
        </w:rPr>
        <w:t>ˆ</w:t>
      </w:r>
      <w:r>
        <w:rPr>
          <w:rStyle w:val="mn"/>
          <w:rFonts w:ascii="MathJax_Main" w:hAnsi="MathJax_Main"/>
          <w:color w:val="333333"/>
          <w:sz w:val="12"/>
          <w:szCs w:val="12"/>
        </w:rPr>
        <w:t>1</w:t>
      </w:r>
      <w:r>
        <w:rPr>
          <w:rStyle w:val="apple-converted-space"/>
          <w:rFonts w:ascii="Calibri" w:hAnsi="Calibri"/>
          <w:color w:val="333333"/>
          <w:sz w:val="20"/>
          <w:szCs w:val="20"/>
        </w:rPr>
        <w:t> </w:t>
      </w:r>
      <w:r>
        <w:rPr>
          <w:rFonts w:ascii="Calibri" w:hAnsi="Calibri"/>
          <w:color w:val="333333"/>
          <w:sz w:val="20"/>
          <w:szCs w:val="20"/>
        </w:rPr>
        <w:t>of regression line in the context of problem.</w:t>
      </w:r>
    </w:p>
    <w:p w:rsidR="00AD77BB" w:rsidRDefault="00B45BA0">
      <w:pPr>
        <w:numPr>
          <w:ilvl w:val="1"/>
          <w:numId w:val="27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w:t>
      </w:r>
      <w:r>
        <w:rPr>
          <w:rStyle w:val="apple-converted-space"/>
          <w:rFonts w:ascii="Calibri" w:hAnsi="Calibri"/>
          <w:color w:val="333333"/>
          <w:sz w:val="20"/>
          <w:szCs w:val="20"/>
        </w:rPr>
        <w:t> </w:t>
      </w:r>
      <w:r>
        <w:rPr>
          <w:rStyle w:val="mi"/>
          <w:rFonts w:ascii="MathJax_Math" w:hAnsi="MathJax_Math"/>
          <w:i/>
          <w:iCs/>
          <w:color w:val="333333"/>
          <w:sz w:val="17"/>
          <w:szCs w:val="17"/>
        </w:rPr>
        <w:t>SSE</w:t>
      </w:r>
      <w:r>
        <w:rPr>
          <w:rFonts w:ascii="Calibri" w:hAnsi="Calibri"/>
          <w:color w:val="333333"/>
          <w:sz w:val="20"/>
          <w:szCs w:val="20"/>
        </w:rPr>
        <w:t>, the measure of the goodness of fit of the regression line to the sample data.</w:t>
      </w:r>
    </w:p>
    <w:p w:rsidR="00AD77BB" w:rsidRDefault="00B45BA0">
      <w:pPr>
        <w:numPr>
          <w:ilvl w:val="1"/>
          <w:numId w:val="27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score with the new clubs of a golfer whose score with the old clubs is 73.</w:t>
      </w:r>
    </w:p>
    <w:p w:rsidR="00AD77BB" w:rsidRDefault="00B45BA0">
      <w:pPr>
        <w:pStyle w:val="para"/>
        <w:numPr>
          <w:ilvl w:val="0"/>
          <w:numId w:val="27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Large Data Set 13 records the number of bidders and sales price of a particular type of antique grandfather clock at 60 auctions.</w:t>
      </w:r>
    </w:p>
    <w:p w:rsidR="00AD77BB" w:rsidRDefault="00B45BA0">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2689C6"/>
          <w:sz w:val="20"/>
          <w:szCs w:val="20"/>
        </w:rPr>
        <w:t>http://www.13.xls</w:t>
      </w:r>
    </w:p>
    <w:p w:rsidR="00AD77BB" w:rsidRDefault="00AD77BB">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p>
    <w:p w:rsidR="00AD77BB" w:rsidRDefault="00B45BA0">
      <w:pPr>
        <w:numPr>
          <w:ilvl w:val="1"/>
          <w:numId w:val="27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 the least squares regression line with the number of bidders present at the auction as the independent variable (</w:t>
      </w:r>
      <w:r>
        <w:rPr>
          <w:rStyle w:val="Emphasis"/>
          <w:rFonts w:ascii="Calibri" w:hAnsi="Calibri"/>
          <w:color w:val="333333"/>
          <w:sz w:val="20"/>
          <w:szCs w:val="20"/>
        </w:rPr>
        <w:t>x</w:t>
      </w:r>
      <w:r>
        <w:rPr>
          <w:rFonts w:ascii="Calibri" w:hAnsi="Calibri"/>
          <w:color w:val="333333"/>
          <w:sz w:val="20"/>
          <w:szCs w:val="20"/>
        </w:rPr>
        <w:t>) and sales price as the dependent variable (</w:t>
      </w:r>
      <w:r>
        <w:rPr>
          <w:rStyle w:val="Emphasis"/>
          <w:rFonts w:ascii="Calibri" w:hAnsi="Calibri"/>
          <w:color w:val="333333"/>
          <w:sz w:val="20"/>
          <w:szCs w:val="20"/>
        </w:rPr>
        <w:t>y</w:t>
      </w:r>
      <w:r>
        <w:rPr>
          <w:rFonts w:ascii="Calibri" w:hAnsi="Calibri"/>
          <w:color w:val="333333"/>
          <w:sz w:val="20"/>
          <w:szCs w:val="20"/>
        </w:rPr>
        <w:t>).</w:t>
      </w:r>
    </w:p>
    <w:p w:rsidR="00AD77BB" w:rsidRDefault="00B45BA0">
      <w:pPr>
        <w:numPr>
          <w:ilvl w:val="1"/>
          <w:numId w:val="27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Interpret the meaning of the slope</w:t>
      </w:r>
      <w:r>
        <w:rPr>
          <w:rStyle w:val="apple-converted-space"/>
          <w:rFonts w:ascii="Calibri" w:hAnsi="Calibri"/>
          <w:color w:val="333333"/>
          <w:sz w:val="20"/>
          <w:szCs w:val="20"/>
        </w:rPr>
        <w:t> </w:t>
      </w:r>
      <w:r>
        <w:rPr>
          <w:rStyle w:val="mi"/>
          <w:rFonts w:ascii="MathJax_Math" w:hAnsi="MathJax_Math"/>
          <w:i/>
          <w:iCs/>
          <w:color w:val="333333"/>
          <w:sz w:val="13"/>
          <w:szCs w:val="13"/>
        </w:rPr>
        <w:t>β</w:t>
      </w:r>
      <w:r>
        <w:rPr>
          <w:rStyle w:val="mo"/>
          <w:rFonts w:ascii="MathJax_Main" w:hAnsi="MathJax_Main"/>
          <w:color w:val="333333"/>
          <w:sz w:val="17"/>
          <w:szCs w:val="17"/>
        </w:rPr>
        <w:t>ˆ</w:t>
      </w:r>
      <w:r>
        <w:rPr>
          <w:rStyle w:val="mn"/>
          <w:rFonts w:ascii="MathJax_Main" w:hAnsi="MathJax_Main"/>
          <w:color w:val="333333"/>
          <w:sz w:val="12"/>
          <w:szCs w:val="12"/>
        </w:rPr>
        <w:t>1</w:t>
      </w:r>
      <w:r>
        <w:rPr>
          <w:rStyle w:val="apple-converted-space"/>
          <w:rFonts w:ascii="Calibri" w:hAnsi="Calibri"/>
          <w:color w:val="333333"/>
          <w:sz w:val="20"/>
          <w:szCs w:val="20"/>
        </w:rPr>
        <w:t> </w:t>
      </w:r>
      <w:r>
        <w:rPr>
          <w:rFonts w:ascii="Calibri" w:hAnsi="Calibri"/>
          <w:color w:val="333333"/>
          <w:sz w:val="20"/>
          <w:szCs w:val="20"/>
        </w:rPr>
        <w:t>of regression line in the context of problem.</w:t>
      </w:r>
    </w:p>
    <w:p w:rsidR="00AD77BB" w:rsidRDefault="00B45BA0">
      <w:pPr>
        <w:numPr>
          <w:ilvl w:val="1"/>
          <w:numId w:val="27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Compute</w:t>
      </w:r>
      <w:r>
        <w:rPr>
          <w:rStyle w:val="apple-converted-space"/>
          <w:rFonts w:ascii="Calibri" w:hAnsi="Calibri"/>
          <w:color w:val="333333"/>
          <w:sz w:val="20"/>
          <w:szCs w:val="20"/>
        </w:rPr>
        <w:t> </w:t>
      </w:r>
      <w:r>
        <w:rPr>
          <w:rStyle w:val="mi"/>
          <w:rFonts w:ascii="MathJax_Math" w:hAnsi="MathJax_Math"/>
          <w:i/>
          <w:iCs/>
          <w:color w:val="333333"/>
          <w:sz w:val="17"/>
          <w:szCs w:val="17"/>
        </w:rPr>
        <w:t>SSE</w:t>
      </w:r>
      <w:r>
        <w:rPr>
          <w:rFonts w:ascii="Calibri" w:hAnsi="Calibri"/>
          <w:color w:val="333333"/>
          <w:sz w:val="20"/>
          <w:szCs w:val="20"/>
        </w:rPr>
        <w:t>, the measure of the goodness of fit of the regression line to the sample data.</w:t>
      </w:r>
    </w:p>
    <w:p w:rsidR="00AD77BB" w:rsidRDefault="00B45BA0">
      <w:pPr>
        <w:numPr>
          <w:ilvl w:val="1"/>
          <w:numId w:val="278"/>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Estimate the sales price of a clock at an auction at which the number of bidders is seven.</w:t>
      </w:r>
    </w:p>
    <w:p w:rsidR="00AD77BB" w:rsidRDefault="00B45BA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drawing>
          <wp:inline distT="0" distB="0" distL="0" distR="0" wp14:anchorId="39568029" wp14:editId="467F6DA6">
            <wp:extent cx="4838700" cy="4667250"/>
            <wp:effectExtent l="0" t="0" r="0" b="0"/>
            <wp:docPr id="403"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838700" cy="466725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219E6175" wp14:editId="540D8B69">
            <wp:extent cx="4905375" cy="3581400"/>
            <wp:effectExtent l="0" t="0" r="9525" b="0"/>
            <wp:docPr id="404"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905375" cy="3581400"/>
                    </a:xfrm>
                    <a:prstGeom prst="rect">
                      <a:avLst/>
                    </a:prstGeom>
                    <a:noFill/>
                    <a:ln>
                      <a:noFill/>
                    </a:ln>
                  </pic:spPr>
                </pic:pic>
              </a:graphicData>
            </a:graphic>
          </wp:inline>
        </w:drawing>
      </w:r>
    </w:p>
    <w:p w:rsidR="00AD77BB" w:rsidRDefault="00B45BA0">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t>10.5</w:t>
      </w:r>
      <w:r>
        <w:rPr>
          <w:rFonts w:ascii="Calibri" w:eastAsia="Times New Roman" w:hAnsi="Calibri" w:cs="Times New Roman"/>
          <w:b/>
          <w:bCs/>
          <w:color w:val="333333"/>
          <w:sz w:val="36"/>
          <w:szCs w:val="36"/>
        </w:rPr>
        <w:t> Statistical Inferences About </w:t>
      </w:r>
      <w:r>
        <w:rPr>
          <w:rFonts w:ascii="Calibri" w:eastAsia="Times New Roman" w:hAnsi="Calibri" w:cs="Times New Roman"/>
          <w:b/>
          <w:bCs/>
          <w:i/>
          <w:iCs/>
          <w:color w:val="333333"/>
          <w:sz w:val="35"/>
          <w:szCs w:val="35"/>
        </w:rPr>
        <w:t>β</w:t>
      </w:r>
      <w:r>
        <w:rPr>
          <w:rFonts w:ascii="Calibri" w:eastAsia="Times New Roman" w:hAnsi="Calibri" w:cs="Times New Roman"/>
          <w:b/>
          <w:bCs/>
          <w:color w:val="333333"/>
          <w:sz w:val="27"/>
          <w:szCs w:val="27"/>
          <w:vertAlign w:val="subscript"/>
        </w:rPr>
        <w:t>1</w:t>
      </w:r>
    </w:p>
    <w:p w:rsidR="00AD77BB" w:rsidRDefault="00B45BA0">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AD77BB" w:rsidRDefault="00B45BA0">
      <w:pPr>
        <w:numPr>
          <w:ilvl w:val="0"/>
          <w:numId w:val="279"/>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how to construct a confidence interval for </w:t>
      </w:r>
      <w:r>
        <w:rPr>
          <w:rFonts w:ascii="MathJax_Math" w:eastAsia="Times New Roman" w:hAnsi="MathJax_Math" w:cs="Times New Roman"/>
          <w:i/>
          <w:iCs/>
          <w:color w:val="333333"/>
          <w:sz w:val="15"/>
          <w:szCs w:val="15"/>
        </w:rPr>
        <w:t>β</w:t>
      </w:r>
      <w:r>
        <w:rPr>
          <w:rFonts w:ascii="MathJax_Main" w:eastAsia="Times New Roman" w:hAnsi="MathJax_Main" w:cs="Times New Roman"/>
          <w:color w:val="333333"/>
          <w:sz w:val="12"/>
          <w:szCs w:val="12"/>
        </w:rPr>
        <w:t>1</w:t>
      </w:r>
      <w:r>
        <w:rPr>
          <w:rFonts w:ascii="Calibri" w:eastAsia="Times New Roman" w:hAnsi="Calibri" w:cs="Times New Roman"/>
          <w:color w:val="333333"/>
          <w:sz w:val="20"/>
          <w:szCs w:val="20"/>
        </w:rPr>
        <w:t>, the slope of the population regression line.</w:t>
      </w:r>
    </w:p>
    <w:p w:rsidR="00AD77BB" w:rsidRDefault="00B45BA0">
      <w:pPr>
        <w:numPr>
          <w:ilvl w:val="0"/>
          <w:numId w:val="279"/>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learn how to test hypotheses regarding </w:t>
      </w:r>
      <w:r>
        <w:rPr>
          <w:rFonts w:ascii="MathJax_Math" w:eastAsia="Times New Roman" w:hAnsi="MathJax_Math" w:cs="Times New Roman"/>
          <w:i/>
          <w:iCs/>
          <w:color w:val="333333"/>
          <w:sz w:val="15"/>
          <w:szCs w:val="15"/>
        </w:rPr>
        <w:t>β</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parameter </w:t>
      </w:r>
      <w:r>
        <w:rPr>
          <w:rFonts w:ascii="MathJax_Math" w:eastAsia="Times New Roman" w:hAnsi="MathJax_Math" w:cs="Times New Roman"/>
          <w:i/>
          <w:iCs/>
          <w:color w:val="333333"/>
          <w:sz w:val="18"/>
          <w:szCs w:val="18"/>
        </w:rPr>
        <w:t>β</w:t>
      </w:r>
      <w:r>
        <w:rPr>
          <w:rFonts w:ascii="MathJax_Main" w:eastAsia="Times New Roman" w:hAnsi="MathJax_Main" w:cs="Times New Roman"/>
          <w:color w:val="333333"/>
          <w:sz w:val="14"/>
          <w:szCs w:val="14"/>
        </w:rPr>
        <w:t>1</w:t>
      </w:r>
      <w:r>
        <w:rPr>
          <w:rFonts w:ascii="Georgia" w:eastAsia="Times New Roman" w:hAnsi="Georgia" w:cs="Times New Roman"/>
          <w:color w:val="333333"/>
          <w:sz w:val="21"/>
          <w:szCs w:val="21"/>
        </w:rPr>
        <w:t>, the slope of the population regression line, is of primary importance in regression analysis because it gives the true rate of change in the mean </w:t>
      </w:r>
      <w:r>
        <w:rPr>
          <w:rFonts w:ascii="MathJax_Math" w:eastAsia="Times New Roman" w:hAnsi="MathJax_Math" w:cs="Times New Roman"/>
          <w:i/>
          <w:iCs/>
          <w:color w:val="333333"/>
          <w:sz w:val="18"/>
          <w:szCs w:val="18"/>
        </w:rPr>
        <w:t>E</w:t>
      </w:r>
      <w:r>
        <w:rPr>
          <w:rFonts w:ascii="MathJax_Main" w:eastAsia="Times New Roman" w:hAnsi="MathJax_Main" w:cs="Times New Roman"/>
          <w:color w:val="333333"/>
          <w:sz w:val="18"/>
          <w:szCs w:val="18"/>
        </w:rPr>
        <w:t>(</w:t>
      </w:r>
      <w:r>
        <w:rPr>
          <w:rFonts w:ascii="MathJax_Math" w:eastAsia="Times New Roman" w:hAnsi="MathJax_Math" w:cs="Times New Roman"/>
          <w:i/>
          <w:iCs/>
          <w:color w:val="333333"/>
          <w:sz w:val="18"/>
          <w:szCs w:val="18"/>
        </w:rPr>
        <w:t>y</w:t>
      </w:r>
      <w:r>
        <w:rPr>
          <w:rFonts w:ascii="MathJax_Main" w:eastAsia="Times New Roman" w:hAnsi="MathJax_Main" w:cs="Times New Roman"/>
          <w:color w:val="333333"/>
          <w:sz w:val="18"/>
          <w:szCs w:val="18"/>
        </w:rPr>
        <w:t>)</w:t>
      </w:r>
      <w:r>
        <w:rPr>
          <w:rFonts w:ascii="Georgia" w:eastAsia="Times New Roman" w:hAnsi="Georgia" w:cs="Times New Roman"/>
          <w:color w:val="333333"/>
          <w:sz w:val="21"/>
          <w:szCs w:val="21"/>
        </w:rPr>
        <w:t> in response to a unit increase in the predictor variable </w:t>
      </w:r>
      <w:r>
        <w:rPr>
          <w:rFonts w:ascii="Georgia" w:eastAsia="Times New Roman" w:hAnsi="Georgia" w:cs="Times New Roman"/>
          <w:i/>
          <w:iCs/>
          <w:color w:val="333333"/>
          <w:sz w:val="20"/>
          <w:szCs w:val="20"/>
        </w:rPr>
        <w:t>x</w:t>
      </w:r>
      <w:r>
        <w:rPr>
          <w:rFonts w:ascii="Georgia" w:eastAsia="Times New Roman" w:hAnsi="Georgia" w:cs="Times New Roman"/>
          <w:color w:val="333333"/>
          <w:sz w:val="21"/>
          <w:szCs w:val="21"/>
        </w:rPr>
        <w:t>. For every unit increase in </w:t>
      </w:r>
      <w:r>
        <w:rPr>
          <w:rFonts w:ascii="Georgia" w:eastAsia="Times New Roman" w:hAnsi="Georgia" w:cs="Times New Roman"/>
          <w:i/>
          <w:iCs/>
          <w:color w:val="333333"/>
          <w:sz w:val="20"/>
          <w:szCs w:val="20"/>
        </w:rPr>
        <w:t>x</w:t>
      </w:r>
      <w:r>
        <w:rPr>
          <w:rFonts w:ascii="Georgia" w:eastAsia="Times New Roman" w:hAnsi="Georgia" w:cs="Times New Roman"/>
          <w:color w:val="333333"/>
          <w:sz w:val="21"/>
          <w:szCs w:val="21"/>
        </w:rPr>
        <w:t> the mean of the response variable </w:t>
      </w:r>
      <w:r>
        <w:rPr>
          <w:rFonts w:ascii="Georgia" w:eastAsia="Times New Roman" w:hAnsi="Georgia" w:cs="Times New Roman"/>
          <w:i/>
          <w:iCs/>
          <w:color w:val="333333"/>
          <w:sz w:val="20"/>
          <w:szCs w:val="20"/>
        </w:rPr>
        <w:t>y</w:t>
      </w:r>
      <w:r>
        <w:rPr>
          <w:rFonts w:ascii="Georgia" w:eastAsia="Times New Roman" w:hAnsi="Georgia" w:cs="Times New Roman"/>
          <w:color w:val="333333"/>
          <w:sz w:val="21"/>
          <w:szCs w:val="21"/>
        </w:rPr>
        <w:t> changes by </w:t>
      </w:r>
      <w:r>
        <w:rPr>
          <w:rFonts w:ascii="MathJax_Math" w:eastAsia="Times New Roman" w:hAnsi="MathJax_Math" w:cs="Times New Roman"/>
          <w:i/>
          <w:iCs/>
          <w:color w:val="333333"/>
          <w:sz w:val="18"/>
          <w:szCs w:val="18"/>
        </w:rPr>
        <w:t>β</w:t>
      </w:r>
      <w:r>
        <w:rPr>
          <w:rFonts w:ascii="MathJax_Main" w:eastAsia="Times New Roman" w:hAnsi="MathJax_Main" w:cs="Times New Roman"/>
          <w:color w:val="333333"/>
          <w:sz w:val="14"/>
          <w:szCs w:val="14"/>
        </w:rPr>
        <w:t>1</w:t>
      </w:r>
      <w:r>
        <w:rPr>
          <w:rFonts w:ascii="Georgia" w:eastAsia="Times New Roman" w:hAnsi="Georgia" w:cs="Times New Roman"/>
          <w:color w:val="333333"/>
          <w:sz w:val="21"/>
          <w:szCs w:val="21"/>
        </w:rPr>
        <w:t> units, increasing if </w:t>
      </w:r>
      <w:r>
        <w:rPr>
          <w:rFonts w:ascii="MathJax_Math" w:eastAsia="Times New Roman" w:hAnsi="MathJax_Math" w:cs="Times New Roman"/>
          <w:i/>
          <w:iCs/>
          <w:color w:val="333333"/>
          <w:sz w:val="18"/>
          <w:szCs w:val="18"/>
        </w:rPr>
        <w:t>β</w:t>
      </w:r>
      <w:r>
        <w:rPr>
          <w:rFonts w:ascii="MathJax_Main" w:eastAsia="Times New Roman" w:hAnsi="MathJax_Main" w:cs="Times New Roman"/>
          <w:color w:val="333333"/>
          <w:sz w:val="14"/>
          <w:szCs w:val="14"/>
        </w:rPr>
        <w:t>1</w:t>
      </w:r>
      <w:r>
        <w:rPr>
          <w:rFonts w:ascii="MathJax_Main" w:eastAsia="Times New Roman" w:hAnsi="MathJax_Main" w:cs="Times New Roman"/>
          <w:color w:val="333333"/>
          <w:sz w:val="18"/>
          <w:szCs w:val="18"/>
        </w:rPr>
        <w:t>&gt;0</w:t>
      </w:r>
      <w:r>
        <w:rPr>
          <w:rFonts w:ascii="Georgia" w:eastAsia="Times New Roman" w:hAnsi="Georgia" w:cs="Times New Roman"/>
          <w:color w:val="333333"/>
          <w:sz w:val="21"/>
          <w:szCs w:val="21"/>
        </w:rPr>
        <w:t> and decreasing if </w:t>
      </w:r>
      <w:r>
        <w:rPr>
          <w:rFonts w:ascii="MathJax_Math" w:eastAsia="Times New Roman" w:hAnsi="MathJax_Math" w:cs="Times New Roman"/>
          <w:i/>
          <w:iCs/>
          <w:color w:val="333333"/>
          <w:sz w:val="18"/>
          <w:szCs w:val="18"/>
        </w:rPr>
        <w:t>β</w:t>
      </w:r>
      <w:r>
        <w:rPr>
          <w:rFonts w:ascii="MathJax_Main" w:eastAsia="Times New Roman" w:hAnsi="MathJax_Main" w:cs="Times New Roman"/>
          <w:color w:val="333333"/>
          <w:sz w:val="14"/>
          <w:szCs w:val="14"/>
        </w:rPr>
        <w:t>1</w:t>
      </w:r>
      <w:r>
        <w:rPr>
          <w:rFonts w:ascii="MathJax_Main" w:eastAsia="Times New Roman" w:hAnsi="MathJax_Main" w:cs="Times New Roman"/>
          <w:color w:val="333333"/>
          <w:sz w:val="18"/>
          <w:szCs w:val="18"/>
        </w:rPr>
        <w:t>&lt;0.</w:t>
      </w:r>
      <w:r>
        <w:rPr>
          <w:rFonts w:ascii="Georgia" w:eastAsia="Times New Roman" w:hAnsi="Georgia" w:cs="Times New Roman"/>
          <w:color w:val="333333"/>
          <w:sz w:val="21"/>
          <w:szCs w:val="21"/>
        </w:rPr>
        <w:t> We wish to construct confidence intervals for </w:t>
      </w:r>
      <w:r>
        <w:rPr>
          <w:rFonts w:ascii="MathJax_Math" w:eastAsia="Times New Roman" w:hAnsi="MathJax_Math" w:cs="Times New Roman"/>
          <w:i/>
          <w:iCs/>
          <w:color w:val="333333"/>
          <w:sz w:val="18"/>
          <w:szCs w:val="18"/>
        </w:rPr>
        <w:t>β</w:t>
      </w:r>
      <w:r>
        <w:rPr>
          <w:rFonts w:ascii="MathJax_Main" w:eastAsia="Times New Roman" w:hAnsi="MathJax_Main" w:cs="Times New Roman"/>
          <w:color w:val="333333"/>
          <w:sz w:val="14"/>
          <w:szCs w:val="14"/>
        </w:rPr>
        <w:t>1</w:t>
      </w:r>
      <w:r>
        <w:rPr>
          <w:rFonts w:ascii="Georgia" w:eastAsia="Times New Roman" w:hAnsi="Georgia" w:cs="Times New Roman"/>
          <w:color w:val="333333"/>
          <w:sz w:val="21"/>
          <w:szCs w:val="21"/>
        </w:rPr>
        <w:t> and test hypotheses about it.</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Confidence Intervals for </w:t>
      </w:r>
      <w:r>
        <w:rPr>
          <w:rFonts w:ascii="Calibri" w:eastAsia="Times New Roman" w:hAnsi="Calibri" w:cs="Times New Roman"/>
          <w:b/>
          <w:bCs/>
          <w:i/>
          <w:iCs/>
          <w:color w:val="333333"/>
          <w:sz w:val="27"/>
          <w:szCs w:val="27"/>
        </w:rPr>
        <w:t>β</w:t>
      </w:r>
      <w:r>
        <w:rPr>
          <w:rFonts w:ascii="Calibri" w:eastAsia="Times New Roman" w:hAnsi="Calibri" w:cs="Times New Roman"/>
          <w:b/>
          <w:bCs/>
          <w:color w:val="333333"/>
          <w:sz w:val="24"/>
          <w:szCs w:val="24"/>
          <w:vertAlign w:val="subscript"/>
        </w:rPr>
        <w:t>1</w:t>
      </w:r>
    </w:p>
    <w:p w:rsidR="00AD77BB" w:rsidRDefault="00B45BA0">
      <w:pPr>
        <w:shd w:val="clear" w:color="auto" w:fill="FFFFFF"/>
        <w:spacing w:after="0" w:line="360" w:lineRule="auto"/>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slope </w:t>
      </w:r>
      <w:r>
        <w:rPr>
          <w:rFonts w:ascii="MathJax_Math" w:eastAsia="Times New Roman" w:hAnsi="MathJax_Math" w:cs="Times New Roman"/>
          <w:i/>
          <w:iCs/>
          <w:color w:val="333333"/>
          <w:sz w:val="14"/>
          <w:szCs w:val="14"/>
        </w:rPr>
        <w:t>β</w:t>
      </w:r>
      <w:r>
        <w:rPr>
          <w:rFonts w:ascii="MathJax_Main" w:eastAsia="Times New Roman" w:hAnsi="MathJax_Main" w:cs="Times New Roman"/>
          <w:color w:val="333333"/>
          <w:sz w:val="18"/>
          <w:szCs w:val="18"/>
        </w:rPr>
        <w:t>ˆ</w:t>
      </w:r>
      <w:r>
        <w:rPr>
          <w:rFonts w:ascii="MathJax_Main" w:eastAsia="Times New Roman" w:hAnsi="MathJax_Main" w:cs="Times New Roman"/>
          <w:color w:val="333333"/>
          <w:sz w:val="14"/>
          <w:szCs w:val="14"/>
        </w:rPr>
        <w:t>1</w:t>
      </w:r>
      <w:r>
        <w:rPr>
          <w:rFonts w:ascii="Georgia" w:eastAsia="Times New Roman" w:hAnsi="Georgia" w:cs="Times New Roman"/>
          <w:color w:val="333333"/>
          <w:sz w:val="20"/>
          <w:szCs w:val="20"/>
        </w:rPr>
        <w:t> of the least squares regression line is a point estimate of </w:t>
      </w:r>
      <w:r>
        <w:rPr>
          <w:rFonts w:ascii="MathJax_Math" w:eastAsia="Times New Roman" w:hAnsi="MathJax_Math" w:cs="Times New Roman"/>
          <w:i/>
          <w:iCs/>
          <w:color w:val="333333"/>
          <w:sz w:val="18"/>
          <w:szCs w:val="18"/>
        </w:rPr>
        <w:t>β</w:t>
      </w:r>
      <w:r>
        <w:rPr>
          <w:rFonts w:ascii="MathJax_Main" w:eastAsia="Times New Roman" w:hAnsi="MathJax_Main" w:cs="Times New Roman"/>
          <w:color w:val="333333"/>
          <w:sz w:val="14"/>
          <w:szCs w:val="14"/>
        </w:rPr>
        <w:t>1</w:t>
      </w:r>
      <w:r>
        <w:rPr>
          <w:rFonts w:ascii="MathJax_Main" w:eastAsia="Times New Roman" w:hAnsi="MathJax_Main" w:cs="Times New Roman"/>
          <w:color w:val="333333"/>
          <w:sz w:val="18"/>
          <w:szCs w:val="18"/>
        </w:rPr>
        <w:t>.</w:t>
      </w:r>
      <w:r>
        <w:rPr>
          <w:rFonts w:ascii="Georgia" w:eastAsia="Times New Roman" w:hAnsi="Georgia" w:cs="Times New Roman"/>
          <w:color w:val="333333"/>
          <w:sz w:val="20"/>
          <w:szCs w:val="20"/>
        </w:rPr>
        <w:t> A confidence interval for </w:t>
      </w:r>
      <w:r>
        <w:rPr>
          <w:rFonts w:ascii="MathJax_Math" w:eastAsia="Times New Roman" w:hAnsi="MathJax_Math" w:cs="Times New Roman"/>
          <w:i/>
          <w:iCs/>
          <w:color w:val="333333"/>
          <w:sz w:val="18"/>
          <w:szCs w:val="18"/>
        </w:rPr>
        <w:t>β</w:t>
      </w:r>
      <w:r>
        <w:rPr>
          <w:rFonts w:ascii="MathJax_Main" w:eastAsia="Times New Roman" w:hAnsi="MathJax_Main" w:cs="Times New Roman"/>
          <w:color w:val="333333"/>
          <w:sz w:val="14"/>
          <w:szCs w:val="14"/>
        </w:rPr>
        <w:t>1</w:t>
      </w:r>
      <w:r>
        <w:rPr>
          <w:rFonts w:ascii="Georgia" w:eastAsia="Times New Roman" w:hAnsi="Georgia" w:cs="Times New Roman"/>
          <w:color w:val="333333"/>
          <w:sz w:val="20"/>
          <w:szCs w:val="20"/>
        </w:rPr>
        <w:t> is given by the following formula.</w:t>
      </w:r>
    </w:p>
    <w:p w:rsidR="00AD77BB" w:rsidRDefault="00B45BA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26AA270B" wp14:editId="68A89A0D">
            <wp:extent cx="5076825" cy="4295775"/>
            <wp:effectExtent l="0" t="0" r="9525" b="9525"/>
            <wp:docPr id="405"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076825" cy="429577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272AC263" wp14:editId="2E700564">
            <wp:extent cx="4876800" cy="5819775"/>
            <wp:effectExtent l="0" t="0" r="0" b="9525"/>
            <wp:docPr id="406"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876800" cy="581977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1A8B945D" wp14:editId="77C76EC0">
            <wp:extent cx="5010150" cy="6134100"/>
            <wp:effectExtent l="0" t="0" r="0" b="0"/>
            <wp:docPr id="407"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010150" cy="6134100"/>
                    </a:xfrm>
                    <a:prstGeom prst="rect">
                      <a:avLst/>
                    </a:prstGeom>
                    <a:noFill/>
                    <a:ln>
                      <a:noFill/>
                    </a:ln>
                  </pic:spPr>
                </pic:pic>
              </a:graphicData>
            </a:graphic>
          </wp:inline>
        </w:drawing>
      </w:r>
    </w:p>
    <w:p w:rsidR="00AD77BB" w:rsidRDefault="00B45BA0">
      <w:pPr>
        <w:pStyle w:val="para"/>
        <w:shd w:val="clear" w:color="auto" w:fill="E3EFF7"/>
        <w:spacing w:before="150" w:beforeAutospacing="0" w:after="0" w:afterAutospacing="0" w:line="360" w:lineRule="auto"/>
        <w:ind w:left="720" w:right="375"/>
        <w:textAlignment w:val="baseline"/>
        <w:rPr>
          <w:rFonts w:ascii="Calibri" w:hAnsi="Calibri"/>
          <w:color w:val="333333"/>
          <w:sz w:val="20"/>
          <w:szCs w:val="20"/>
        </w:rPr>
      </w:pPr>
      <w:r>
        <w:rPr>
          <w:rFonts w:ascii="Calibri" w:hAnsi="Calibri"/>
          <w:color w:val="333333"/>
          <w:sz w:val="20"/>
          <w:szCs w:val="20"/>
        </w:rPr>
        <w:t>years old we are 90% confident that for each additional year of age the average value of such a vehicle decreases by between $1,100 and $3,000.</w:t>
      </w:r>
    </w:p>
    <w:p w:rsidR="00AD77BB" w:rsidRDefault="00AD77BB">
      <w:pPr>
        <w:pStyle w:val="Heading2"/>
        <w:shd w:val="clear" w:color="auto" w:fill="FFFFFF"/>
        <w:spacing w:before="0" w:line="360" w:lineRule="auto"/>
        <w:textAlignment w:val="baseline"/>
        <w:rPr>
          <w:rFonts w:ascii="Calibri" w:hAnsi="Calibri"/>
          <w:color w:val="333333"/>
          <w:sz w:val="28"/>
          <w:szCs w:val="28"/>
        </w:rPr>
      </w:pPr>
    </w:p>
    <w:p w:rsidR="00AD77BB" w:rsidRDefault="00B45BA0">
      <w:pPr>
        <w:pStyle w:val="Heading2"/>
        <w:shd w:val="clear" w:color="auto" w:fill="FFFFFF"/>
        <w:spacing w:before="0" w:line="360" w:lineRule="auto"/>
        <w:textAlignment w:val="baseline"/>
        <w:rPr>
          <w:rFonts w:ascii="Calibri" w:hAnsi="Calibri"/>
          <w:color w:val="333333"/>
          <w:sz w:val="28"/>
          <w:szCs w:val="28"/>
        </w:rPr>
      </w:pPr>
      <w:r>
        <w:rPr>
          <w:rFonts w:ascii="Calibri" w:hAnsi="Calibri"/>
          <w:color w:val="333333"/>
          <w:sz w:val="28"/>
          <w:szCs w:val="28"/>
        </w:rPr>
        <w:t>Testing Hypotheses About</w:t>
      </w:r>
      <w:r>
        <w:rPr>
          <w:rStyle w:val="apple-converted-space"/>
          <w:rFonts w:ascii="Calibri" w:hAnsi="Calibri"/>
          <w:color w:val="333333"/>
          <w:sz w:val="28"/>
          <w:szCs w:val="28"/>
        </w:rPr>
        <w:t> </w:t>
      </w:r>
      <w:r>
        <w:rPr>
          <w:rStyle w:val="Emphasis"/>
          <w:rFonts w:ascii="Calibri" w:hAnsi="Calibri"/>
          <w:color w:val="333333"/>
          <w:sz w:val="27"/>
          <w:szCs w:val="27"/>
        </w:rPr>
        <w:t>β</w:t>
      </w:r>
      <w:r>
        <w:rPr>
          <w:rFonts w:ascii="Calibri" w:hAnsi="Calibri"/>
          <w:color w:val="333333"/>
          <w:sz w:val="24"/>
          <w:szCs w:val="24"/>
          <w:vertAlign w:val="subscript"/>
        </w:rPr>
        <w:t>1</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Hypotheses regarding</w:t>
      </w:r>
      <w:r>
        <w:rPr>
          <w:rStyle w:val="apple-converted-space"/>
          <w:rFonts w:ascii="Georgia" w:hAnsi="Georgia"/>
          <w:color w:val="333333"/>
          <w:sz w:val="20"/>
          <w:szCs w:val="20"/>
        </w:rPr>
        <w:t> </w:t>
      </w:r>
      <w:r>
        <w:rPr>
          <w:rStyle w:val="mi"/>
          <w:rFonts w:ascii="MathJax_Math" w:hAnsi="MathJax_Math"/>
          <w:i/>
          <w:iCs/>
          <w:color w:val="333333"/>
          <w:sz w:val="18"/>
          <w:szCs w:val="18"/>
        </w:rPr>
        <w:t>β</w:t>
      </w:r>
      <w:r>
        <w:rPr>
          <w:rStyle w:val="mn"/>
          <w:rFonts w:ascii="MathJax_Main" w:hAnsi="MathJax_Main"/>
          <w:color w:val="333333"/>
          <w:sz w:val="14"/>
          <w:szCs w:val="14"/>
        </w:rPr>
        <w:t>1</w:t>
      </w:r>
      <w:r>
        <w:rPr>
          <w:rStyle w:val="apple-converted-space"/>
          <w:rFonts w:ascii="Georgia" w:hAnsi="Georgia"/>
          <w:color w:val="333333"/>
          <w:sz w:val="20"/>
          <w:szCs w:val="20"/>
        </w:rPr>
        <w:t> </w:t>
      </w:r>
      <w:r>
        <w:rPr>
          <w:rFonts w:ascii="Georgia" w:hAnsi="Georgia"/>
          <w:color w:val="333333"/>
          <w:sz w:val="20"/>
          <w:szCs w:val="20"/>
        </w:rPr>
        <w:t>can be tested using the same five-step procedures, either the critical value approach or the</w:t>
      </w:r>
      <w:r>
        <w:rPr>
          <w:rStyle w:val="apple-converted-space"/>
          <w:rFonts w:ascii="Georgia" w:hAnsi="Georgia"/>
          <w:color w:val="333333"/>
          <w:sz w:val="20"/>
          <w:szCs w:val="20"/>
        </w:rPr>
        <w:t> </w:t>
      </w:r>
      <w:r>
        <w:rPr>
          <w:rStyle w:val="Emphasis"/>
          <w:rFonts w:ascii="Georgia" w:hAnsi="Georgia"/>
          <w:color w:val="333333"/>
          <w:sz w:val="20"/>
          <w:szCs w:val="20"/>
        </w:rPr>
        <w:t>p</w:t>
      </w:r>
      <w:r>
        <w:rPr>
          <w:rFonts w:ascii="Georgia" w:hAnsi="Georgia"/>
          <w:color w:val="333333"/>
          <w:sz w:val="20"/>
          <w:szCs w:val="20"/>
        </w:rPr>
        <w:t>-value approach, that were introduced in</w:t>
      </w:r>
      <w:r>
        <w:rPr>
          <w:rStyle w:val="apple-converted-space"/>
          <w:rFonts w:ascii="Georgia" w:hAnsi="Georgia"/>
          <w:color w:val="333333"/>
          <w:sz w:val="20"/>
          <w:szCs w:val="20"/>
        </w:rPr>
        <w:t> </w:t>
      </w:r>
      <w:r>
        <w:rPr>
          <w:rFonts w:ascii="Georgia" w:hAnsi="Georgia"/>
          <w:color w:val="2689C6"/>
          <w:sz w:val="20"/>
          <w:szCs w:val="20"/>
        </w:rPr>
        <w:t>Section 8.1 "The Elements of Hypothesis Testing"</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Fonts w:ascii="Georgia" w:hAnsi="Georgia"/>
          <w:color w:val="2689C6"/>
          <w:sz w:val="20"/>
          <w:szCs w:val="20"/>
        </w:rPr>
        <w:t>Section 8.3 "The Observed Significance of a Test"</w:t>
      </w:r>
      <w:r>
        <w:rPr>
          <w:rStyle w:val="apple-converted-space"/>
          <w:rFonts w:ascii="Georgia" w:hAnsi="Georgia"/>
          <w:color w:val="333333"/>
          <w:sz w:val="20"/>
          <w:szCs w:val="20"/>
        </w:rPr>
        <w:t> </w:t>
      </w:r>
      <w:r>
        <w:rPr>
          <w:rFonts w:ascii="Georgia" w:hAnsi="Georgia"/>
          <w:color w:val="333333"/>
          <w:sz w:val="20"/>
          <w:szCs w:val="20"/>
        </w:rPr>
        <w:t>of</w:t>
      </w:r>
      <w:r>
        <w:rPr>
          <w:rStyle w:val="apple-converted-space"/>
          <w:rFonts w:ascii="Georgia" w:hAnsi="Georgia"/>
          <w:color w:val="333333"/>
          <w:sz w:val="20"/>
          <w:szCs w:val="20"/>
        </w:rPr>
        <w:t> </w:t>
      </w:r>
      <w:r>
        <w:rPr>
          <w:rFonts w:ascii="Georgia" w:hAnsi="Georgia"/>
          <w:color w:val="2689C6"/>
          <w:sz w:val="20"/>
          <w:szCs w:val="20"/>
        </w:rPr>
        <w:t>Chapter 8 "Testing Hypotheses"</w:t>
      </w:r>
      <w:r>
        <w:rPr>
          <w:rFonts w:ascii="Georgia" w:hAnsi="Georgia"/>
          <w:color w:val="333333"/>
          <w:sz w:val="20"/>
          <w:szCs w:val="20"/>
        </w:rPr>
        <w:t xml:space="preserve">. The </w:t>
      </w:r>
      <w:r>
        <w:rPr>
          <w:rFonts w:ascii="Georgia" w:hAnsi="Georgia"/>
          <w:color w:val="333333"/>
          <w:sz w:val="20"/>
          <w:szCs w:val="20"/>
        </w:rPr>
        <w:lastRenderedPageBreak/>
        <w:t>null hypothesis always has the form</w:t>
      </w:r>
      <w:r>
        <w:rPr>
          <w:rStyle w:val="apple-converted-space"/>
          <w:rFonts w:ascii="Georgia" w:hAnsi="Georgia"/>
          <w:color w:val="333333"/>
          <w:sz w:val="20"/>
          <w:szCs w:val="20"/>
        </w:rPr>
        <w:t> </w:t>
      </w:r>
      <w:r>
        <w:rPr>
          <w:rStyle w:val="mi"/>
          <w:rFonts w:ascii="MathJax_Math" w:hAnsi="MathJax_Math"/>
          <w:i/>
          <w:iCs/>
          <w:color w:val="333333"/>
          <w:sz w:val="18"/>
          <w:szCs w:val="18"/>
        </w:rPr>
        <w:t>H</w:t>
      </w:r>
      <w:r>
        <w:rPr>
          <w:rStyle w:val="mn"/>
          <w:rFonts w:ascii="MathJax_Main" w:hAnsi="MathJax_Main"/>
          <w:color w:val="333333"/>
          <w:sz w:val="14"/>
          <w:szCs w:val="14"/>
        </w:rPr>
        <w:t>0</w:t>
      </w:r>
      <w:r>
        <w:rPr>
          <w:rStyle w:val="mo"/>
          <w:rFonts w:ascii="MathJax_Main" w:hAnsi="MathJax_Main"/>
          <w:color w:val="333333"/>
          <w:sz w:val="18"/>
          <w:szCs w:val="18"/>
        </w:rPr>
        <w:t>:</w:t>
      </w:r>
      <w:r>
        <w:rPr>
          <w:rStyle w:val="mi"/>
          <w:rFonts w:ascii="MathJax_Math" w:hAnsi="MathJax_Math"/>
          <w:i/>
          <w:iCs/>
          <w:color w:val="333333"/>
          <w:sz w:val="18"/>
          <w:szCs w:val="18"/>
        </w:rPr>
        <w:t>β</w:t>
      </w:r>
      <w:r>
        <w:rPr>
          <w:rStyle w:val="mn"/>
          <w:rFonts w:ascii="MathJax_Main" w:hAnsi="MathJax_Main"/>
          <w:color w:val="333333"/>
          <w:sz w:val="14"/>
          <w:szCs w:val="14"/>
        </w:rPr>
        <w:t>1</w:t>
      </w:r>
      <w:r>
        <w:rPr>
          <w:rStyle w:val="mo"/>
          <w:rFonts w:ascii="MathJax_Main" w:hAnsi="MathJax_Main"/>
          <w:color w:val="333333"/>
          <w:sz w:val="18"/>
          <w:szCs w:val="18"/>
        </w:rPr>
        <w:t>=</w:t>
      </w:r>
      <w:r>
        <w:rPr>
          <w:rStyle w:val="mi"/>
          <w:rFonts w:ascii="MathJax_Math" w:hAnsi="MathJax_Math"/>
          <w:i/>
          <w:iCs/>
          <w:color w:val="333333"/>
          <w:sz w:val="18"/>
          <w:szCs w:val="18"/>
        </w:rPr>
        <w:t>B</w:t>
      </w:r>
      <w:r>
        <w:rPr>
          <w:rStyle w:val="mn"/>
          <w:rFonts w:ascii="MathJax_Main" w:hAnsi="MathJax_Main"/>
          <w:color w:val="333333"/>
          <w:sz w:val="14"/>
          <w:szCs w:val="14"/>
        </w:rPr>
        <w:t>0</w:t>
      </w:r>
      <w:r>
        <w:rPr>
          <w:rStyle w:val="apple-converted-space"/>
          <w:rFonts w:ascii="Georgia" w:hAnsi="Georgia"/>
          <w:color w:val="333333"/>
          <w:sz w:val="20"/>
          <w:szCs w:val="20"/>
        </w:rPr>
        <w:t> </w:t>
      </w:r>
      <w:r>
        <w:rPr>
          <w:rFonts w:ascii="Georgia" w:hAnsi="Georgia"/>
          <w:color w:val="333333"/>
          <w:sz w:val="20"/>
          <w:szCs w:val="20"/>
        </w:rPr>
        <w:t>where</w:t>
      </w:r>
      <w:r>
        <w:rPr>
          <w:rStyle w:val="apple-converted-space"/>
          <w:rFonts w:ascii="Georgia" w:hAnsi="Georgia"/>
          <w:color w:val="333333"/>
          <w:sz w:val="20"/>
          <w:szCs w:val="20"/>
        </w:rPr>
        <w:t> </w:t>
      </w:r>
      <w:r>
        <w:rPr>
          <w:rStyle w:val="Emphasis"/>
          <w:rFonts w:ascii="Georgia" w:hAnsi="Georgia"/>
          <w:color w:val="333333"/>
          <w:sz w:val="20"/>
          <w:szCs w:val="20"/>
        </w:rPr>
        <w:t>B</w:t>
      </w:r>
      <w:r>
        <w:rPr>
          <w:rFonts w:ascii="Georgia" w:hAnsi="Georgia"/>
          <w:color w:val="333333"/>
          <w:sz w:val="15"/>
          <w:szCs w:val="15"/>
          <w:vertAlign w:val="subscript"/>
        </w:rPr>
        <w:t>0</w:t>
      </w:r>
      <w:r>
        <w:rPr>
          <w:rStyle w:val="apple-converted-space"/>
          <w:rFonts w:ascii="Georgia" w:hAnsi="Georgia"/>
          <w:color w:val="333333"/>
          <w:sz w:val="20"/>
          <w:szCs w:val="20"/>
        </w:rPr>
        <w:t> </w:t>
      </w:r>
      <w:r>
        <w:rPr>
          <w:rFonts w:ascii="Georgia" w:hAnsi="Georgia"/>
          <w:color w:val="333333"/>
          <w:sz w:val="20"/>
          <w:szCs w:val="20"/>
        </w:rPr>
        <w:t>is a number determined from the statement of the problem. The three forms of the alternative hypothesis, with the terminology for each case, are:</w:t>
      </w:r>
    </w:p>
    <w:tbl>
      <w:tblPr>
        <w:tblW w:w="0" w:type="auto"/>
        <w:tblCellMar>
          <w:left w:w="0" w:type="dxa"/>
          <w:right w:w="0" w:type="dxa"/>
        </w:tblCellMar>
        <w:tblLook w:val="04A0" w:firstRow="1" w:lastRow="0" w:firstColumn="1" w:lastColumn="0" w:noHBand="0" w:noVBand="1"/>
      </w:tblPr>
      <w:tblGrid>
        <w:gridCol w:w="1065"/>
        <w:gridCol w:w="1246"/>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rPr>
                <w:b/>
                <w:bCs/>
                <w:color w:val="F48800"/>
                <w:sz w:val="21"/>
                <w:szCs w:val="21"/>
              </w:rPr>
            </w:pPr>
            <w:r>
              <w:rPr>
                <w:b/>
                <w:bCs/>
                <w:color w:val="F48800"/>
                <w:sz w:val="21"/>
                <w:szCs w:val="21"/>
              </w:rPr>
              <w:t>Form of</w:t>
            </w:r>
            <w:r>
              <w:rPr>
                <w:rStyle w:val="apple-converted-space"/>
                <w:b/>
                <w:bCs/>
                <w:color w:val="F48800"/>
                <w:sz w:val="21"/>
                <w:szCs w:val="21"/>
              </w:rPr>
              <w:t> </w:t>
            </w:r>
            <w:r>
              <w:rPr>
                <w:rStyle w:val="Emphasis"/>
                <w:b/>
                <w:bCs/>
                <w:color w:val="F48800"/>
                <w:sz w:val="21"/>
                <w:szCs w:val="21"/>
              </w:rPr>
              <w:t>H</w:t>
            </w:r>
            <w:r>
              <w:rPr>
                <w:rStyle w:val="Emphasis"/>
                <w:b/>
                <w:bCs/>
                <w:color w:val="F48800"/>
                <w:sz w:val="15"/>
                <w:szCs w:val="15"/>
                <w:vertAlign w:val="subscript"/>
              </w:rPr>
              <w:t>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rPr>
                <w:b/>
                <w:bCs/>
                <w:color w:val="F48800"/>
                <w:sz w:val="21"/>
                <w:szCs w:val="21"/>
              </w:rPr>
            </w:pPr>
            <w:r>
              <w:rPr>
                <w:b/>
                <w:bCs/>
                <w:color w:val="F48800"/>
                <w:sz w:val="21"/>
                <w:szCs w:val="21"/>
              </w:rPr>
              <w:t>Terminology</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rStyle w:val="mi"/>
                <w:rFonts w:ascii="MathJax_Math" w:hAnsi="MathJax_Math"/>
                <w:i/>
                <w:iCs/>
                <w:sz w:val="18"/>
                <w:szCs w:val="18"/>
              </w:rPr>
              <w:t>H</w:t>
            </w:r>
            <w:r>
              <w:rPr>
                <w:rStyle w:val="mi"/>
                <w:rFonts w:ascii="MathJax_Math" w:hAnsi="MathJax_Math"/>
                <w:i/>
                <w:iCs/>
                <w:sz w:val="14"/>
                <w:szCs w:val="14"/>
              </w:rPr>
              <w:t>a</w:t>
            </w:r>
            <w:r>
              <w:rPr>
                <w:rStyle w:val="mo"/>
                <w:rFonts w:ascii="MathJax_Main" w:hAnsi="MathJax_Main"/>
                <w:sz w:val="18"/>
                <w:szCs w:val="18"/>
              </w:rPr>
              <w:t>:</w:t>
            </w:r>
            <w:r>
              <w:rPr>
                <w:rStyle w:val="mi"/>
                <w:rFonts w:ascii="MathJax_Math" w:hAnsi="MathJax_Math"/>
                <w:i/>
                <w:iCs/>
                <w:sz w:val="18"/>
                <w:szCs w:val="18"/>
              </w:rPr>
              <w:t>β</w:t>
            </w:r>
            <w:r>
              <w:rPr>
                <w:rStyle w:val="mn"/>
                <w:rFonts w:ascii="MathJax_Main" w:hAnsi="MathJax_Main"/>
                <w:sz w:val="14"/>
                <w:szCs w:val="14"/>
              </w:rPr>
              <w:t>1</w:t>
            </w:r>
            <w:r>
              <w:rPr>
                <w:rStyle w:val="mo"/>
                <w:rFonts w:ascii="MathJax_Main" w:hAnsi="MathJax_Main"/>
                <w:sz w:val="18"/>
                <w:szCs w:val="18"/>
              </w:rPr>
              <w:t>&lt;</w:t>
            </w:r>
            <w:r>
              <w:rPr>
                <w:rStyle w:val="mi"/>
                <w:rFonts w:ascii="MathJax_Math" w:hAnsi="MathJax_Math"/>
                <w:i/>
                <w:iCs/>
                <w:sz w:val="18"/>
                <w:szCs w:val="18"/>
              </w:rPr>
              <w:t>B</w:t>
            </w:r>
            <w:r>
              <w:rPr>
                <w:rStyle w:val="mn"/>
                <w:rFonts w:ascii="MathJax_Main" w:hAnsi="MathJax_Main"/>
                <w:sz w:val="14"/>
                <w:szCs w:val="14"/>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Left-tailed</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rStyle w:val="mi"/>
                <w:rFonts w:ascii="MathJax_Math" w:hAnsi="MathJax_Math"/>
                <w:i/>
                <w:iCs/>
                <w:sz w:val="18"/>
                <w:szCs w:val="18"/>
              </w:rPr>
              <w:t>H</w:t>
            </w:r>
            <w:r>
              <w:rPr>
                <w:rStyle w:val="mi"/>
                <w:rFonts w:ascii="MathJax_Math" w:hAnsi="MathJax_Math"/>
                <w:i/>
                <w:iCs/>
                <w:sz w:val="14"/>
                <w:szCs w:val="14"/>
              </w:rPr>
              <w:t>a</w:t>
            </w:r>
            <w:r>
              <w:rPr>
                <w:rStyle w:val="mo"/>
                <w:rFonts w:ascii="MathJax_Main" w:hAnsi="MathJax_Main"/>
                <w:sz w:val="18"/>
                <w:szCs w:val="18"/>
              </w:rPr>
              <w:t>:</w:t>
            </w:r>
            <w:r>
              <w:rPr>
                <w:rStyle w:val="mi"/>
                <w:rFonts w:ascii="MathJax_Math" w:hAnsi="MathJax_Math"/>
                <w:i/>
                <w:iCs/>
                <w:sz w:val="18"/>
                <w:szCs w:val="18"/>
              </w:rPr>
              <w:t>β</w:t>
            </w:r>
            <w:r>
              <w:rPr>
                <w:rStyle w:val="mn"/>
                <w:rFonts w:ascii="MathJax_Main" w:hAnsi="MathJax_Main"/>
                <w:sz w:val="14"/>
                <w:szCs w:val="14"/>
              </w:rPr>
              <w:t>1</w:t>
            </w:r>
            <w:r>
              <w:rPr>
                <w:rStyle w:val="mo"/>
                <w:rFonts w:ascii="MathJax_Main" w:hAnsi="MathJax_Main"/>
                <w:sz w:val="18"/>
                <w:szCs w:val="18"/>
              </w:rPr>
              <w:t>&gt;</w:t>
            </w:r>
            <w:r>
              <w:rPr>
                <w:rStyle w:val="mi"/>
                <w:rFonts w:ascii="MathJax_Math" w:hAnsi="MathJax_Math"/>
                <w:i/>
                <w:iCs/>
                <w:sz w:val="18"/>
                <w:szCs w:val="18"/>
              </w:rPr>
              <w:t>B</w:t>
            </w:r>
            <w:r>
              <w:rPr>
                <w:rStyle w:val="mn"/>
                <w:rFonts w:ascii="MathJax_Main" w:hAnsi="MathJax_Main"/>
                <w:sz w:val="14"/>
                <w:szCs w:val="14"/>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Right-tailed</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rStyle w:val="mi"/>
                <w:rFonts w:ascii="MathJax_Math" w:hAnsi="MathJax_Math"/>
                <w:i/>
                <w:iCs/>
                <w:sz w:val="18"/>
                <w:szCs w:val="18"/>
              </w:rPr>
              <w:t>H</w:t>
            </w:r>
            <w:r>
              <w:rPr>
                <w:rStyle w:val="mi"/>
                <w:rFonts w:ascii="MathJax_Math" w:hAnsi="MathJax_Math"/>
                <w:i/>
                <w:iCs/>
                <w:sz w:val="14"/>
                <w:szCs w:val="14"/>
              </w:rPr>
              <w:t>a</w:t>
            </w:r>
            <w:r>
              <w:rPr>
                <w:rStyle w:val="mo"/>
                <w:rFonts w:ascii="MathJax_Main" w:hAnsi="MathJax_Main"/>
                <w:sz w:val="18"/>
                <w:szCs w:val="18"/>
              </w:rPr>
              <w:t>:</w:t>
            </w:r>
            <w:r>
              <w:rPr>
                <w:rStyle w:val="mi"/>
                <w:rFonts w:ascii="MathJax_Math" w:hAnsi="MathJax_Math"/>
                <w:i/>
                <w:iCs/>
                <w:sz w:val="18"/>
                <w:szCs w:val="18"/>
              </w:rPr>
              <w:t>β</w:t>
            </w:r>
            <w:r>
              <w:rPr>
                <w:rStyle w:val="mn"/>
                <w:rFonts w:ascii="MathJax_Main" w:hAnsi="MathJax_Main"/>
                <w:sz w:val="14"/>
                <w:szCs w:val="14"/>
              </w:rPr>
              <w:t>1</w:t>
            </w:r>
            <w:r>
              <w:rPr>
                <w:rStyle w:val="mo"/>
                <w:rFonts w:ascii="MathJax_Main" w:hAnsi="MathJax_Main"/>
                <w:sz w:val="18"/>
                <w:szCs w:val="18"/>
              </w:rPr>
              <w:t>≠</w:t>
            </w:r>
            <w:r>
              <w:rPr>
                <w:rStyle w:val="mi"/>
                <w:rFonts w:ascii="MathJax_Math" w:hAnsi="MathJax_Math"/>
                <w:i/>
                <w:iCs/>
                <w:sz w:val="18"/>
                <w:szCs w:val="18"/>
              </w:rPr>
              <w:t>B</w:t>
            </w:r>
            <w:r>
              <w:rPr>
                <w:rStyle w:val="mn"/>
                <w:rFonts w:ascii="MathJax_Main" w:hAnsi="MathJax_Main"/>
                <w:sz w:val="14"/>
                <w:szCs w:val="14"/>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rPr>
                <w:sz w:val="21"/>
                <w:szCs w:val="21"/>
              </w:rPr>
            </w:pPr>
            <w:r>
              <w:rPr>
                <w:sz w:val="21"/>
                <w:szCs w:val="21"/>
              </w:rPr>
              <w:t>Two-tailed</w:t>
            </w:r>
          </w:p>
        </w:tc>
      </w:tr>
    </w:tbl>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The value zero for</w:t>
      </w:r>
      <w:r>
        <w:rPr>
          <w:rStyle w:val="apple-converted-space"/>
          <w:rFonts w:ascii="Georgia" w:hAnsi="Georgia"/>
          <w:color w:val="333333"/>
          <w:sz w:val="20"/>
          <w:szCs w:val="20"/>
        </w:rPr>
        <w:t> </w:t>
      </w:r>
      <w:r>
        <w:rPr>
          <w:rStyle w:val="Emphasis"/>
          <w:rFonts w:ascii="Georgia" w:hAnsi="Georgia"/>
          <w:color w:val="333333"/>
          <w:sz w:val="20"/>
          <w:szCs w:val="20"/>
        </w:rPr>
        <w:t>B</w:t>
      </w:r>
      <w:r>
        <w:rPr>
          <w:rFonts w:ascii="Georgia" w:hAnsi="Georgia"/>
          <w:color w:val="333333"/>
          <w:sz w:val="15"/>
          <w:szCs w:val="15"/>
          <w:vertAlign w:val="subscript"/>
        </w:rPr>
        <w:t>0</w:t>
      </w:r>
      <w:r>
        <w:rPr>
          <w:rStyle w:val="apple-converted-space"/>
          <w:rFonts w:ascii="Georgia" w:hAnsi="Georgia"/>
          <w:color w:val="333333"/>
          <w:sz w:val="20"/>
          <w:szCs w:val="20"/>
        </w:rPr>
        <w:t> </w:t>
      </w:r>
      <w:r>
        <w:rPr>
          <w:rFonts w:ascii="Georgia" w:hAnsi="Georgia"/>
          <w:color w:val="333333"/>
          <w:sz w:val="20"/>
          <w:szCs w:val="20"/>
        </w:rPr>
        <w:t>is of particular importance since in that case the null hypothesis is</w:t>
      </w:r>
      <w:r>
        <w:rPr>
          <w:rStyle w:val="apple-converted-space"/>
          <w:rFonts w:ascii="Georgia" w:hAnsi="Georgia"/>
          <w:color w:val="333333"/>
          <w:sz w:val="20"/>
          <w:szCs w:val="20"/>
        </w:rPr>
        <w:t> </w:t>
      </w:r>
      <w:r>
        <w:rPr>
          <w:rStyle w:val="mi"/>
          <w:rFonts w:ascii="MathJax_Math" w:hAnsi="MathJax_Math"/>
          <w:i/>
          <w:iCs/>
          <w:color w:val="333333"/>
          <w:sz w:val="18"/>
          <w:szCs w:val="18"/>
        </w:rPr>
        <w:t>H</w:t>
      </w:r>
      <w:r>
        <w:rPr>
          <w:rStyle w:val="mn"/>
          <w:rFonts w:ascii="MathJax_Main" w:hAnsi="MathJax_Main"/>
          <w:color w:val="333333"/>
          <w:sz w:val="14"/>
          <w:szCs w:val="14"/>
        </w:rPr>
        <w:t>0</w:t>
      </w:r>
      <w:r>
        <w:rPr>
          <w:rStyle w:val="mo"/>
          <w:rFonts w:ascii="MathJax_Main" w:hAnsi="MathJax_Main"/>
          <w:color w:val="333333"/>
          <w:sz w:val="18"/>
          <w:szCs w:val="18"/>
        </w:rPr>
        <w:t>:</w:t>
      </w:r>
      <w:r>
        <w:rPr>
          <w:rStyle w:val="mi"/>
          <w:rFonts w:ascii="MathJax_Math" w:hAnsi="MathJax_Math"/>
          <w:i/>
          <w:iCs/>
          <w:color w:val="333333"/>
          <w:sz w:val="18"/>
          <w:szCs w:val="18"/>
        </w:rPr>
        <w:t>β</w:t>
      </w:r>
      <w:r>
        <w:rPr>
          <w:rStyle w:val="mn"/>
          <w:rFonts w:ascii="MathJax_Main" w:hAnsi="MathJax_Main"/>
          <w:color w:val="333333"/>
          <w:sz w:val="14"/>
          <w:szCs w:val="14"/>
        </w:rPr>
        <w:t>1</w:t>
      </w:r>
      <w:r>
        <w:rPr>
          <w:rStyle w:val="mo"/>
          <w:rFonts w:ascii="MathJax_Main" w:hAnsi="MathJax_Main"/>
          <w:color w:val="333333"/>
          <w:sz w:val="18"/>
          <w:szCs w:val="18"/>
        </w:rPr>
        <w:t>=</w:t>
      </w:r>
      <w:r>
        <w:rPr>
          <w:rStyle w:val="mn"/>
          <w:rFonts w:ascii="MathJax_Main" w:hAnsi="MathJax_Main"/>
          <w:color w:val="333333"/>
          <w:sz w:val="18"/>
          <w:szCs w:val="18"/>
        </w:rPr>
        <w:t>0</w:t>
      </w:r>
      <w:r>
        <w:rPr>
          <w:rFonts w:ascii="Georgia" w:hAnsi="Georgia"/>
          <w:color w:val="333333"/>
          <w:sz w:val="20"/>
          <w:szCs w:val="20"/>
        </w:rPr>
        <w:t>, which corresponds to the situation in which</w:t>
      </w:r>
      <w:r>
        <w:rPr>
          <w:rStyle w:val="apple-converted-space"/>
          <w:rFonts w:ascii="Georgia" w:hAnsi="Georgia"/>
          <w:color w:val="333333"/>
          <w:sz w:val="20"/>
          <w:szCs w:val="20"/>
        </w:rPr>
        <w:t> </w:t>
      </w:r>
      <w:r>
        <w:rPr>
          <w:rStyle w:val="Emphasis"/>
          <w:rFonts w:ascii="Georgia" w:hAnsi="Georgia"/>
          <w:color w:val="333333"/>
          <w:sz w:val="20"/>
          <w:szCs w:val="20"/>
        </w:rPr>
        <w:t>x</w:t>
      </w:r>
      <w:r>
        <w:rPr>
          <w:rStyle w:val="apple-converted-space"/>
          <w:rFonts w:ascii="Georgia" w:hAnsi="Georgia"/>
          <w:color w:val="333333"/>
          <w:sz w:val="20"/>
          <w:szCs w:val="20"/>
        </w:rPr>
        <w:t> </w:t>
      </w:r>
      <w:r>
        <w:rPr>
          <w:rFonts w:ascii="Georgia" w:hAnsi="Georgia"/>
          <w:color w:val="333333"/>
          <w:sz w:val="20"/>
          <w:szCs w:val="20"/>
        </w:rPr>
        <w:t>is not useful for predicting</w:t>
      </w:r>
      <w:r>
        <w:rPr>
          <w:rStyle w:val="apple-converted-space"/>
          <w:rFonts w:ascii="Georgia" w:hAnsi="Georgia"/>
          <w:color w:val="333333"/>
          <w:sz w:val="20"/>
          <w:szCs w:val="20"/>
        </w:rPr>
        <w:t> </w:t>
      </w:r>
      <w:r>
        <w:rPr>
          <w:rStyle w:val="Emphasis"/>
          <w:rFonts w:ascii="Georgia" w:hAnsi="Georgia"/>
          <w:color w:val="333333"/>
          <w:sz w:val="20"/>
          <w:szCs w:val="20"/>
        </w:rPr>
        <w:t>y</w:t>
      </w:r>
      <w:r>
        <w:rPr>
          <w:rFonts w:ascii="Georgia" w:hAnsi="Georgia"/>
          <w:color w:val="333333"/>
          <w:sz w:val="20"/>
          <w:szCs w:val="20"/>
        </w:rPr>
        <w:t>. For if</w:t>
      </w:r>
      <w:r>
        <w:rPr>
          <w:rStyle w:val="apple-converted-space"/>
          <w:rFonts w:ascii="Georgia" w:hAnsi="Georgia"/>
          <w:color w:val="333333"/>
          <w:sz w:val="20"/>
          <w:szCs w:val="20"/>
        </w:rPr>
        <w:t> </w:t>
      </w:r>
      <w:r>
        <w:rPr>
          <w:rStyle w:val="mi"/>
          <w:rFonts w:ascii="MathJax_Math" w:hAnsi="MathJax_Math"/>
          <w:i/>
          <w:iCs/>
          <w:color w:val="333333"/>
          <w:sz w:val="18"/>
          <w:szCs w:val="18"/>
        </w:rPr>
        <w:t>β</w:t>
      </w:r>
      <w:r>
        <w:rPr>
          <w:rStyle w:val="mn"/>
          <w:rFonts w:ascii="MathJax_Main" w:hAnsi="MathJax_Main"/>
          <w:color w:val="333333"/>
          <w:sz w:val="14"/>
          <w:szCs w:val="14"/>
        </w:rPr>
        <w:t>1</w:t>
      </w:r>
      <w:r>
        <w:rPr>
          <w:rStyle w:val="mo"/>
          <w:rFonts w:ascii="MathJax_Main" w:hAnsi="MathJax_Main"/>
          <w:color w:val="333333"/>
          <w:sz w:val="18"/>
          <w:szCs w:val="18"/>
        </w:rPr>
        <w:t>=</w:t>
      </w:r>
      <w:r>
        <w:rPr>
          <w:rStyle w:val="mn"/>
          <w:rFonts w:ascii="MathJax_Main" w:hAnsi="MathJax_Main"/>
          <w:color w:val="333333"/>
          <w:sz w:val="18"/>
          <w:szCs w:val="18"/>
        </w:rPr>
        <w:t>0</w:t>
      </w:r>
      <w:r>
        <w:rPr>
          <w:rStyle w:val="apple-converted-space"/>
          <w:rFonts w:ascii="Georgia" w:hAnsi="Georgia"/>
          <w:color w:val="333333"/>
          <w:sz w:val="20"/>
          <w:szCs w:val="20"/>
        </w:rPr>
        <w:t> </w:t>
      </w:r>
      <w:r>
        <w:rPr>
          <w:rFonts w:ascii="Georgia" w:hAnsi="Georgia"/>
          <w:color w:val="333333"/>
          <w:sz w:val="20"/>
          <w:szCs w:val="20"/>
        </w:rPr>
        <w:t>then the population regression line is horizontal, so the mean</w:t>
      </w:r>
      <w:r>
        <w:rPr>
          <w:rStyle w:val="apple-converted-space"/>
          <w:rFonts w:ascii="Georgia" w:hAnsi="Georgia"/>
          <w:color w:val="333333"/>
          <w:sz w:val="20"/>
          <w:szCs w:val="20"/>
        </w:rPr>
        <w:t> </w:t>
      </w:r>
      <w:r>
        <w:rPr>
          <w:rStyle w:val="mi"/>
          <w:rFonts w:ascii="MathJax_Math" w:hAnsi="MathJax_Math"/>
          <w:i/>
          <w:iCs/>
          <w:color w:val="333333"/>
          <w:sz w:val="18"/>
          <w:szCs w:val="18"/>
        </w:rPr>
        <w:t>E</w:t>
      </w:r>
      <w:r>
        <w:rPr>
          <w:rStyle w:val="mo"/>
          <w:rFonts w:ascii="MathJax_Main" w:hAnsi="MathJax_Main"/>
          <w:color w:val="333333"/>
          <w:sz w:val="18"/>
          <w:szCs w:val="18"/>
        </w:rPr>
        <w:t>(</w:t>
      </w:r>
      <w:r>
        <w:rPr>
          <w:rStyle w:val="mi"/>
          <w:rFonts w:ascii="MathJax_Math" w:hAnsi="MathJax_Math"/>
          <w:i/>
          <w:iCs/>
          <w:color w:val="333333"/>
          <w:sz w:val="18"/>
          <w:szCs w:val="18"/>
        </w:rPr>
        <w:t>y</w:t>
      </w:r>
      <w:r>
        <w:rPr>
          <w:rStyle w:val="mo"/>
          <w:rFonts w:ascii="MathJax_Main" w:hAnsi="MathJax_Main"/>
          <w:color w:val="333333"/>
          <w:sz w:val="18"/>
          <w:szCs w:val="18"/>
        </w:rPr>
        <w:t>)</w:t>
      </w:r>
      <w:r>
        <w:rPr>
          <w:rStyle w:val="apple-converted-space"/>
          <w:rFonts w:ascii="Georgia" w:hAnsi="Georgia"/>
          <w:color w:val="333333"/>
          <w:sz w:val="20"/>
          <w:szCs w:val="20"/>
        </w:rPr>
        <w:t> </w:t>
      </w:r>
      <w:r>
        <w:rPr>
          <w:rFonts w:ascii="Georgia" w:hAnsi="Georgia"/>
          <w:color w:val="333333"/>
          <w:sz w:val="20"/>
          <w:szCs w:val="20"/>
        </w:rPr>
        <w:t>is the same for every value of</w:t>
      </w:r>
      <w:r>
        <w:rPr>
          <w:rStyle w:val="apple-converted-space"/>
          <w:rFonts w:ascii="Georgia" w:hAnsi="Georgia"/>
          <w:color w:val="333333"/>
          <w:sz w:val="20"/>
          <w:szCs w:val="20"/>
        </w:rPr>
        <w:t> </w:t>
      </w:r>
      <w:r>
        <w:rPr>
          <w:rStyle w:val="Emphasis"/>
          <w:rFonts w:ascii="Georgia" w:hAnsi="Georgia"/>
          <w:color w:val="333333"/>
          <w:sz w:val="20"/>
          <w:szCs w:val="20"/>
        </w:rPr>
        <w:t>x</w:t>
      </w:r>
      <w:r>
        <w:rPr>
          <w:rStyle w:val="apple-converted-space"/>
          <w:rFonts w:ascii="Georgia" w:hAnsi="Georgia"/>
          <w:color w:val="333333"/>
          <w:sz w:val="20"/>
          <w:szCs w:val="20"/>
        </w:rPr>
        <w:t> </w:t>
      </w:r>
      <w:r>
        <w:rPr>
          <w:rFonts w:ascii="Georgia" w:hAnsi="Georgia"/>
          <w:color w:val="333333"/>
          <w:sz w:val="20"/>
          <w:szCs w:val="20"/>
        </w:rPr>
        <w:t>and we are just as well off in ignoring</w:t>
      </w:r>
      <w:r>
        <w:rPr>
          <w:rStyle w:val="apple-converted-space"/>
          <w:rFonts w:ascii="Georgia" w:hAnsi="Georgia"/>
          <w:color w:val="333333"/>
          <w:sz w:val="20"/>
          <w:szCs w:val="20"/>
        </w:rPr>
        <w:t> </w:t>
      </w:r>
      <w:r>
        <w:rPr>
          <w:rStyle w:val="Emphasis"/>
          <w:rFonts w:ascii="Georgia" w:hAnsi="Georgia"/>
          <w:color w:val="333333"/>
          <w:sz w:val="20"/>
          <w:szCs w:val="20"/>
        </w:rPr>
        <w:t>x</w:t>
      </w:r>
      <w:r>
        <w:rPr>
          <w:rStyle w:val="apple-converted-space"/>
          <w:rFonts w:ascii="Georgia" w:hAnsi="Georgia"/>
          <w:color w:val="333333"/>
          <w:sz w:val="20"/>
          <w:szCs w:val="20"/>
        </w:rPr>
        <w:t> </w:t>
      </w:r>
      <w:r>
        <w:rPr>
          <w:rFonts w:ascii="Georgia" w:hAnsi="Georgia"/>
          <w:color w:val="333333"/>
          <w:sz w:val="20"/>
          <w:szCs w:val="20"/>
        </w:rPr>
        <w:t>completely and approximating</w:t>
      </w:r>
      <w:r>
        <w:rPr>
          <w:rStyle w:val="apple-converted-space"/>
          <w:rFonts w:ascii="Georgia" w:hAnsi="Georgia"/>
          <w:color w:val="333333"/>
          <w:sz w:val="20"/>
          <w:szCs w:val="20"/>
        </w:rPr>
        <w:t> </w:t>
      </w:r>
      <w:r>
        <w:rPr>
          <w:rStyle w:val="Emphasis"/>
          <w:rFonts w:ascii="Georgia" w:hAnsi="Georgia"/>
          <w:color w:val="333333"/>
          <w:sz w:val="20"/>
          <w:szCs w:val="20"/>
        </w:rPr>
        <w:t>y</w:t>
      </w:r>
      <w:r>
        <w:rPr>
          <w:rStyle w:val="apple-converted-space"/>
          <w:rFonts w:ascii="Georgia" w:hAnsi="Georgia"/>
          <w:color w:val="333333"/>
          <w:sz w:val="20"/>
          <w:szCs w:val="20"/>
        </w:rPr>
        <w:t> </w:t>
      </w:r>
      <w:r>
        <w:rPr>
          <w:rFonts w:ascii="Georgia" w:hAnsi="Georgia"/>
          <w:color w:val="333333"/>
          <w:sz w:val="20"/>
          <w:szCs w:val="20"/>
        </w:rPr>
        <w:t>by its average value. Given two variables</w:t>
      </w:r>
      <w:r>
        <w:rPr>
          <w:rStyle w:val="apple-converted-space"/>
          <w:rFonts w:ascii="Georgia" w:hAnsi="Georgia"/>
          <w:color w:val="333333"/>
          <w:sz w:val="20"/>
          <w:szCs w:val="20"/>
        </w:rPr>
        <w:t> </w:t>
      </w:r>
      <w:r>
        <w:rPr>
          <w:rStyle w:val="Emphasis"/>
          <w:rFonts w:ascii="Georgia" w:hAnsi="Georgia"/>
          <w:color w:val="333333"/>
          <w:sz w:val="20"/>
          <w:szCs w:val="20"/>
        </w:rPr>
        <w:t>x</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rPr>
        <w:t>y</w:t>
      </w:r>
      <w:r>
        <w:rPr>
          <w:rFonts w:ascii="Georgia" w:hAnsi="Georgia"/>
          <w:color w:val="333333"/>
          <w:sz w:val="20"/>
          <w:szCs w:val="20"/>
        </w:rPr>
        <w:t>, the burden of proof is that</w:t>
      </w:r>
      <w:r>
        <w:rPr>
          <w:rStyle w:val="apple-converted-space"/>
          <w:rFonts w:ascii="Georgia" w:hAnsi="Georgia"/>
          <w:color w:val="333333"/>
          <w:sz w:val="20"/>
          <w:szCs w:val="20"/>
        </w:rPr>
        <w:t> </w:t>
      </w:r>
      <w:r>
        <w:rPr>
          <w:rStyle w:val="Emphasis"/>
          <w:rFonts w:ascii="Georgia" w:hAnsi="Georgia"/>
          <w:color w:val="333333"/>
          <w:sz w:val="20"/>
          <w:szCs w:val="20"/>
        </w:rPr>
        <w:t>x</w:t>
      </w:r>
      <w:r>
        <w:rPr>
          <w:rStyle w:val="apple-converted-space"/>
          <w:rFonts w:ascii="Georgia" w:hAnsi="Georgia"/>
          <w:color w:val="333333"/>
          <w:sz w:val="20"/>
          <w:szCs w:val="20"/>
        </w:rPr>
        <w:t> </w:t>
      </w:r>
      <w:r>
        <w:rPr>
          <w:rFonts w:ascii="Georgia" w:hAnsi="Georgia"/>
          <w:color w:val="333333"/>
          <w:sz w:val="20"/>
          <w:szCs w:val="20"/>
        </w:rPr>
        <w:t xml:space="preserve">is useful for predicting </w:t>
      </w:r>
      <w:r>
        <w:rPr>
          <w:rStyle w:val="Emphasis"/>
          <w:rFonts w:ascii="Georgia" w:hAnsi="Georgia"/>
          <w:color w:val="333333"/>
          <w:sz w:val="20"/>
          <w:szCs w:val="20"/>
        </w:rPr>
        <w:t>y</w:t>
      </w:r>
      <w:r>
        <w:rPr>
          <w:rFonts w:ascii="Georgia" w:hAnsi="Georgia"/>
          <w:color w:val="333333"/>
          <w:sz w:val="20"/>
          <w:szCs w:val="20"/>
        </w:rPr>
        <w:t>, not that it is not. Thus the phrase “test whether</w:t>
      </w:r>
      <w:r>
        <w:rPr>
          <w:rStyle w:val="apple-converted-space"/>
          <w:rFonts w:ascii="Georgia" w:hAnsi="Georgia"/>
          <w:color w:val="333333"/>
          <w:sz w:val="20"/>
          <w:szCs w:val="20"/>
        </w:rPr>
        <w:t> </w:t>
      </w:r>
      <w:r>
        <w:rPr>
          <w:rStyle w:val="Emphasis"/>
          <w:rFonts w:ascii="Georgia" w:hAnsi="Georgia"/>
          <w:color w:val="333333"/>
          <w:sz w:val="20"/>
          <w:szCs w:val="20"/>
        </w:rPr>
        <w:t>x</w:t>
      </w:r>
      <w:r>
        <w:rPr>
          <w:rStyle w:val="apple-converted-space"/>
          <w:rFonts w:ascii="Georgia" w:hAnsi="Georgia"/>
          <w:color w:val="333333"/>
          <w:sz w:val="20"/>
          <w:szCs w:val="20"/>
        </w:rPr>
        <w:t> </w:t>
      </w:r>
      <w:r>
        <w:rPr>
          <w:rFonts w:ascii="Georgia" w:hAnsi="Georgia"/>
          <w:color w:val="333333"/>
          <w:sz w:val="20"/>
          <w:szCs w:val="20"/>
        </w:rPr>
        <w:t>is useful for prediction of</w:t>
      </w:r>
      <w:r>
        <w:rPr>
          <w:rStyle w:val="apple-converted-space"/>
          <w:rFonts w:ascii="Georgia" w:hAnsi="Georgia"/>
          <w:color w:val="333333"/>
          <w:sz w:val="20"/>
          <w:szCs w:val="20"/>
        </w:rPr>
        <w:t> </w:t>
      </w:r>
      <w:r>
        <w:rPr>
          <w:rStyle w:val="Emphasis"/>
          <w:rFonts w:ascii="Georgia" w:hAnsi="Georgia"/>
          <w:color w:val="333333"/>
          <w:sz w:val="20"/>
          <w:szCs w:val="20"/>
        </w:rPr>
        <w:t>y</w:t>
      </w:r>
      <w:r>
        <w:rPr>
          <w:rFonts w:ascii="Georgia" w:hAnsi="Georgia"/>
          <w:color w:val="333333"/>
          <w:sz w:val="20"/>
          <w:szCs w:val="20"/>
        </w:rPr>
        <w:t>,” or words to that effect, means to perform the test</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0"/>
          <w:szCs w:val="20"/>
        </w:rPr>
      </w:pPr>
    </w:p>
    <w:p w:rsidR="00AD77BB" w:rsidRDefault="00B45BA0">
      <w:pPr>
        <w:pStyle w:val="para"/>
        <w:shd w:val="clear" w:color="auto" w:fill="FFFFFF"/>
        <w:spacing w:before="0" w:beforeAutospacing="0" w:after="0" w:afterAutospacing="0" w:line="360" w:lineRule="auto"/>
        <w:jc w:val="center"/>
        <w:textAlignment w:val="baseline"/>
        <w:rPr>
          <w:rFonts w:ascii="Georgia" w:hAnsi="Georgia"/>
          <w:b/>
          <w:color w:val="333333"/>
          <w:sz w:val="20"/>
          <w:szCs w:val="20"/>
        </w:rPr>
      </w:pPr>
      <w:r>
        <w:rPr>
          <w:rStyle w:val="mi"/>
          <w:rFonts w:ascii="MathJax_Math" w:hAnsi="MathJax_Math"/>
          <w:b/>
          <w:i/>
          <w:iCs/>
          <w:color w:val="555555"/>
          <w:sz w:val="18"/>
          <w:szCs w:val="18"/>
          <w:shd w:val="clear" w:color="auto" w:fill="FFFFFF"/>
        </w:rPr>
        <w:t>H</w:t>
      </w:r>
      <w:r>
        <w:rPr>
          <w:rStyle w:val="mn"/>
          <w:rFonts w:ascii="MathJax_Main" w:hAnsi="MathJax_Main"/>
          <w:b/>
          <w:color w:val="555555"/>
          <w:sz w:val="14"/>
          <w:szCs w:val="14"/>
          <w:shd w:val="clear" w:color="auto" w:fill="FFFFFF"/>
        </w:rPr>
        <w:t>0</w:t>
      </w:r>
      <w:r>
        <w:rPr>
          <w:rStyle w:val="mo"/>
          <w:rFonts w:ascii="MathJax_Main" w:eastAsiaTheme="majorEastAsia" w:hAnsi="MathJax_Main"/>
          <w:b/>
          <w:color w:val="555555"/>
          <w:sz w:val="18"/>
          <w:szCs w:val="18"/>
          <w:shd w:val="clear" w:color="auto" w:fill="FFFFFF"/>
        </w:rPr>
        <w:t>:</w:t>
      </w:r>
      <w:r>
        <w:rPr>
          <w:rStyle w:val="mi"/>
          <w:rFonts w:ascii="MathJax_Math" w:hAnsi="MathJax_Math"/>
          <w:b/>
          <w:i/>
          <w:iCs/>
          <w:color w:val="555555"/>
          <w:sz w:val="18"/>
          <w:szCs w:val="18"/>
          <w:shd w:val="clear" w:color="auto" w:fill="FFFFFF"/>
        </w:rPr>
        <w:t>β</w:t>
      </w:r>
      <w:r>
        <w:rPr>
          <w:rStyle w:val="mn"/>
          <w:rFonts w:ascii="MathJax_Main" w:hAnsi="MathJax_Main"/>
          <w:b/>
          <w:color w:val="555555"/>
          <w:sz w:val="14"/>
          <w:szCs w:val="14"/>
          <w:shd w:val="clear" w:color="auto" w:fill="FFFFFF"/>
        </w:rPr>
        <w:t>1</w:t>
      </w:r>
      <w:r>
        <w:rPr>
          <w:rStyle w:val="mo"/>
          <w:rFonts w:ascii="MathJax_Main" w:eastAsiaTheme="majorEastAsia" w:hAnsi="MathJax_Main"/>
          <w:b/>
          <w:color w:val="555555"/>
          <w:sz w:val="18"/>
          <w:szCs w:val="18"/>
          <w:shd w:val="clear" w:color="auto" w:fill="FFFFFF"/>
        </w:rPr>
        <w:t>=</w:t>
      </w:r>
      <w:r>
        <w:rPr>
          <w:rStyle w:val="mn"/>
          <w:rFonts w:ascii="MathJax_Main" w:hAnsi="MathJax_Main"/>
          <w:b/>
          <w:color w:val="555555"/>
          <w:sz w:val="18"/>
          <w:szCs w:val="18"/>
          <w:shd w:val="clear" w:color="auto" w:fill="FFFFFF"/>
        </w:rPr>
        <w:t>0</w:t>
      </w:r>
      <w:r>
        <w:rPr>
          <w:rStyle w:val="mtext"/>
          <w:rFonts w:ascii="MathJax_Main" w:hAnsi="MathJax_Main"/>
          <w:b/>
          <w:color w:val="555555"/>
          <w:sz w:val="18"/>
          <w:szCs w:val="18"/>
          <w:shd w:val="clear" w:color="auto" w:fill="FFFFFF"/>
        </w:rPr>
        <w:t> </w:t>
      </w:r>
      <w:r>
        <w:rPr>
          <w:rStyle w:val="mtext"/>
          <w:rFonts w:ascii="MathJax_Main" w:hAnsi="MathJax_Main"/>
          <w:b/>
          <w:color w:val="555555"/>
          <w:sz w:val="18"/>
          <w:szCs w:val="18"/>
          <w:shd w:val="clear" w:color="auto" w:fill="FFFFFF"/>
        </w:rPr>
        <w:t>vs.</w:t>
      </w:r>
      <w:r>
        <w:rPr>
          <w:rStyle w:val="mtext"/>
          <w:rFonts w:ascii="MathJax_Main" w:hAnsi="MathJax_Main"/>
          <w:b/>
          <w:color w:val="555555"/>
          <w:sz w:val="18"/>
          <w:szCs w:val="18"/>
          <w:shd w:val="clear" w:color="auto" w:fill="FFFFFF"/>
        </w:rPr>
        <w:t> </w:t>
      </w:r>
      <w:r>
        <w:rPr>
          <w:rStyle w:val="mi"/>
          <w:rFonts w:ascii="MathJax_Math" w:hAnsi="MathJax_Math"/>
          <w:b/>
          <w:i/>
          <w:iCs/>
          <w:color w:val="555555"/>
          <w:sz w:val="18"/>
          <w:szCs w:val="18"/>
          <w:shd w:val="clear" w:color="auto" w:fill="FFFFFF"/>
        </w:rPr>
        <w:t>H</w:t>
      </w:r>
      <w:r>
        <w:rPr>
          <w:rStyle w:val="mi"/>
          <w:rFonts w:ascii="MathJax_Math" w:hAnsi="MathJax_Math"/>
          <w:b/>
          <w:i/>
          <w:iCs/>
          <w:color w:val="555555"/>
          <w:sz w:val="14"/>
          <w:szCs w:val="14"/>
          <w:shd w:val="clear" w:color="auto" w:fill="FFFFFF"/>
        </w:rPr>
        <w:t>a</w:t>
      </w:r>
      <w:r>
        <w:rPr>
          <w:rStyle w:val="mo"/>
          <w:rFonts w:ascii="MathJax_Main" w:eastAsiaTheme="majorEastAsia" w:hAnsi="MathJax_Main"/>
          <w:b/>
          <w:color w:val="555555"/>
          <w:sz w:val="18"/>
          <w:szCs w:val="18"/>
          <w:shd w:val="clear" w:color="auto" w:fill="FFFFFF"/>
        </w:rPr>
        <w:t>:</w:t>
      </w:r>
      <w:r>
        <w:rPr>
          <w:rStyle w:val="mi"/>
          <w:rFonts w:ascii="MathJax_Math" w:hAnsi="MathJax_Math"/>
          <w:b/>
          <w:i/>
          <w:iCs/>
          <w:color w:val="555555"/>
          <w:sz w:val="18"/>
          <w:szCs w:val="18"/>
          <w:shd w:val="clear" w:color="auto" w:fill="FFFFFF"/>
        </w:rPr>
        <w:t>β</w:t>
      </w:r>
      <w:r>
        <w:rPr>
          <w:rStyle w:val="mn"/>
          <w:rFonts w:ascii="MathJax_Main" w:hAnsi="MathJax_Main"/>
          <w:b/>
          <w:color w:val="555555"/>
          <w:sz w:val="14"/>
          <w:szCs w:val="14"/>
          <w:shd w:val="clear" w:color="auto" w:fill="FFFFFF"/>
        </w:rPr>
        <w:t>1</w:t>
      </w:r>
      <w:r>
        <w:rPr>
          <w:rStyle w:val="mo"/>
          <w:rFonts w:ascii="MathJax_Main" w:eastAsiaTheme="majorEastAsia" w:hAnsi="MathJax_Main"/>
          <w:b/>
          <w:color w:val="555555"/>
          <w:sz w:val="18"/>
          <w:szCs w:val="18"/>
          <w:shd w:val="clear" w:color="auto" w:fill="FFFFFF"/>
        </w:rPr>
        <w:t>≠</w:t>
      </w:r>
      <w:r>
        <w:rPr>
          <w:rStyle w:val="mn"/>
          <w:rFonts w:ascii="MathJax_Main" w:hAnsi="MathJax_Main"/>
          <w:b/>
          <w:color w:val="555555"/>
          <w:sz w:val="18"/>
          <w:szCs w:val="18"/>
          <w:shd w:val="clear" w:color="auto" w:fill="FFFFFF"/>
        </w:rPr>
        <w:t>0</w:t>
      </w:r>
    </w:p>
    <w:p w:rsidR="00AD77BB" w:rsidRDefault="00B45BA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drawing>
          <wp:inline distT="0" distB="0" distL="0" distR="0" wp14:anchorId="38F0BA14" wp14:editId="061F748D">
            <wp:extent cx="4610100" cy="3867150"/>
            <wp:effectExtent l="0" t="0" r="0" b="0"/>
            <wp:docPr id="408"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4610100" cy="3867150"/>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7FC6EC2F" wp14:editId="0D5FB24D">
            <wp:extent cx="4867275" cy="5619750"/>
            <wp:effectExtent l="0" t="0" r="9525" b="0"/>
            <wp:docPr id="409"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4867275" cy="5619750"/>
                    </a:xfrm>
                    <a:prstGeom prst="rect">
                      <a:avLst/>
                    </a:prstGeom>
                    <a:noFill/>
                    <a:ln>
                      <a:noFill/>
                    </a:ln>
                  </pic:spPr>
                </pic:pic>
              </a:graphicData>
            </a:graphic>
          </wp:inline>
        </w:drawing>
      </w:r>
    </w:p>
    <w:p w:rsidR="00AD77BB" w:rsidRDefault="00B45BA0">
      <w:pPr>
        <w:pStyle w:val="para"/>
        <w:numPr>
          <w:ilvl w:val="0"/>
          <w:numId w:val="280"/>
        </w:numPr>
        <w:shd w:val="clear" w:color="auto" w:fill="DAEEF3" w:themeFill="accent5" w:themeFillTint="33"/>
        <w:tabs>
          <w:tab w:val="clear" w:pos="720"/>
          <w:tab w:val="num" w:pos="1440"/>
        </w:tabs>
        <w:spacing w:before="0" w:beforeAutospacing="0" w:after="0" w:afterAutospacing="0" w:line="439" w:lineRule="atLeast"/>
        <w:ind w:left="960" w:right="750"/>
        <w:textAlignment w:val="baseline"/>
        <w:rPr>
          <w:rFonts w:ascii="Calibri" w:hAnsi="Calibri"/>
          <w:color w:val="333333"/>
          <w:sz w:val="20"/>
          <w:szCs w:val="20"/>
        </w:rPr>
      </w:pPr>
      <w:r>
        <w:rPr>
          <w:rFonts w:ascii="Calibri" w:hAnsi="Calibri"/>
          <w:color w:val="333333"/>
          <w:sz w:val="20"/>
          <w:szCs w:val="20"/>
        </w:rPr>
        <w:t>Step 5. As shown in</w:t>
      </w:r>
      <w:r>
        <w:rPr>
          <w:rStyle w:val="apple-converted-space"/>
          <w:rFonts w:ascii="Calibri" w:hAnsi="Calibri"/>
          <w:color w:val="333333"/>
          <w:sz w:val="20"/>
          <w:szCs w:val="20"/>
        </w:rPr>
        <w:t> </w:t>
      </w:r>
      <w:r>
        <w:rPr>
          <w:rFonts w:ascii="Calibri" w:hAnsi="Calibri"/>
          <w:color w:val="2689C6"/>
          <w:sz w:val="20"/>
          <w:szCs w:val="20"/>
        </w:rPr>
        <w:t>Figure 10.9 "Rejection Region and Test Statistic for "</w:t>
      </w:r>
      <w:r>
        <w:rPr>
          <w:rStyle w:val="apple-converted-space"/>
          <w:rFonts w:ascii="Calibri" w:hAnsi="Calibri"/>
          <w:color w:val="333333"/>
          <w:sz w:val="20"/>
          <w:szCs w:val="20"/>
        </w:rPr>
        <w:t> </w:t>
      </w:r>
      <w:r>
        <w:rPr>
          <w:rFonts w:ascii="Calibri" w:hAnsi="Calibri"/>
          <w:color w:val="333333"/>
          <w:sz w:val="20"/>
          <w:szCs w:val="20"/>
        </w:rPr>
        <w:t>the test statistic falls in the rejection region. The decision is to reject</w:t>
      </w:r>
      <w:r>
        <w:rPr>
          <w:rStyle w:val="apple-converted-space"/>
          <w:rFonts w:ascii="Calibri" w:hAnsi="Calibri"/>
          <w:color w:val="333333"/>
          <w:sz w:val="20"/>
          <w:szCs w:val="20"/>
        </w:rPr>
        <w:t> </w:t>
      </w:r>
      <w:r>
        <w:rPr>
          <w:rStyle w:val="Emphasis"/>
          <w:rFonts w:ascii="Calibri" w:eastAsiaTheme="majorEastAsia" w:hAnsi="Calibri"/>
          <w:color w:val="333333"/>
          <w:sz w:val="20"/>
          <w:szCs w:val="20"/>
        </w:rPr>
        <w:t>H</w:t>
      </w:r>
      <w:r>
        <w:rPr>
          <w:rFonts w:ascii="Calibri" w:hAnsi="Calibri"/>
          <w:color w:val="333333"/>
          <w:sz w:val="15"/>
          <w:szCs w:val="15"/>
          <w:vertAlign w:val="subscript"/>
        </w:rPr>
        <w:t>0</w:t>
      </w:r>
      <w:r>
        <w:rPr>
          <w:rFonts w:ascii="Calibri" w:hAnsi="Calibri"/>
          <w:color w:val="333333"/>
          <w:sz w:val="20"/>
          <w:szCs w:val="20"/>
        </w:rPr>
        <w:t>. In the context of the problem our conclusion is:</w:t>
      </w:r>
    </w:p>
    <w:p w:rsidR="00AD77BB" w:rsidRDefault="00B45BA0">
      <w:pPr>
        <w:pStyle w:val="para"/>
        <w:shd w:val="clear" w:color="auto" w:fill="DAEEF3" w:themeFill="accent5" w:themeFillTint="33"/>
        <w:spacing w:before="0" w:beforeAutospacing="0" w:after="0" w:afterAutospacing="0" w:line="439" w:lineRule="atLeast"/>
        <w:ind w:left="960" w:right="750"/>
        <w:textAlignment w:val="baseline"/>
        <w:rPr>
          <w:rFonts w:ascii="Calibri" w:hAnsi="Calibri"/>
          <w:color w:val="333333"/>
          <w:sz w:val="20"/>
          <w:szCs w:val="20"/>
        </w:rPr>
      </w:pPr>
      <w:r>
        <w:rPr>
          <w:rFonts w:ascii="Calibri" w:hAnsi="Calibri"/>
          <w:color w:val="333333"/>
          <w:sz w:val="20"/>
          <w:szCs w:val="20"/>
        </w:rPr>
        <w:t>The data provide sufficient evidence, at the 2% level of significance, to conclude that the slope of the population regression line is nonzero, so that</w:t>
      </w:r>
      <w:r>
        <w:rPr>
          <w:rStyle w:val="apple-converted-space"/>
          <w:rFonts w:ascii="Calibri" w:hAnsi="Calibri"/>
          <w:color w:val="333333"/>
          <w:sz w:val="20"/>
          <w:szCs w:val="20"/>
        </w:rPr>
        <w:t> </w:t>
      </w:r>
      <w:r>
        <w:rPr>
          <w:rStyle w:val="Emphasis"/>
          <w:rFonts w:ascii="Calibri" w:eastAsiaTheme="majorEastAsia"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is useful as a predictor of</w:t>
      </w:r>
      <w:r>
        <w:rPr>
          <w:rStyle w:val="apple-converted-space"/>
          <w:rFonts w:ascii="Calibri" w:hAnsi="Calibri"/>
          <w:color w:val="333333"/>
          <w:sz w:val="20"/>
          <w:szCs w:val="20"/>
        </w:rPr>
        <w:t> </w:t>
      </w:r>
      <w:r>
        <w:rPr>
          <w:rStyle w:val="Emphasis"/>
          <w:rFonts w:ascii="Calibri" w:eastAsiaTheme="majorEastAsia" w:hAnsi="Calibri"/>
          <w:color w:val="333333"/>
          <w:sz w:val="20"/>
          <w:szCs w:val="20"/>
        </w:rPr>
        <w:t>y</w:t>
      </w:r>
      <w:r>
        <w:rPr>
          <w:rFonts w:ascii="Calibri" w:hAnsi="Calibri"/>
          <w:color w:val="333333"/>
          <w:sz w:val="20"/>
          <w:szCs w:val="20"/>
        </w:rPr>
        <w:t>.</w:t>
      </w:r>
    </w:p>
    <w:p w:rsidR="00AD77BB" w:rsidRDefault="00AD77BB">
      <w:pPr>
        <w:pStyle w:val="Title9"/>
        <w:spacing w:before="0" w:beforeAutospacing="0" w:after="0" w:afterAutospacing="0" w:line="439" w:lineRule="atLeast"/>
        <w:ind w:left="300" w:right="375"/>
        <w:textAlignment w:val="baseline"/>
        <w:rPr>
          <w:rStyle w:val="title-prefix"/>
          <w:rFonts w:eastAsiaTheme="majorEastAsia"/>
          <w:i/>
          <w:iCs/>
          <w:color w:val="000000"/>
          <w:sz w:val="18"/>
          <w:szCs w:val="18"/>
        </w:rPr>
      </w:pPr>
    </w:p>
    <w:p w:rsidR="00AD77BB" w:rsidRDefault="00AD77BB">
      <w:pPr>
        <w:pStyle w:val="Title9"/>
        <w:spacing w:before="0" w:beforeAutospacing="0" w:after="0" w:afterAutospacing="0" w:line="439" w:lineRule="atLeast"/>
        <w:ind w:left="300" w:right="375"/>
        <w:textAlignment w:val="baseline"/>
        <w:rPr>
          <w:rStyle w:val="title-prefix"/>
          <w:rFonts w:ascii="Calibri" w:eastAsiaTheme="majorEastAsia" w:hAnsi="Calibri"/>
          <w:i/>
          <w:iCs/>
          <w:color w:val="000000"/>
          <w:sz w:val="18"/>
          <w:szCs w:val="18"/>
        </w:rPr>
      </w:pPr>
    </w:p>
    <w:p w:rsidR="00AD77BB" w:rsidRDefault="00AD77BB">
      <w:pPr>
        <w:pStyle w:val="Title9"/>
        <w:spacing w:before="0" w:beforeAutospacing="0" w:after="0" w:afterAutospacing="0" w:line="439" w:lineRule="atLeast"/>
        <w:ind w:left="300" w:right="375"/>
        <w:textAlignment w:val="baseline"/>
        <w:rPr>
          <w:rStyle w:val="title-prefix"/>
          <w:rFonts w:ascii="Calibri" w:eastAsiaTheme="majorEastAsia" w:hAnsi="Calibri"/>
          <w:i/>
          <w:iCs/>
          <w:color w:val="000000"/>
          <w:sz w:val="18"/>
          <w:szCs w:val="18"/>
        </w:rPr>
      </w:pPr>
    </w:p>
    <w:p w:rsidR="00AD77BB" w:rsidRDefault="00AD77BB">
      <w:pPr>
        <w:pStyle w:val="Title9"/>
        <w:spacing w:before="0" w:beforeAutospacing="0" w:after="0" w:afterAutospacing="0" w:line="439" w:lineRule="atLeast"/>
        <w:ind w:left="300" w:right="375"/>
        <w:textAlignment w:val="baseline"/>
        <w:rPr>
          <w:rStyle w:val="title-prefix"/>
          <w:rFonts w:ascii="Calibri" w:eastAsiaTheme="majorEastAsia" w:hAnsi="Calibri"/>
          <w:i/>
          <w:iCs/>
          <w:color w:val="000000"/>
          <w:sz w:val="18"/>
          <w:szCs w:val="18"/>
        </w:rPr>
      </w:pPr>
    </w:p>
    <w:p w:rsidR="00AD77BB" w:rsidRDefault="00AD77BB">
      <w:pPr>
        <w:pStyle w:val="Title9"/>
        <w:spacing w:before="0" w:beforeAutospacing="0" w:after="0" w:afterAutospacing="0" w:line="439" w:lineRule="atLeast"/>
        <w:ind w:left="300" w:right="375"/>
        <w:textAlignment w:val="baseline"/>
        <w:rPr>
          <w:rStyle w:val="title-prefix"/>
          <w:rFonts w:ascii="Calibri" w:eastAsiaTheme="majorEastAsia" w:hAnsi="Calibri"/>
          <w:i/>
          <w:iCs/>
          <w:color w:val="000000"/>
          <w:sz w:val="18"/>
          <w:szCs w:val="18"/>
        </w:rPr>
      </w:pPr>
    </w:p>
    <w:p w:rsidR="00AD77BB" w:rsidRDefault="00B45BA0">
      <w:pPr>
        <w:pStyle w:val="Title9"/>
        <w:shd w:val="clear" w:color="auto" w:fill="DAEEF3" w:themeFill="accent5" w:themeFillTint="33"/>
        <w:spacing w:before="0" w:beforeAutospacing="0" w:after="0" w:afterAutospacing="0" w:line="439" w:lineRule="atLeast"/>
        <w:ind w:left="300" w:right="375"/>
        <w:textAlignment w:val="baseline"/>
        <w:rPr>
          <w:color w:val="BB9966"/>
        </w:rPr>
      </w:pPr>
      <w:r>
        <w:rPr>
          <w:rStyle w:val="title-prefix"/>
          <w:rFonts w:ascii="Calibri" w:eastAsiaTheme="majorEastAsia" w:hAnsi="Calibri"/>
          <w:i/>
          <w:iCs/>
          <w:color w:val="000000"/>
          <w:sz w:val="18"/>
          <w:szCs w:val="18"/>
        </w:rPr>
        <w:t>Figure 10.9</w:t>
      </w:r>
      <w:r>
        <w:rPr>
          <w:rFonts w:ascii="Calibri" w:hAnsi="Calibri"/>
          <w:i/>
          <w:iCs/>
          <w:color w:val="BB9966"/>
          <w:sz w:val="18"/>
          <w:szCs w:val="18"/>
        </w:rPr>
        <w:t xml:space="preserve">Rejection Region and Test Statistic for </w:t>
      </w:r>
      <w:r>
        <w:rPr>
          <w:rFonts w:ascii="Calibri" w:hAnsi="Calibri"/>
          <w:i/>
          <w:iCs/>
          <w:color w:val="2689C6"/>
          <w:sz w:val="18"/>
          <w:szCs w:val="18"/>
        </w:rPr>
        <w:t>Note 10.33 "Example 8"</w:t>
      </w:r>
    </w:p>
    <w:p w:rsidR="00AD77BB" w:rsidRDefault="00B45BA0">
      <w:pPr>
        <w:shd w:val="clear" w:color="auto" w:fill="DAEEF3" w:themeFill="accent5" w:themeFillTint="33"/>
        <w:spacing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14:anchorId="2B47E4C1" wp14:editId="001F7D1C">
            <wp:extent cx="4181475" cy="2705100"/>
            <wp:effectExtent l="0" t="0" r="9525" b="0"/>
            <wp:docPr id="410" name="Picture 426" descr="http://images.flatworldknowledge.com/shafer/shafer-fig10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images.flatworldknowledge.com/shafer/shafer-fig10_009.jpg"/>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4181475" cy="2705100"/>
                    </a:xfrm>
                    <a:prstGeom prst="rect">
                      <a:avLst/>
                    </a:prstGeom>
                    <a:noFill/>
                    <a:ln>
                      <a:noFill/>
                    </a:ln>
                  </pic:spPr>
                </pic:pic>
              </a:graphicData>
            </a:graphic>
          </wp:inline>
        </w:drawing>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EXAMPLE 9</w:t>
      </w:r>
    </w:p>
    <w:p w:rsidR="00AD77BB" w:rsidRDefault="00B45BA0">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A car salesman claims that automobiles between two and six years old of the make and model discussed in </w:t>
      </w:r>
      <w:r>
        <w:rPr>
          <w:rFonts w:ascii="Calibri" w:eastAsia="Times New Roman" w:hAnsi="Calibri" w:cs="Times New Roman"/>
          <w:color w:val="2689C6"/>
          <w:sz w:val="21"/>
          <w:szCs w:val="21"/>
        </w:rPr>
        <w:t>Note 10.19 "Example 3"</w:t>
      </w:r>
      <w:r>
        <w:rPr>
          <w:rFonts w:ascii="Calibri" w:eastAsia="Times New Roman" w:hAnsi="Calibri" w:cs="Times New Roman"/>
          <w:color w:val="333333"/>
          <w:sz w:val="21"/>
          <w:szCs w:val="21"/>
        </w:rPr>
        <w:t> in </w:t>
      </w:r>
      <w:r>
        <w:rPr>
          <w:rFonts w:ascii="Calibri" w:eastAsia="Times New Roman" w:hAnsi="Calibri" w:cs="Times New Roman"/>
          <w:color w:val="2689C6"/>
          <w:sz w:val="21"/>
          <w:szCs w:val="21"/>
        </w:rPr>
        <w:t>Section 10.4 "The Least Squares Regression Line"</w:t>
      </w:r>
      <w:r>
        <w:rPr>
          <w:rFonts w:ascii="Calibri" w:eastAsia="Times New Roman" w:hAnsi="Calibri" w:cs="Times New Roman"/>
          <w:color w:val="333333"/>
          <w:sz w:val="21"/>
          <w:szCs w:val="21"/>
        </w:rPr>
        <w:t> lose more than $1,100 in value each year. Test this claim at the 5% level of significance.</w:t>
      </w:r>
    </w:p>
    <w:p w:rsidR="00AD77BB" w:rsidRDefault="00B45BA0">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Solution:</w:t>
      </w:r>
    </w:p>
    <w:p w:rsidR="00AD77BB" w:rsidRDefault="00B45BA0">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We will perform the test using the critical value approach.</w:t>
      </w:r>
    </w:p>
    <w:p w:rsidR="00AD77BB" w:rsidRDefault="00B45BA0">
      <w:pPr>
        <w:numPr>
          <w:ilvl w:val="0"/>
          <w:numId w:val="281"/>
        </w:num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Step 1. In terms of the variables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the salesman’s claim is that if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is increased by 1 unit (one additional year in age), then </w:t>
      </w:r>
      <w:r>
        <w:rPr>
          <w:rFonts w:ascii="Calibri" w:eastAsia="Times New Roman" w:hAnsi="Calibri" w:cs="Times New Roman"/>
          <w:i/>
          <w:iCs/>
          <w:color w:val="333333"/>
          <w:sz w:val="20"/>
          <w:szCs w:val="20"/>
        </w:rPr>
        <w:t xml:space="preserve">y </w:t>
      </w:r>
      <w:r>
        <w:rPr>
          <w:rFonts w:ascii="Calibri" w:eastAsia="Times New Roman" w:hAnsi="Calibri" w:cs="Times New Roman"/>
          <w:color w:val="333333"/>
          <w:sz w:val="20"/>
          <w:szCs w:val="20"/>
        </w:rPr>
        <w:t>decreases by more than 1.1 units (more than $1,100). Thus his assertion is that the slope of the population regression line is negative, and that it is more negative than −1.1. In symbols, </w:t>
      </w:r>
      <w:r>
        <w:rPr>
          <w:rFonts w:ascii="MathJax_Math" w:eastAsia="Times New Roman" w:hAnsi="MathJax_Math" w:cs="Times New Roman"/>
          <w:i/>
          <w:iCs/>
          <w:color w:val="333333"/>
          <w:sz w:val="15"/>
          <w:szCs w:val="15"/>
        </w:rPr>
        <w:t>β</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5"/>
          <w:szCs w:val="15"/>
        </w:rPr>
        <w:t>&lt;−1.1.</w:t>
      </w:r>
      <w:r>
        <w:rPr>
          <w:rFonts w:ascii="Calibri" w:eastAsia="Times New Roman" w:hAnsi="Calibri" w:cs="Times New Roman"/>
          <w:color w:val="333333"/>
          <w:sz w:val="20"/>
          <w:szCs w:val="20"/>
        </w:rPr>
        <w:t>Since it contains an inequality, this has to be the alternative hypotheses. The null hypothesis has to be an equality and have the same number on the right hand side, so the relevant test is</w:t>
      </w:r>
    </w:p>
    <w:p w:rsidR="00AD77BB" w:rsidRDefault="00B45BA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530F491A" wp14:editId="0C74518D">
            <wp:extent cx="5010150" cy="5467350"/>
            <wp:effectExtent l="0" t="0" r="0" b="0"/>
            <wp:docPr id="411"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010150" cy="5467350"/>
                    </a:xfrm>
                    <a:prstGeom prst="rect">
                      <a:avLst/>
                    </a:prstGeom>
                    <a:noFill/>
                    <a:ln>
                      <a:noFill/>
                    </a:ln>
                  </pic:spPr>
                </pic:pic>
              </a:graphicData>
            </a:graphic>
          </wp:inline>
        </w:drawing>
      </w:r>
    </w:p>
    <w:p w:rsidR="00AD77BB" w:rsidRDefault="00B45BA0">
      <w:pPr>
        <w:shd w:val="clear" w:color="auto" w:fill="DAEEF3" w:themeFill="accent5" w:themeFillTint="33"/>
        <w:spacing w:before="150" w:after="0" w:line="439" w:lineRule="atLeast"/>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data provide sufficient evidence, at the 5% level of significance, to conclude that vehicles of this make and model and in this age range lose more than $1,100 per year in value, on average.</w:t>
      </w:r>
    </w:p>
    <w:p w:rsidR="00AD77BB" w:rsidRDefault="00AD77BB">
      <w:pPr>
        <w:spacing w:after="0" w:line="439" w:lineRule="atLeast"/>
        <w:ind w:left="300" w:right="375"/>
        <w:textAlignment w:val="baseline"/>
        <w:rPr>
          <w:rFonts w:ascii="Calibri" w:eastAsia="Times New Roman" w:hAnsi="Calibri" w:cs="Times New Roman"/>
          <w:i/>
          <w:iCs/>
          <w:color w:val="000000"/>
          <w:sz w:val="18"/>
          <w:szCs w:val="18"/>
        </w:rPr>
      </w:pPr>
    </w:p>
    <w:p w:rsidR="00AD77BB" w:rsidRDefault="00AD77BB">
      <w:pPr>
        <w:spacing w:after="0" w:line="439" w:lineRule="atLeast"/>
        <w:ind w:left="300" w:right="375"/>
        <w:textAlignment w:val="baseline"/>
        <w:rPr>
          <w:rFonts w:ascii="Calibri" w:eastAsia="Times New Roman" w:hAnsi="Calibri" w:cs="Times New Roman"/>
          <w:i/>
          <w:iCs/>
          <w:color w:val="000000"/>
          <w:sz w:val="18"/>
          <w:szCs w:val="18"/>
        </w:rPr>
      </w:pPr>
    </w:p>
    <w:p w:rsidR="00AD77BB" w:rsidRDefault="00AD77BB">
      <w:pPr>
        <w:spacing w:after="0" w:line="439" w:lineRule="atLeast"/>
        <w:ind w:left="300" w:right="375"/>
        <w:textAlignment w:val="baseline"/>
        <w:rPr>
          <w:rFonts w:ascii="Calibri" w:eastAsia="Times New Roman" w:hAnsi="Calibri" w:cs="Times New Roman"/>
          <w:i/>
          <w:iCs/>
          <w:color w:val="000000"/>
          <w:sz w:val="18"/>
          <w:szCs w:val="18"/>
        </w:rPr>
      </w:pPr>
    </w:p>
    <w:p w:rsidR="00AD77BB" w:rsidRDefault="00AD77BB">
      <w:pPr>
        <w:spacing w:after="0" w:line="439" w:lineRule="atLeast"/>
        <w:ind w:left="300" w:right="375"/>
        <w:textAlignment w:val="baseline"/>
        <w:rPr>
          <w:rFonts w:ascii="Calibri" w:eastAsia="Times New Roman" w:hAnsi="Calibri" w:cs="Times New Roman"/>
          <w:i/>
          <w:iCs/>
          <w:color w:val="000000"/>
          <w:sz w:val="18"/>
          <w:szCs w:val="18"/>
        </w:rPr>
      </w:pPr>
    </w:p>
    <w:p w:rsidR="00AD77BB" w:rsidRDefault="00AD77BB">
      <w:pPr>
        <w:spacing w:after="0" w:line="439" w:lineRule="atLeast"/>
        <w:ind w:left="300" w:right="375"/>
        <w:textAlignment w:val="baseline"/>
        <w:rPr>
          <w:rFonts w:ascii="Calibri" w:eastAsia="Times New Roman" w:hAnsi="Calibri" w:cs="Times New Roman"/>
          <w:i/>
          <w:iCs/>
          <w:color w:val="000000"/>
          <w:sz w:val="18"/>
          <w:szCs w:val="18"/>
        </w:rPr>
      </w:pPr>
    </w:p>
    <w:p w:rsidR="00AD77BB" w:rsidRDefault="00AD77BB">
      <w:pPr>
        <w:spacing w:after="0" w:line="439" w:lineRule="atLeast"/>
        <w:ind w:left="300" w:right="375"/>
        <w:textAlignment w:val="baseline"/>
        <w:rPr>
          <w:rFonts w:ascii="Calibri" w:eastAsia="Times New Roman" w:hAnsi="Calibri" w:cs="Times New Roman"/>
          <w:i/>
          <w:iCs/>
          <w:color w:val="000000"/>
          <w:sz w:val="18"/>
          <w:szCs w:val="18"/>
        </w:rPr>
      </w:pPr>
    </w:p>
    <w:p w:rsidR="00AD77BB" w:rsidRDefault="00AD77BB">
      <w:pPr>
        <w:spacing w:after="0" w:line="439" w:lineRule="atLeast"/>
        <w:ind w:left="300" w:right="375"/>
        <w:textAlignment w:val="baseline"/>
        <w:rPr>
          <w:rFonts w:ascii="Calibri" w:eastAsia="Times New Roman" w:hAnsi="Calibri" w:cs="Times New Roman"/>
          <w:i/>
          <w:iCs/>
          <w:color w:val="000000"/>
          <w:sz w:val="18"/>
          <w:szCs w:val="18"/>
        </w:rPr>
      </w:pPr>
    </w:p>
    <w:p w:rsidR="00AD77BB" w:rsidRDefault="00B45BA0">
      <w:pPr>
        <w:spacing w:after="0" w:line="439" w:lineRule="atLeast"/>
        <w:ind w:left="300" w:right="375"/>
        <w:textAlignment w:val="baseline"/>
        <w:rPr>
          <w:rFonts w:ascii="Calibri" w:eastAsia="Times New Roman" w:hAnsi="Calibri" w:cs="Times New Roman"/>
          <w:i/>
          <w:iCs/>
          <w:color w:val="BB9966"/>
          <w:sz w:val="18"/>
          <w:szCs w:val="18"/>
        </w:rPr>
      </w:pPr>
      <w:r>
        <w:rPr>
          <w:rFonts w:ascii="Calibri" w:eastAsia="Times New Roman" w:hAnsi="Calibri" w:cs="Times New Roman"/>
          <w:i/>
          <w:iCs/>
          <w:color w:val="000000"/>
          <w:sz w:val="18"/>
          <w:szCs w:val="18"/>
        </w:rPr>
        <w:lastRenderedPageBreak/>
        <w:t>Figure 10.10</w:t>
      </w:r>
      <w:r>
        <w:rPr>
          <w:rFonts w:ascii="Calibri" w:eastAsia="Times New Roman" w:hAnsi="Calibri" w:cs="Times New Roman"/>
          <w:i/>
          <w:iCs/>
          <w:color w:val="BB9966"/>
          <w:sz w:val="18"/>
          <w:szCs w:val="18"/>
        </w:rPr>
        <w:t>Rejection Region and Test Statistic for</w:t>
      </w:r>
      <w:r>
        <w:rPr>
          <w:rFonts w:ascii="Calibri" w:eastAsia="Times New Roman" w:hAnsi="Calibri" w:cs="Times New Roman"/>
          <w:i/>
          <w:iCs/>
          <w:color w:val="2689C6"/>
          <w:sz w:val="18"/>
          <w:szCs w:val="18"/>
        </w:rPr>
        <w:t>Note 10.34 "Example 9"</w:t>
      </w:r>
    </w:p>
    <w:p w:rsidR="00AD77BB" w:rsidRDefault="00B45BA0">
      <w:pPr>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rPr>
        <w:drawing>
          <wp:inline distT="0" distB="0" distL="0" distR="0" wp14:anchorId="65694DAF" wp14:editId="13D62D03">
            <wp:extent cx="4895850" cy="3171825"/>
            <wp:effectExtent l="0" t="0" r="0" b="9525"/>
            <wp:docPr id="412" name="Picture 1" descr="http://images.flatworldknowledge.com/shafer/shafer-fig10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shafer/shafer-fig10_010.jpg"/>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4895850" cy="3171825"/>
                    </a:xfrm>
                    <a:prstGeom prst="rect">
                      <a:avLst/>
                    </a:prstGeom>
                    <a:noFill/>
                    <a:ln>
                      <a:noFill/>
                    </a:ln>
                  </pic:spPr>
                </pic:pic>
              </a:graphicData>
            </a:graphic>
          </wp:inline>
        </w:drawing>
      </w:r>
    </w:p>
    <w:p w:rsidR="00AD77BB" w:rsidRDefault="00B45BA0">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AD77BB" w:rsidRDefault="00B45BA0">
      <w:pPr>
        <w:numPr>
          <w:ilvl w:val="0"/>
          <w:numId w:val="282"/>
        </w:numPr>
        <w:shd w:val="clear" w:color="auto" w:fill="ECF9EA"/>
        <w:spacing w:after="0" w:line="360" w:lineRule="auto"/>
        <w:ind w:left="360" w:right="375"/>
        <w:textAlignment w:val="baseline"/>
        <w:rPr>
          <w:rFonts w:ascii="Calibri" w:hAnsi="Calibri"/>
          <w:color w:val="333333"/>
          <w:sz w:val="20"/>
          <w:szCs w:val="20"/>
        </w:rPr>
      </w:pPr>
      <w:r>
        <w:rPr>
          <w:rFonts w:ascii="Calibri" w:hAnsi="Calibri"/>
          <w:color w:val="333333"/>
          <w:sz w:val="20"/>
          <w:szCs w:val="20"/>
        </w:rPr>
        <w:t>The parameter</w:t>
      </w:r>
      <w:r>
        <w:rPr>
          <w:rStyle w:val="apple-converted-space"/>
          <w:rFonts w:ascii="Calibri" w:hAnsi="Calibri"/>
          <w:color w:val="333333"/>
          <w:sz w:val="20"/>
          <w:szCs w:val="20"/>
        </w:rPr>
        <w:t> </w:t>
      </w:r>
      <w:r>
        <w:rPr>
          <w:rStyle w:val="mi"/>
          <w:rFonts w:ascii="MathJax_Math" w:hAnsi="MathJax_Math"/>
          <w:i/>
          <w:iCs/>
          <w:color w:val="333333"/>
          <w:sz w:val="15"/>
          <w:szCs w:val="15"/>
        </w:rPr>
        <w:t>β</w:t>
      </w:r>
      <w:r>
        <w:rPr>
          <w:rStyle w:val="mn"/>
          <w:rFonts w:ascii="MathJax_Main" w:hAnsi="MathJax_Main"/>
          <w:color w:val="333333"/>
          <w:sz w:val="12"/>
          <w:szCs w:val="12"/>
        </w:rPr>
        <w:t>1</w:t>
      </w:r>
      <w:r>
        <w:rPr>
          <w:rFonts w:ascii="Calibri" w:hAnsi="Calibri"/>
          <w:color w:val="333333"/>
          <w:sz w:val="20"/>
          <w:szCs w:val="20"/>
        </w:rPr>
        <w:t>, the slope of the population regression line, is of primary interest because it describes the average change in</w:t>
      </w:r>
      <w:r>
        <w:rPr>
          <w:rStyle w:val="apple-converted-space"/>
          <w:rFonts w:ascii="Calibri" w:hAnsi="Calibri"/>
          <w:color w:val="333333"/>
          <w:sz w:val="20"/>
          <w:szCs w:val="20"/>
        </w:rPr>
        <w:t> </w:t>
      </w:r>
      <w:r>
        <w:rPr>
          <w:rStyle w:val="Emphasis"/>
          <w:rFonts w:ascii="Calibri" w:hAnsi="Calibri"/>
          <w:color w:val="333333"/>
          <w:sz w:val="20"/>
          <w:szCs w:val="20"/>
        </w:rPr>
        <w:t>y</w:t>
      </w:r>
      <w:r>
        <w:rPr>
          <w:rStyle w:val="apple-converted-space"/>
          <w:rFonts w:ascii="Calibri" w:hAnsi="Calibri"/>
          <w:color w:val="333333"/>
          <w:sz w:val="20"/>
          <w:szCs w:val="20"/>
        </w:rPr>
        <w:t> </w:t>
      </w:r>
      <w:r>
        <w:rPr>
          <w:rFonts w:ascii="Calibri" w:hAnsi="Calibri"/>
          <w:color w:val="333333"/>
          <w:sz w:val="20"/>
          <w:szCs w:val="20"/>
        </w:rPr>
        <w:t>with respect to unit increase in</w:t>
      </w:r>
      <w:r>
        <w:rPr>
          <w:rStyle w:val="apple-converted-space"/>
          <w:rFonts w:ascii="Calibri" w:hAnsi="Calibri"/>
          <w:color w:val="333333"/>
          <w:sz w:val="20"/>
          <w:szCs w:val="20"/>
        </w:rPr>
        <w:t> </w:t>
      </w:r>
      <w:r>
        <w:rPr>
          <w:rStyle w:val="Emphasis"/>
          <w:rFonts w:ascii="Calibri" w:hAnsi="Calibri"/>
          <w:color w:val="333333"/>
          <w:sz w:val="20"/>
          <w:szCs w:val="20"/>
        </w:rPr>
        <w:t>x</w:t>
      </w:r>
      <w:r>
        <w:rPr>
          <w:rFonts w:ascii="Calibri" w:hAnsi="Calibri"/>
          <w:color w:val="333333"/>
          <w:sz w:val="20"/>
          <w:szCs w:val="20"/>
        </w:rPr>
        <w:t>.</w:t>
      </w:r>
    </w:p>
    <w:p w:rsidR="00AD77BB" w:rsidRDefault="00B45BA0">
      <w:pPr>
        <w:numPr>
          <w:ilvl w:val="0"/>
          <w:numId w:val="282"/>
        </w:numPr>
        <w:shd w:val="clear" w:color="auto" w:fill="ECF9EA"/>
        <w:spacing w:after="0" w:line="360" w:lineRule="auto"/>
        <w:ind w:left="360" w:right="375"/>
        <w:textAlignment w:val="baseline"/>
        <w:rPr>
          <w:rFonts w:ascii="Calibri" w:hAnsi="Calibri"/>
          <w:color w:val="333333"/>
          <w:sz w:val="20"/>
          <w:szCs w:val="20"/>
        </w:rPr>
      </w:pPr>
      <w:r>
        <w:rPr>
          <w:rFonts w:ascii="Calibri" w:hAnsi="Calibri"/>
          <w:color w:val="333333"/>
          <w:sz w:val="20"/>
          <w:szCs w:val="20"/>
        </w:rPr>
        <w:t>The statistic</w:t>
      </w:r>
      <w:r>
        <w:rPr>
          <w:rStyle w:val="apple-converted-space"/>
          <w:rFonts w:ascii="Calibri" w:hAnsi="Calibri"/>
          <w:color w:val="333333"/>
          <w:sz w:val="20"/>
          <w:szCs w:val="20"/>
        </w:rPr>
        <w:t> </w:t>
      </w:r>
      <w:r>
        <w:rPr>
          <w:rStyle w:val="mi"/>
          <w:rFonts w:ascii="MathJax_Math" w:hAnsi="MathJax_Math"/>
          <w:i/>
          <w:iCs/>
          <w:color w:val="333333"/>
          <w:sz w:val="12"/>
          <w:szCs w:val="12"/>
        </w:rPr>
        <w:t>β</w:t>
      </w:r>
      <w:r>
        <w:rPr>
          <w:rStyle w:val="mo"/>
          <w:rFonts w:ascii="MathJax_Size1" w:hAnsi="MathJax_Size1"/>
          <w:color w:val="333333"/>
          <w:sz w:val="15"/>
          <w:szCs w:val="15"/>
        </w:rPr>
        <w:t>ˆ</w:t>
      </w:r>
      <w:r>
        <w:rPr>
          <w:rStyle w:val="mn"/>
          <w:rFonts w:ascii="MathJax_Main" w:hAnsi="MathJax_Main"/>
          <w:color w:val="333333"/>
          <w:sz w:val="12"/>
          <w:szCs w:val="12"/>
        </w:rPr>
        <w:t>1</w:t>
      </w:r>
      <w:r>
        <w:rPr>
          <w:rFonts w:ascii="Calibri" w:hAnsi="Calibri"/>
          <w:color w:val="333333"/>
          <w:sz w:val="20"/>
          <w:szCs w:val="20"/>
        </w:rPr>
        <w:t>, the slope of the least squares regression line, is a point estimate of</w:t>
      </w:r>
      <w:r>
        <w:rPr>
          <w:rStyle w:val="apple-converted-space"/>
          <w:rFonts w:ascii="Calibri" w:hAnsi="Calibri"/>
          <w:color w:val="333333"/>
          <w:sz w:val="20"/>
          <w:szCs w:val="20"/>
        </w:rPr>
        <w:t> </w:t>
      </w:r>
      <w:r>
        <w:rPr>
          <w:rStyle w:val="mi"/>
          <w:rFonts w:ascii="MathJax_Math" w:hAnsi="MathJax_Math"/>
          <w:i/>
          <w:iCs/>
          <w:color w:val="333333"/>
          <w:sz w:val="15"/>
          <w:szCs w:val="15"/>
        </w:rPr>
        <w:t>β</w:t>
      </w:r>
      <w:r>
        <w:rPr>
          <w:rStyle w:val="mn"/>
          <w:rFonts w:ascii="MathJax_Main" w:hAnsi="MathJax_Main"/>
          <w:color w:val="333333"/>
          <w:sz w:val="12"/>
          <w:szCs w:val="12"/>
        </w:rPr>
        <w:t>1</w:t>
      </w:r>
      <w:r>
        <w:rPr>
          <w:rStyle w:val="mo"/>
          <w:rFonts w:ascii="MathJax_Main" w:hAnsi="MathJax_Main"/>
          <w:color w:val="333333"/>
          <w:sz w:val="15"/>
          <w:szCs w:val="15"/>
        </w:rPr>
        <w:t>.</w:t>
      </w:r>
      <w:r>
        <w:rPr>
          <w:rStyle w:val="apple-converted-space"/>
          <w:rFonts w:ascii="Calibri" w:hAnsi="Calibri"/>
          <w:color w:val="333333"/>
          <w:sz w:val="20"/>
          <w:szCs w:val="20"/>
        </w:rPr>
        <w:t> </w:t>
      </w:r>
      <w:r>
        <w:rPr>
          <w:rFonts w:ascii="Calibri" w:hAnsi="Calibri"/>
          <w:color w:val="333333"/>
          <w:sz w:val="20"/>
          <w:szCs w:val="20"/>
        </w:rPr>
        <w:t>Confidence intervals for</w:t>
      </w:r>
      <w:r>
        <w:rPr>
          <w:rStyle w:val="apple-converted-space"/>
          <w:rFonts w:ascii="Calibri" w:hAnsi="Calibri"/>
          <w:color w:val="333333"/>
          <w:sz w:val="20"/>
          <w:szCs w:val="20"/>
        </w:rPr>
        <w:t> </w:t>
      </w:r>
      <w:r>
        <w:rPr>
          <w:rStyle w:val="mi"/>
          <w:rFonts w:ascii="MathJax_Math" w:hAnsi="MathJax_Math"/>
          <w:i/>
          <w:iCs/>
          <w:color w:val="333333"/>
          <w:sz w:val="15"/>
          <w:szCs w:val="15"/>
        </w:rPr>
        <w:t>β</w:t>
      </w:r>
      <w:r>
        <w:rPr>
          <w:rStyle w:val="mn"/>
          <w:rFonts w:ascii="MathJax_Main" w:hAnsi="MathJax_Main"/>
          <w:color w:val="333333"/>
          <w:sz w:val="12"/>
          <w:szCs w:val="12"/>
        </w:rPr>
        <w:t>1</w:t>
      </w:r>
      <w:r>
        <w:rPr>
          <w:rStyle w:val="apple-converted-space"/>
          <w:rFonts w:ascii="Calibri" w:hAnsi="Calibri"/>
          <w:color w:val="333333"/>
          <w:sz w:val="20"/>
          <w:szCs w:val="20"/>
        </w:rPr>
        <w:t> </w:t>
      </w:r>
      <w:r>
        <w:rPr>
          <w:rFonts w:ascii="Calibri" w:hAnsi="Calibri"/>
          <w:color w:val="333333"/>
          <w:sz w:val="20"/>
          <w:szCs w:val="20"/>
        </w:rPr>
        <w:t>can be computed using a formula.</w:t>
      </w:r>
    </w:p>
    <w:p w:rsidR="00AD77BB" w:rsidRDefault="00B45BA0">
      <w:pPr>
        <w:numPr>
          <w:ilvl w:val="0"/>
          <w:numId w:val="282"/>
        </w:numPr>
        <w:shd w:val="clear" w:color="auto" w:fill="ECF9EA"/>
        <w:spacing w:after="0" w:line="360" w:lineRule="auto"/>
        <w:ind w:left="360" w:right="375"/>
        <w:textAlignment w:val="baseline"/>
        <w:rPr>
          <w:rFonts w:ascii="Calibri" w:hAnsi="Calibri"/>
          <w:color w:val="333333"/>
          <w:sz w:val="20"/>
          <w:szCs w:val="20"/>
        </w:rPr>
      </w:pPr>
      <w:r>
        <w:rPr>
          <w:rFonts w:ascii="Calibri" w:hAnsi="Calibri"/>
          <w:color w:val="333333"/>
          <w:sz w:val="20"/>
          <w:szCs w:val="20"/>
        </w:rPr>
        <w:t>Hypotheses regarding</w:t>
      </w:r>
      <w:r>
        <w:rPr>
          <w:rStyle w:val="apple-converted-space"/>
          <w:rFonts w:ascii="Calibri" w:hAnsi="Calibri"/>
          <w:color w:val="333333"/>
          <w:sz w:val="20"/>
          <w:szCs w:val="20"/>
        </w:rPr>
        <w:t> </w:t>
      </w:r>
      <w:r>
        <w:rPr>
          <w:rStyle w:val="mi"/>
          <w:rFonts w:ascii="MathJax_Math" w:hAnsi="MathJax_Math"/>
          <w:i/>
          <w:iCs/>
          <w:color w:val="333333"/>
          <w:sz w:val="15"/>
          <w:szCs w:val="15"/>
        </w:rPr>
        <w:t>β</w:t>
      </w:r>
      <w:r>
        <w:rPr>
          <w:rStyle w:val="mn"/>
          <w:rFonts w:ascii="MathJax_Main" w:hAnsi="MathJax_Main"/>
          <w:color w:val="333333"/>
          <w:sz w:val="12"/>
          <w:szCs w:val="12"/>
        </w:rPr>
        <w:t>1</w:t>
      </w:r>
      <w:r>
        <w:rPr>
          <w:rStyle w:val="apple-converted-space"/>
          <w:rFonts w:ascii="Calibri" w:hAnsi="Calibri"/>
          <w:color w:val="333333"/>
          <w:sz w:val="20"/>
          <w:szCs w:val="20"/>
        </w:rPr>
        <w:t> </w:t>
      </w:r>
      <w:r>
        <w:rPr>
          <w:rFonts w:ascii="Calibri" w:hAnsi="Calibri"/>
          <w:color w:val="333333"/>
          <w:sz w:val="20"/>
          <w:szCs w:val="20"/>
        </w:rPr>
        <w:t>are tested using the same five-step procedures introduced in</w:t>
      </w:r>
      <w:r>
        <w:rPr>
          <w:rStyle w:val="apple-converted-space"/>
          <w:rFonts w:ascii="Calibri" w:hAnsi="Calibri"/>
          <w:color w:val="333333"/>
          <w:sz w:val="20"/>
          <w:szCs w:val="20"/>
        </w:rPr>
        <w:t> </w:t>
      </w:r>
      <w:r>
        <w:rPr>
          <w:rFonts w:ascii="Calibri" w:hAnsi="Calibri"/>
          <w:color w:val="2689C6"/>
          <w:sz w:val="20"/>
          <w:szCs w:val="20"/>
        </w:rPr>
        <w:t>Chapter 8 "Testing Hypotheses"</w:t>
      </w:r>
      <w:r>
        <w:rPr>
          <w:rFonts w:ascii="Calibri" w:hAnsi="Calibri"/>
          <w:color w:val="333333"/>
          <w:sz w:val="20"/>
          <w:szCs w:val="20"/>
        </w:rPr>
        <w:t>.</w:t>
      </w:r>
    </w:p>
    <w:p w:rsidR="00AD77BB" w:rsidRDefault="00B45BA0">
      <w:pPr>
        <w:pStyle w:val="Heading3"/>
        <w:shd w:val="clear" w:color="auto" w:fill="08629A"/>
        <w:spacing w:before="0" w:beforeAutospacing="0" w:after="150" w:afterAutospacing="0" w:line="360" w:lineRule="auto"/>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AD77BB" w:rsidRDefault="00B45BA0">
      <w:pPr>
        <w:pStyle w:val="Heading3"/>
        <w:shd w:val="clear" w:color="auto" w:fill="08629A"/>
        <w:spacing w:before="0" w:beforeAutospacing="0" w:after="150" w:afterAutospacing="0" w:line="360" w:lineRule="auto"/>
        <w:jc w:val="center"/>
        <w:textAlignment w:val="baseline"/>
        <w:rPr>
          <w:rFonts w:ascii="Calibri" w:hAnsi="Calibri"/>
          <w:caps/>
          <w:color w:val="FFFFFF"/>
          <w:spacing w:val="30"/>
          <w:sz w:val="22"/>
          <w:szCs w:val="22"/>
        </w:rPr>
      </w:pPr>
      <w:r>
        <w:rPr>
          <w:rFonts w:ascii="Calibri" w:hAnsi="Calibri"/>
          <w:caps/>
          <w:color w:val="FFFFFF"/>
          <w:spacing w:val="30"/>
          <w:sz w:val="22"/>
          <w:szCs w:val="22"/>
        </w:rPr>
        <w:t>BASIC</w:t>
      </w:r>
    </w:p>
    <w:p w:rsidR="00AD77BB" w:rsidRDefault="00B45BA0">
      <w:pPr>
        <w:pStyle w:val="para"/>
        <w:shd w:val="clear" w:color="auto" w:fill="E3EFF7"/>
        <w:spacing w:before="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For the Basic and Application exercises in this section use the computations that were done for the exercises with the same number in</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Fonts w:ascii="Calibri" w:hAnsi="Calibri"/>
          <w:color w:val="2689C6"/>
          <w:sz w:val="20"/>
          <w:szCs w:val="20"/>
        </w:rPr>
        <w:t>Section 10.4 "The Least Squares Regression Line"</w:t>
      </w:r>
      <w:r>
        <w:rPr>
          <w:rFonts w:ascii="Calibri" w:hAnsi="Calibri"/>
          <w:color w:val="333333"/>
          <w:sz w:val="20"/>
          <w:szCs w:val="20"/>
        </w:rPr>
        <w:t>.</w:t>
      </w:r>
    </w:p>
    <w:p w:rsidR="00AD77BB" w:rsidRDefault="00B45BA0">
      <w:pPr>
        <w:pStyle w:val="para"/>
        <w:numPr>
          <w:ilvl w:val="0"/>
          <w:numId w:val="283"/>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Construct the 95% confidence interval for the slope</w:t>
      </w:r>
      <w:r>
        <w:rPr>
          <w:rStyle w:val="apple-converted-space"/>
          <w:rFonts w:ascii="Calibri" w:hAnsi="Calibri"/>
          <w:color w:val="333333"/>
          <w:sz w:val="20"/>
          <w:szCs w:val="20"/>
        </w:rPr>
        <w:t> </w:t>
      </w:r>
      <w:r>
        <w:rPr>
          <w:rStyle w:val="mi"/>
          <w:rFonts w:ascii="MathJax_Math" w:hAnsi="MathJax_Math"/>
          <w:i/>
          <w:iCs/>
          <w:color w:val="333333"/>
          <w:sz w:val="15"/>
          <w:szCs w:val="15"/>
        </w:rPr>
        <w:t>β</w:t>
      </w:r>
      <w:r>
        <w:rPr>
          <w:rStyle w:val="mn"/>
          <w:rFonts w:ascii="MathJax_Main" w:hAnsi="MathJax_Main"/>
          <w:color w:val="333333"/>
          <w:sz w:val="12"/>
          <w:szCs w:val="12"/>
        </w:rPr>
        <w:t>1</w:t>
      </w:r>
      <w:r>
        <w:rPr>
          <w:rStyle w:val="apple-converted-space"/>
          <w:rFonts w:ascii="Calibri" w:hAnsi="Calibri"/>
          <w:color w:val="333333"/>
          <w:sz w:val="20"/>
          <w:szCs w:val="20"/>
        </w:rPr>
        <w:t> </w:t>
      </w:r>
      <w:r>
        <w:rPr>
          <w:rFonts w:ascii="Calibri" w:hAnsi="Calibri"/>
          <w:color w:val="333333"/>
          <w:sz w:val="20"/>
          <w:szCs w:val="20"/>
        </w:rPr>
        <w:t>of the population regression line based on the sample data set of Exercise 1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r>
        <w:rPr>
          <w:rFonts w:ascii="Calibri" w:hAnsi="Calibri"/>
          <w:color w:val="333333"/>
          <w:sz w:val="20"/>
          <w:szCs w:val="20"/>
        </w:rPr>
        <w:t>.</w:t>
      </w:r>
    </w:p>
    <w:p w:rsidR="00AD77BB" w:rsidRDefault="00B45BA0">
      <w:pPr>
        <w:pStyle w:val="para"/>
        <w:numPr>
          <w:ilvl w:val="0"/>
          <w:numId w:val="283"/>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Construct the 90% confidence interval for the slope</w:t>
      </w:r>
      <w:r>
        <w:rPr>
          <w:rStyle w:val="apple-converted-space"/>
          <w:rFonts w:ascii="Calibri" w:hAnsi="Calibri"/>
          <w:color w:val="333333"/>
          <w:sz w:val="20"/>
          <w:szCs w:val="20"/>
        </w:rPr>
        <w:t> </w:t>
      </w:r>
      <w:r>
        <w:rPr>
          <w:rStyle w:val="mi"/>
          <w:rFonts w:ascii="MathJax_Math" w:hAnsi="MathJax_Math"/>
          <w:i/>
          <w:iCs/>
          <w:color w:val="333333"/>
          <w:sz w:val="15"/>
          <w:szCs w:val="15"/>
        </w:rPr>
        <w:t>β</w:t>
      </w:r>
      <w:r>
        <w:rPr>
          <w:rStyle w:val="mn"/>
          <w:rFonts w:ascii="MathJax_Main" w:hAnsi="MathJax_Main"/>
          <w:color w:val="333333"/>
          <w:sz w:val="12"/>
          <w:szCs w:val="12"/>
        </w:rPr>
        <w:t>1</w:t>
      </w:r>
      <w:r>
        <w:rPr>
          <w:rStyle w:val="apple-converted-space"/>
          <w:rFonts w:ascii="Calibri" w:hAnsi="Calibri"/>
          <w:color w:val="333333"/>
          <w:sz w:val="20"/>
          <w:szCs w:val="20"/>
        </w:rPr>
        <w:t> </w:t>
      </w:r>
      <w:r>
        <w:rPr>
          <w:rFonts w:ascii="Calibri" w:hAnsi="Calibri"/>
          <w:color w:val="333333"/>
          <w:sz w:val="20"/>
          <w:szCs w:val="20"/>
        </w:rPr>
        <w:t>of the population regression line based on the sample data set of Exercise 2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r>
        <w:rPr>
          <w:rFonts w:ascii="Calibri" w:hAnsi="Calibri"/>
          <w:color w:val="333333"/>
          <w:sz w:val="20"/>
          <w:szCs w:val="20"/>
        </w:rPr>
        <w:t>.</w:t>
      </w:r>
    </w:p>
    <w:p w:rsidR="00AD77BB" w:rsidRDefault="00B45BA0">
      <w:pPr>
        <w:pStyle w:val="para"/>
        <w:numPr>
          <w:ilvl w:val="0"/>
          <w:numId w:val="283"/>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Construct the 90% confidence interval for the slope</w:t>
      </w:r>
      <w:r>
        <w:rPr>
          <w:rStyle w:val="apple-converted-space"/>
          <w:rFonts w:ascii="Calibri" w:hAnsi="Calibri"/>
          <w:color w:val="333333"/>
          <w:sz w:val="20"/>
          <w:szCs w:val="20"/>
        </w:rPr>
        <w:t> </w:t>
      </w:r>
      <w:r>
        <w:rPr>
          <w:rStyle w:val="mi"/>
          <w:rFonts w:ascii="MathJax_Math" w:hAnsi="MathJax_Math"/>
          <w:i/>
          <w:iCs/>
          <w:color w:val="333333"/>
          <w:sz w:val="15"/>
          <w:szCs w:val="15"/>
        </w:rPr>
        <w:t>β</w:t>
      </w:r>
      <w:r>
        <w:rPr>
          <w:rStyle w:val="mn"/>
          <w:rFonts w:ascii="MathJax_Main" w:hAnsi="MathJax_Main"/>
          <w:color w:val="333333"/>
          <w:sz w:val="12"/>
          <w:szCs w:val="12"/>
        </w:rPr>
        <w:t>1</w:t>
      </w:r>
      <w:r>
        <w:rPr>
          <w:rStyle w:val="apple-converted-space"/>
          <w:rFonts w:ascii="Calibri" w:hAnsi="Calibri"/>
          <w:color w:val="333333"/>
          <w:sz w:val="20"/>
          <w:szCs w:val="20"/>
        </w:rPr>
        <w:t> </w:t>
      </w:r>
      <w:r>
        <w:rPr>
          <w:rFonts w:ascii="Calibri" w:hAnsi="Calibri"/>
          <w:color w:val="333333"/>
          <w:sz w:val="20"/>
          <w:szCs w:val="20"/>
        </w:rPr>
        <w:t>of the population regression line based on the sample data set of Exercise 3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r>
        <w:rPr>
          <w:rFonts w:ascii="Calibri" w:hAnsi="Calibri"/>
          <w:color w:val="333333"/>
          <w:sz w:val="20"/>
          <w:szCs w:val="20"/>
        </w:rPr>
        <w:t>.</w:t>
      </w:r>
    </w:p>
    <w:p w:rsidR="00AD77BB" w:rsidRDefault="00B45BA0">
      <w:pPr>
        <w:pStyle w:val="para"/>
        <w:numPr>
          <w:ilvl w:val="0"/>
          <w:numId w:val="283"/>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lastRenderedPageBreak/>
        <w:t>Construct the 99% confidence interval for the slope</w:t>
      </w:r>
      <w:r>
        <w:rPr>
          <w:rStyle w:val="apple-converted-space"/>
          <w:rFonts w:ascii="Calibri" w:hAnsi="Calibri"/>
          <w:color w:val="333333"/>
          <w:sz w:val="20"/>
          <w:szCs w:val="20"/>
        </w:rPr>
        <w:t> </w:t>
      </w:r>
      <w:r>
        <w:rPr>
          <w:rStyle w:val="mi"/>
          <w:rFonts w:ascii="MathJax_Math" w:hAnsi="MathJax_Math"/>
          <w:i/>
          <w:iCs/>
          <w:color w:val="333333"/>
          <w:sz w:val="15"/>
          <w:szCs w:val="15"/>
        </w:rPr>
        <w:t>β</w:t>
      </w:r>
      <w:r>
        <w:rPr>
          <w:rStyle w:val="mn"/>
          <w:rFonts w:ascii="MathJax_Main" w:hAnsi="MathJax_Main"/>
          <w:color w:val="333333"/>
          <w:sz w:val="12"/>
          <w:szCs w:val="12"/>
        </w:rPr>
        <w:t>1</w:t>
      </w:r>
      <w:r>
        <w:rPr>
          <w:rStyle w:val="apple-converted-space"/>
          <w:rFonts w:ascii="Calibri" w:hAnsi="Calibri"/>
          <w:color w:val="333333"/>
          <w:sz w:val="20"/>
          <w:szCs w:val="20"/>
        </w:rPr>
        <w:t> </w:t>
      </w:r>
      <w:r>
        <w:rPr>
          <w:rFonts w:ascii="Calibri" w:hAnsi="Calibri"/>
          <w:color w:val="333333"/>
          <w:sz w:val="20"/>
          <w:szCs w:val="20"/>
        </w:rPr>
        <w:t>of the population regression Exercise 4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r>
        <w:rPr>
          <w:rFonts w:ascii="Calibri" w:hAnsi="Calibri"/>
          <w:color w:val="333333"/>
          <w:sz w:val="20"/>
          <w:szCs w:val="20"/>
        </w:rPr>
        <w:t>.</w:t>
      </w:r>
    </w:p>
    <w:p w:rsidR="00AD77BB" w:rsidRDefault="00B45BA0">
      <w:pPr>
        <w:pStyle w:val="para"/>
        <w:numPr>
          <w:ilvl w:val="0"/>
          <w:numId w:val="283"/>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data in Exercise 5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r>
        <w:rPr>
          <w:rStyle w:val="apple-converted-space"/>
          <w:rFonts w:ascii="Calibri" w:hAnsi="Calibri"/>
          <w:color w:val="333333"/>
          <w:sz w:val="20"/>
          <w:szCs w:val="20"/>
        </w:rPr>
        <w:t> </w:t>
      </w:r>
      <w:r>
        <w:rPr>
          <w:rFonts w:ascii="Calibri" w:hAnsi="Calibri"/>
          <w:color w:val="333333"/>
          <w:sz w:val="20"/>
          <w:szCs w:val="20"/>
        </w:rPr>
        <w:t>test, at the 10% level of significance, whether</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is useful for predicting</w:t>
      </w:r>
      <w:r>
        <w:rPr>
          <w:rStyle w:val="apple-converted-space"/>
          <w:rFonts w:ascii="Calibri" w:hAnsi="Calibri"/>
          <w:color w:val="333333"/>
          <w:sz w:val="20"/>
          <w:szCs w:val="20"/>
        </w:rPr>
        <w:t> </w:t>
      </w:r>
      <w:r>
        <w:rPr>
          <w:rStyle w:val="Emphasis"/>
          <w:rFonts w:ascii="Calibri" w:hAnsi="Calibri"/>
          <w:color w:val="333333"/>
          <w:sz w:val="20"/>
          <w:szCs w:val="20"/>
        </w:rPr>
        <w:t>y</w:t>
      </w:r>
      <w:r>
        <w:rPr>
          <w:rStyle w:val="apple-converted-space"/>
          <w:rFonts w:ascii="Calibri" w:hAnsi="Calibri"/>
          <w:color w:val="333333"/>
          <w:sz w:val="20"/>
          <w:szCs w:val="20"/>
        </w:rPr>
        <w:t> </w:t>
      </w:r>
      <w:r>
        <w:rPr>
          <w:rFonts w:ascii="Calibri" w:hAnsi="Calibri"/>
          <w:color w:val="333333"/>
          <w:sz w:val="20"/>
          <w:szCs w:val="20"/>
        </w:rPr>
        <w:t>(that is, whether</w:t>
      </w:r>
      <w:r>
        <w:rPr>
          <w:rStyle w:val="apple-converted-space"/>
          <w:rFonts w:ascii="Calibri" w:hAnsi="Calibri"/>
          <w:color w:val="333333"/>
          <w:sz w:val="20"/>
          <w:szCs w:val="20"/>
        </w:rPr>
        <w:t> </w:t>
      </w:r>
      <w:r>
        <w:rPr>
          <w:rStyle w:val="mi"/>
          <w:rFonts w:ascii="MathJax_Math" w:hAnsi="MathJax_Math"/>
          <w:i/>
          <w:iCs/>
          <w:color w:val="333333"/>
          <w:sz w:val="15"/>
          <w:szCs w:val="15"/>
        </w:rPr>
        <w:t>β</w:t>
      </w:r>
      <w:r>
        <w:rPr>
          <w:rStyle w:val="mn"/>
          <w:rFonts w:ascii="MathJax_Main" w:hAnsi="MathJax_Main"/>
          <w:color w:val="333333"/>
          <w:sz w:val="12"/>
          <w:szCs w:val="12"/>
        </w:rPr>
        <w:t>1</w:t>
      </w:r>
      <w:r>
        <w:rPr>
          <w:rStyle w:val="mo"/>
          <w:rFonts w:ascii="MathJax_Main" w:hAnsi="MathJax_Main"/>
          <w:color w:val="333333"/>
          <w:sz w:val="15"/>
          <w:szCs w:val="15"/>
        </w:rPr>
        <w:t>≠</w:t>
      </w:r>
      <w:r>
        <w:rPr>
          <w:rStyle w:val="mn"/>
          <w:rFonts w:ascii="MathJax_Main" w:hAnsi="MathJax_Main"/>
          <w:color w:val="333333"/>
          <w:sz w:val="15"/>
          <w:szCs w:val="15"/>
        </w:rPr>
        <w:t>0</w:t>
      </w:r>
      <w:r>
        <w:rPr>
          <w:rFonts w:ascii="Calibri" w:hAnsi="Calibri"/>
          <w:color w:val="333333"/>
          <w:sz w:val="20"/>
          <w:szCs w:val="20"/>
        </w:rPr>
        <w:t>).</w:t>
      </w:r>
    </w:p>
    <w:p w:rsidR="00AD77BB" w:rsidRDefault="00B45BA0">
      <w:pPr>
        <w:pStyle w:val="para"/>
        <w:numPr>
          <w:ilvl w:val="0"/>
          <w:numId w:val="283"/>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data in Exercise 6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r>
        <w:rPr>
          <w:rStyle w:val="apple-converted-space"/>
          <w:rFonts w:ascii="Calibri" w:hAnsi="Calibri"/>
          <w:color w:val="333333"/>
          <w:sz w:val="20"/>
          <w:szCs w:val="20"/>
        </w:rPr>
        <w:t> </w:t>
      </w:r>
      <w:r>
        <w:rPr>
          <w:rFonts w:ascii="Calibri" w:hAnsi="Calibri"/>
          <w:color w:val="333333"/>
          <w:sz w:val="20"/>
          <w:szCs w:val="20"/>
        </w:rPr>
        <w:t>test, at the 5% level of significance, whether</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is useful for predicting</w:t>
      </w:r>
      <w:r>
        <w:rPr>
          <w:rStyle w:val="apple-converted-space"/>
          <w:rFonts w:ascii="Calibri" w:hAnsi="Calibri"/>
          <w:color w:val="333333"/>
          <w:sz w:val="20"/>
          <w:szCs w:val="20"/>
        </w:rPr>
        <w:t> </w:t>
      </w:r>
      <w:r>
        <w:rPr>
          <w:rStyle w:val="Emphasis"/>
          <w:rFonts w:ascii="Calibri" w:hAnsi="Calibri"/>
          <w:color w:val="333333"/>
          <w:sz w:val="20"/>
          <w:szCs w:val="20"/>
        </w:rPr>
        <w:t>y</w:t>
      </w:r>
      <w:r>
        <w:rPr>
          <w:rStyle w:val="apple-converted-space"/>
          <w:rFonts w:ascii="Calibri" w:hAnsi="Calibri"/>
          <w:color w:val="333333"/>
          <w:sz w:val="20"/>
          <w:szCs w:val="20"/>
        </w:rPr>
        <w:t> </w:t>
      </w:r>
      <w:r>
        <w:rPr>
          <w:rFonts w:ascii="Calibri" w:hAnsi="Calibri"/>
          <w:color w:val="333333"/>
          <w:sz w:val="20"/>
          <w:szCs w:val="20"/>
        </w:rPr>
        <w:t>(that is, whether</w:t>
      </w:r>
      <w:r>
        <w:rPr>
          <w:rStyle w:val="apple-converted-space"/>
          <w:rFonts w:ascii="Calibri" w:hAnsi="Calibri"/>
          <w:color w:val="333333"/>
          <w:sz w:val="20"/>
          <w:szCs w:val="20"/>
        </w:rPr>
        <w:t> </w:t>
      </w:r>
      <w:r>
        <w:rPr>
          <w:rStyle w:val="mi"/>
          <w:rFonts w:ascii="MathJax_Math" w:hAnsi="MathJax_Math"/>
          <w:i/>
          <w:iCs/>
          <w:color w:val="333333"/>
          <w:sz w:val="15"/>
          <w:szCs w:val="15"/>
        </w:rPr>
        <w:t>β</w:t>
      </w:r>
      <w:r>
        <w:rPr>
          <w:rStyle w:val="mn"/>
          <w:rFonts w:ascii="MathJax_Main" w:hAnsi="MathJax_Main"/>
          <w:color w:val="333333"/>
          <w:sz w:val="12"/>
          <w:szCs w:val="12"/>
        </w:rPr>
        <w:t>1</w:t>
      </w:r>
      <w:r>
        <w:rPr>
          <w:rStyle w:val="mo"/>
          <w:rFonts w:ascii="MathJax_Main" w:hAnsi="MathJax_Main"/>
          <w:color w:val="333333"/>
          <w:sz w:val="15"/>
          <w:szCs w:val="15"/>
        </w:rPr>
        <w:t>≠</w:t>
      </w:r>
      <w:r>
        <w:rPr>
          <w:rStyle w:val="mn"/>
          <w:rFonts w:ascii="MathJax_Main" w:hAnsi="MathJax_Main"/>
          <w:color w:val="333333"/>
          <w:sz w:val="15"/>
          <w:szCs w:val="15"/>
        </w:rPr>
        <w:t>0</w:t>
      </w:r>
      <w:r>
        <w:rPr>
          <w:rFonts w:ascii="Calibri" w:hAnsi="Calibri"/>
          <w:color w:val="333333"/>
          <w:sz w:val="20"/>
          <w:szCs w:val="20"/>
        </w:rPr>
        <w:t>).</w:t>
      </w:r>
    </w:p>
    <w:p w:rsidR="00AD77BB" w:rsidRDefault="00B45BA0">
      <w:pPr>
        <w:pStyle w:val="para"/>
        <w:numPr>
          <w:ilvl w:val="0"/>
          <w:numId w:val="283"/>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Construct the 90% confidence interval for the slope</w:t>
      </w:r>
      <w:r>
        <w:rPr>
          <w:rStyle w:val="apple-converted-space"/>
          <w:rFonts w:ascii="Calibri" w:hAnsi="Calibri"/>
          <w:color w:val="333333"/>
          <w:sz w:val="20"/>
          <w:szCs w:val="20"/>
        </w:rPr>
        <w:t> </w:t>
      </w:r>
      <w:r>
        <w:rPr>
          <w:rStyle w:val="mi"/>
          <w:rFonts w:ascii="MathJax_Math" w:hAnsi="MathJax_Math"/>
          <w:i/>
          <w:iCs/>
          <w:color w:val="333333"/>
          <w:sz w:val="15"/>
          <w:szCs w:val="15"/>
        </w:rPr>
        <w:t>β</w:t>
      </w:r>
      <w:r>
        <w:rPr>
          <w:rStyle w:val="mn"/>
          <w:rFonts w:ascii="MathJax_Main" w:hAnsi="MathJax_Main"/>
          <w:color w:val="333333"/>
          <w:sz w:val="12"/>
          <w:szCs w:val="12"/>
        </w:rPr>
        <w:t>1</w:t>
      </w:r>
      <w:r>
        <w:rPr>
          <w:rStyle w:val="apple-converted-space"/>
          <w:rFonts w:ascii="Calibri" w:hAnsi="Calibri"/>
          <w:color w:val="333333"/>
          <w:sz w:val="20"/>
          <w:szCs w:val="20"/>
        </w:rPr>
        <w:t> </w:t>
      </w:r>
      <w:r>
        <w:rPr>
          <w:rFonts w:ascii="Calibri" w:hAnsi="Calibri"/>
          <w:color w:val="333333"/>
          <w:sz w:val="20"/>
          <w:szCs w:val="20"/>
        </w:rPr>
        <w:t>of the population regression line based on the sample data set of Exercise 7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r>
        <w:rPr>
          <w:rFonts w:ascii="Calibri" w:hAnsi="Calibri"/>
          <w:color w:val="333333"/>
          <w:sz w:val="20"/>
          <w:szCs w:val="20"/>
        </w:rPr>
        <w:t>.</w:t>
      </w:r>
    </w:p>
    <w:p w:rsidR="00AD77BB" w:rsidRDefault="00B45BA0">
      <w:pPr>
        <w:pStyle w:val="para"/>
        <w:numPr>
          <w:ilvl w:val="0"/>
          <w:numId w:val="283"/>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Construct the 95% confidence interval for the slope</w:t>
      </w:r>
      <w:r>
        <w:rPr>
          <w:rStyle w:val="apple-converted-space"/>
          <w:rFonts w:ascii="Calibri" w:hAnsi="Calibri"/>
          <w:color w:val="333333"/>
          <w:sz w:val="20"/>
          <w:szCs w:val="20"/>
        </w:rPr>
        <w:t> </w:t>
      </w:r>
      <w:r>
        <w:rPr>
          <w:rStyle w:val="mi"/>
          <w:rFonts w:ascii="MathJax_Math" w:hAnsi="MathJax_Math"/>
          <w:i/>
          <w:iCs/>
          <w:color w:val="333333"/>
          <w:sz w:val="15"/>
          <w:szCs w:val="15"/>
        </w:rPr>
        <w:t>β</w:t>
      </w:r>
      <w:r>
        <w:rPr>
          <w:rStyle w:val="mn"/>
          <w:rFonts w:ascii="MathJax_Main" w:hAnsi="MathJax_Main"/>
          <w:color w:val="333333"/>
          <w:sz w:val="12"/>
          <w:szCs w:val="12"/>
        </w:rPr>
        <w:t>1</w:t>
      </w:r>
      <w:r>
        <w:rPr>
          <w:rStyle w:val="apple-converted-space"/>
          <w:rFonts w:ascii="Calibri" w:hAnsi="Calibri"/>
          <w:color w:val="333333"/>
          <w:sz w:val="20"/>
          <w:szCs w:val="20"/>
        </w:rPr>
        <w:t> </w:t>
      </w:r>
      <w:r>
        <w:rPr>
          <w:rFonts w:ascii="Calibri" w:hAnsi="Calibri"/>
          <w:color w:val="333333"/>
          <w:sz w:val="20"/>
          <w:szCs w:val="20"/>
        </w:rPr>
        <w:t>of the population regression line based on the sample data set of Exercise 8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r>
        <w:rPr>
          <w:rFonts w:ascii="Calibri" w:hAnsi="Calibri"/>
          <w:color w:val="333333"/>
          <w:sz w:val="20"/>
          <w:szCs w:val="20"/>
        </w:rPr>
        <w:t>.</w:t>
      </w:r>
    </w:p>
    <w:p w:rsidR="00AD77BB" w:rsidRDefault="00B45BA0">
      <w:pPr>
        <w:pStyle w:val="para"/>
        <w:numPr>
          <w:ilvl w:val="0"/>
          <w:numId w:val="283"/>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data in Exercise 9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r>
        <w:rPr>
          <w:rStyle w:val="apple-converted-space"/>
          <w:rFonts w:ascii="Calibri" w:hAnsi="Calibri"/>
          <w:color w:val="333333"/>
          <w:sz w:val="20"/>
          <w:szCs w:val="20"/>
        </w:rPr>
        <w:t> </w:t>
      </w:r>
      <w:r>
        <w:rPr>
          <w:rFonts w:ascii="Calibri" w:hAnsi="Calibri"/>
          <w:color w:val="333333"/>
          <w:sz w:val="20"/>
          <w:szCs w:val="20"/>
        </w:rPr>
        <w:t>test, at the 1% level of significance, whether</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is useful for predicting</w:t>
      </w:r>
      <w:r>
        <w:rPr>
          <w:rStyle w:val="apple-converted-space"/>
          <w:rFonts w:ascii="Calibri" w:hAnsi="Calibri"/>
          <w:color w:val="333333"/>
          <w:sz w:val="20"/>
          <w:szCs w:val="20"/>
        </w:rPr>
        <w:t> </w:t>
      </w:r>
      <w:r>
        <w:rPr>
          <w:rStyle w:val="Emphasis"/>
          <w:rFonts w:ascii="Calibri" w:hAnsi="Calibri"/>
          <w:color w:val="333333"/>
          <w:sz w:val="20"/>
          <w:szCs w:val="20"/>
        </w:rPr>
        <w:t>y</w:t>
      </w:r>
      <w:r>
        <w:rPr>
          <w:rStyle w:val="apple-converted-space"/>
          <w:rFonts w:ascii="Calibri" w:hAnsi="Calibri"/>
          <w:color w:val="333333"/>
          <w:sz w:val="20"/>
          <w:szCs w:val="20"/>
        </w:rPr>
        <w:t> </w:t>
      </w:r>
      <w:r>
        <w:rPr>
          <w:rFonts w:ascii="Calibri" w:hAnsi="Calibri"/>
          <w:color w:val="333333"/>
          <w:sz w:val="20"/>
          <w:szCs w:val="20"/>
        </w:rPr>
        <w:t>(that is, whether</w:t>
      </w:r>
      <w:r>
        <w:rPr>
          <w:rStyle w:val="apple-converted-space"/>
          <w:rFonts w:ascii="Calibri" w:hAnsi="Calibri"/>
          <w:color w:val="333333"/>
          <w:sz w:val="20"/>
          <w:szCs w:val="20"/>
        </w:rPr>
        <w:t> </w:t>
      </w:r>
      <w:r>
        <w:rPr>
          <w:rStyle w:val="mi"/>
          <w:rFonts w:ascii="MathJax_Math" w:hAnsi="MathJax_Math"/>
          <w:i/>
          <w:iCs/>
          <w:color w:val="333333"/>
          <w:sz w:val="15"/>
          <w:szCs w:val="15"/>
        </w:rPr>
        <w:t>β</w:t>
      </w:r>
      <w:r>
        <w:rPr>
          <w:rStyle w:val="mn"/>
          <w:rFonts w:ascii="MathJax_Main" w:hAnsi="MathJax_Main"/>
          <w:color w:val="333333"/>
          <w:sz w:val="12"/>
          <w:szCs w:val="12"/>
        </w:rPr>
        <w:t>1</w:t>
      </w:r>
      <w:r>
        <w:rPr>
          <w:rStyle w:val="mo"/>
          <w:rFonts w:ascii="MathJax_Main" w:hAnsi="MathJax_Main"/>
          <w:color w:val="333333"/>
          <w:sz w:val="15"/>
          <w:szCs w:val="15"/>
        </w:rPr>
        <w:t>≠</w:t>
      </w:r>
      <w:r>
        <w:rPr>
          <w:rStyle w:val="mn"/>
          <w:rFonts w:ascii="MathJax_Main" w:hAnsi="MathJax_Main"/>
          <w:color w:val="333333"/>
          <w:sz w:val="15"/>
          <w:szCs w:val="15"/>
        </w:rPr>
        <w:t>0</w:t>
      </w:r>
      <w:r>
        <w:rPr>
          <w:rFonts w:ascii="Calibri" w:hAnsi="Calibri"/>
          <w:color w:val="333333"/>
          <w:sz w:val="20"/>
          <w:szCs w:val="20"/>
        </w:rPr>
        <w:t>).</w:t>
      </w:r>
    </w:p>
    <w:p w:rsidR="00AD77BB" w:rsidRDefault="00B45BA0">
      <w:pPr>
        <w:pStyle w:val="para"/>
        <w:numPr>
          <w:ilvl w:val="0"/>
          <w:numId w:val="283"/>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data in Exercise 10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r>
        <w:rPr>
          <w:rStyle w:val="apple-converted-space"/>
          <w:rFonts w:ascii="Calibri" w:hAnsi="Calibri"/>
          <w:color w:val="333333"/>
          <w:sz w:val="20"/>
          <w:szCs w:val="20"/>
        </w:rPr>
        <w:t> </w:t>
      </w:r>
      <w:r>
        <w:rPr>
          <w:rFonts w:ascii="Calibri" w:hAnsi="Calibri"/>
          <w:color w:val="333333"/>
          <w:sz w:val="20"/>
          <w:szCs w:val="20"/>
        </w:rPr>
        <w:t>test, at the 1% level of significance, whether</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is useful for predicting</w:t>
      </w:r>
      <w:r>
        <w:rPr>
          <w:rStyle w:val="apple-converted-space"/>
          <w:rFonts w:ascii="Calibri" w:hAnsi="Calibri"/>
          <w:color w:val="333333"/>
          <w:sz w:val="20"/>
          <w:szCs w:val="20"/>
        </w:rPr>
        <w:t> </w:t>
      </w:r>
      <w:r>
        <w:rPr>
          <w:rStyle w:val="Emphasis"/>
          <w:rFonts w:ascii="Calibri" w:hAnsi="Calibri"/>
          <w:color w:val="333333"/>
          <w:sz w:val="20"/>
          <w:szCs w:val="20"/>
        </w:rPr>
        <w:t>y</w:t>
      </w:r>
      <w:r>
        <w:rPr>
          <w:rStyle w:val="apple-converted-space"/>
          <w:rFonts w:ascii="Calibri" w:hAnsi="Calibri"/>
          <w:color w:val="333333"/>
          <w:sz w:val="20"/>
          <w:szCs w:val="20"/>
        </w:rPr>
        <w:t> </w:t>
      </w:r>
      <w:r>
        <w:rPr>
          <w:rFonts w:ascii="Calibri" w:hAnsi="Calibri"/>
          <w:color w:val="333333"/>
          <w:sz w:val="20"/>
          <w:szCs w:val="20"/>
        </w:rPr>
        <w:t>(that is, whether</w:t>
      </w:r>
      <w:r>
        <w:rPr>
          <w:rStyle w:val="apple-converted-space"/>
          <w:rFonts w:ascii="Calibri" w:hAnsi="Calibri"/>
          <w:color w:val="333333"/>
          <w:sz w:val="20"/>
          <w:szCs w:val="20"/>
        </w:rPr>
        <w:t> </w:t>
      </w:r>
      <w:r>
        <w:rPr>
          <w:rStyle w:val="mi"/>
          <w:rFonts w:ascii="MathJax_Math" w:hAnsi="MathJax_Math"/>
          <w:i/>
          <w:iCs/>
          <w:color w:val="333333"/>
          <w:sz w:val="15"/>
          <w:szCs w:val="15"/>
        </w:rPr>
        <w:t>β</w:t>
      </w:r>
      <w:r>
        <w:rPr>
          <w:rStyle w:val="mn"/>
          <w:rFonts w:ascii="MathJax_Main" w:hAnsi="MathJax_Main"/>
          <w:color w:val="333333"/>
          <w:sz w:val="12"/>
          <w:szCs w:val="12"/>
        </w:rPr>
        <w:t>1</w:t>
      </w:r>
      <w:r>
        <w:rPr>
          <w:rStyle w:val="mo"/>
          <w:rFonts w:ascii="MathJax_Main" w:hAnsi="MathJax_Main"/>
          <w:color w:val="333333"/>
          <w:sz w:val="15"/>
          <w:szCs w:val="15"/>
        </w:rPr>
        <w:t>≠</w:t>
      </w:r>
      <w:r>
        <w:rPr>
          <w:rStyle w:val="mn"/>
          <w:rFonts w:ascii="MathJax_Main" w:hAnsi="MathJax_Main"/>
          <w:color w:val="333333"/>
          <w:sz w:val="15"/>
          <w:szCs w:val="15"/>
        </w:rPr>
        <w:t>0</w:t>
      </w:r>
      <w:r>
        <w:rPr>
          <w:rFonts w:ascii="Calibri" w:hAnsi="Calibri"/>
          <w:color w:val="333333"/>
          <w:sz w:val="20"/>
          <w:szCs w:val="20"/>
        </w:rPr>
        <w:t>).</w:t>
      </w:r>
    </w:p>
    <w:p w:rsidR="00AD77BB" w:rsidRDefault="00AD77BB">
      <w:pPr>
        <w:spacing w:line="270" w:lineRule="atLeast"/>
        <w:textAlignment w:val="baseline"/>
        <w:rPr>
          <w:rFonts w:ascii="Calibri" w:eastAsia="Times New Roman" w:hAnsi="Calibri" w:cs="Times New Roman"/>
          <w:color w:val="555555"/>
          <w:sz w:val="23"/>
          <w:szCs w:val="23"/>
        </w:rPr>
      </w:pPr>
    </w:p>
    <w:p w:rsidR="00AD77BB" w:rsidRDefault="00B45BA0">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APPLICATIONS</w:t>
      </w:r>
    </w:p>
    <w:p w:rsidR="00AD77BB" w:rsidRDefault="00B45BA0">
      <w:pPr>
        <w:numPr>
          <w:ilvl w:val="0"/>
          <w:numId w:val="2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 the data in Exercise 11 of </w:t>
      </w:r>
      <w:r>
        <w:rPr>
          <w:rFonts w:ascii="Calibri" w:eastAsia="Times New Roman" w:hAnsi="Calibri" w:cs="Times New Roman"/>
          <w:color w:val="2689C6"/>
          <w:sz w:val="20"/>
          <w:szCs w:val="20"/>
        </w:rPr>
        <w:t>Section 10.2 "The Linear Correlation Coefficient"</w:t>
      </w:r>
      <w:r>
        <w:rPr>
          <w:rFonts w:ascii="Calibri" w:eastAsia="Times New Roman" w:hAnsi="Calibri" w:cs="Times New Roman"/>
          <w:color w:val="333333"/>
          <w:sz w:val="20"/>
          <w:szCs w:val="20"/>
        </w:rPr>
        <w:t>construct a 90% confidence interval for the mean number of new words acquired per month by children between 13 and 18 months of age.</w:t>
      </w:r>
    </w:p>
    <w:p w:rsidR="00AD77BB" w:rsidRDefault="00B45BA0">
      <w:pPr>
        <w:numPr>
          <w:ilvl w:val="0"/>
          <w:numId w:val="2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 the data in Exercise 12 of </w:t>
      </w:r>
      <w:r>
        <w:rPr>
          <w:rFonts w:ascii="Calibri" w:eastAsia="Times New Roman" w:hAnsi="Calibri" w:cs="Times New Roman"/>
          <w:color w:val="2689C6"/>
          <w:sz w:val="20"/>
          <w:szCs w:val="20"/>
        </w:rPr>
        <w:t>Section 10.2 "The Linear Correlation Coefficient"</w:t>
      </w:r>
      <w:r>
        <w:rPr>
          <w:rFonts w:ascii="Calibri" w:eastAsia="Times New Roman" w:hAnsi="Calibri" w:cs="Times New Roman"/>
          <w:color w:val="333333"/>
          <w:sz w:val="20"/>
          <w:szCs w:val="20"/>
        </w:rPr>
        <w:t>construct a 90% confidence interval for the mean increased braking distance for each additional 100 pounds of vehicle weight.</w:t>
      </w:r>
    </w:p>
    <w:p w:rsidR="00AD77BB" w:rsidRDefault="00B45BA0">
      <w:pPr>
        <w:numPr>
          <w:ilvl w:val="0"/>
          <w:numId w:val="2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 the data in Exercise 13 of </w:t>
      </w:r>
      <w:r>
        <w:rPr>
          <w:rFonts w:ascii="Calibri" w:eastAsia="Times New Roman" w:hAnsi="Calibri" w:cs="Times New Roman"/>
          <w:color w:val="2689C6"/>
          <w:sz w:val="20"/>
          <w:szCs w:val="20"/>
        </w:rPr>
        <w:t>Section 10.2 "The Linear Correlation Coefficient"</w:t>
      </w:r>
      <w:r>
        <w:rPr>
          <w:rFonts w:ascii="Calibri" w:eastAsia="Times New Roman" w:hAnsi="Calibri" w:cs="Times New Roman"/>
          <w:color w:val="333333"/>
          <w:sz w:val="20"/>
          <w:szCs w:val="20"/>
        </w:rPr>
        <w:t> test, at the 10% level of significance, whether age is useful for predicting resting heart rate.</w:t>
      </w:r>
    </w:p>
    <w:p w:rsidR="00AD77BB" w:rsidRDefault="00B45BA0">
      <w:pPr>
        <w:numPr>
          <w:ilvl w:val="0"/>
          <w:numId w:val="2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 the data in Exercise 14 of </w:t>
      </w:r>
      <w:r>
        <w:rPr>
          <w:rFonts w:ascii="Calibri" w:eastAsia="Times New Roman" w:hAnsi="Calibri" w:cs="Times New Roman"/>
          <w:color w:val="2689C6"/>
          <w:sz w:val="20"/>
          <w:szCs w:val="20"/>
        </w:rPr>
        <w:t>Section 10.2 "The Linear Correlation Coefficient"</w:t>
      </w:r>
      <w:r>
        <w:rPr>
          <w:rFonts w:ascii="Calibri" w:eastAsia="Times New Roman" w:hAnsi="Calibri" w:cs="Times New Roman"/>
          <w:color w:val="333333"/>
          <w:sz w:val="20"/>
          <w:szCs w:val="20"/>
        </w:rPr>
        <w:t> test, at the 10% level of significance, whether wind speed is useful for predicting wave height.</w:t>
      </w:r>
    </w:p>
    <w:p w:rsidR="00AD77BB" w:rsidRDefault="00B45BA0">
      <w:pPr>
        <w:numPr>
          <w:ilvl w:val="0"/>
          <w:numId w:val="2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 the situation described in Exercise 15 of </w:t>
      </w:r>
      <w:r>
        <w:rPr>
          <w:rFonts w:ascii="Calibri" w:eastAsia="Times New Roman" w:hAnsi="Calibri" w:cs="Times New Roman"/>
          <w:color w:val="2689C6"/>
          <w:sz w:val="20"/>
          <w:szCs w:val="20"/>
        </w:rPr>
        <w:t>Section 10.2 "The Linear Correlation Coefficient"</w:t>
      </w:r>
    </w:p>
    <w:p w:rsidR="00AD77BB" w:rsidRDefault="00B45BA0">
      <w:pPr>
        <w:numPr>
          <w:ilvl w:val="1"/>
          <w:numId w:val="2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the 95% confidence interval for the mean increase in revenue per additional thousand dollars spent on advertising.</w:t>
      </w:r>
    </w:p>
    <w:p w:rsidR="00AD77BB" w:rsidRDefault="00B45BA0">
      <w:pPr>
        <w:numPr>
          <w:ilvl w:val="1"/>
          <w:numId w:val="2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advertising agency tells the business owner that for every additional thousand dollars spent on advertising, revenue will increase by over $25,000. Test this claim (which is the alternative hypothesis) at the 5% level of significance.</w:t>
      </w:r>
    </w:p>
    <w:p w:rsidR="00AD77BB" w:rsidRDefault="00B45BA0">
      <w:pPr>
        <w:numPr>
          <w:ilvl w:val="1"/>
          <w:numId w:val="2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Perform the test of part (b) at the 10% level of significance.</w:t>
      </w:r>
    </w:p>
    <w:p w:rsidR="00AD77BB" w:rsidRDefault="00B45BA0">
      <w:pPr>
        <w:numPr>
          <w:ilvl w:val="1"/>
          <w:numId w:val="2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Based on the results in (b) and (c), how believable is the ad agency’s claim? (This is a subjective judgement.)</w:t>
      </w:r>
    </w:p>
    <w:p w:rsidR="00AD77BB" w:rsidRDefault="00B45BA0">
      <w:pPr>
        <w:numPr>
          <w:ilvl w:val="0"/>
          <w:numId w:val="2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For the situation described in Exercise 16 of </w:t>
      </w:r>
      <w:r>
        <w:rPr>
          <w:rFonts w:ascii="Calibri" w:eastAsia="Times New Roman" w:hAnsi="Calibri" w:cs="Times New Roman"/>
          <w:color w:val="2689C6"/>
          <w:sz w:val="20"/>
          <w:szCs w:val="20"/>
        </w:rPr>
        <w:t>Section 10.2 "The Linear Correlation Coefficient"</w:t>
      </w:r>
    </w:p>
    <w:p w:rsidR="00AD77BB" w:rsidRDefault="00B45BA0">
      <w:pPr>
        <w:numPr>
          <w:ilvl w:val="1"/>
          <w:numId w:val="2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the 90% confidence interval for the mean increase in height per additional inch of length at age two.</w:t>
      </w:r>
    </w:p>
    <w:p w:rsidR="00AD77BB" w:rsidRDefault="00B45BA0">
      <w:pPr>
        <w:numPr>
          <w:ilvl w:val="1"/>
          <w:numId w:val="2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It is claimed that for girls each additional inch of length at age two means more than an additional inch of height at maturity. Test this claim (which is the alternative hypothesis) at the 10% level of significance.</w:t>
      </w:r>
    </w:p>
    <w:p w:rsidR="00AD77BB" w:rsidRDefault="00B45BA0">
      <w:pPr>
        <w:numPr>
          <w:ilvl w:val="0"/>
          <w:numId w:val="2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 the data in Exercise 17 of </w:t>
      </w:r>
      <w:r>
        <w:rPr>
          <w:rFonts w:ascii="Calibri" w:eastAsia="Times New Roman" w:hAnsi="Calibri" w:cs="Times New Roman"/>
          <w:color w:val="2689C6"/>
          <w:sz w:val="20"/>
          <w:szCs w:val="20"/>
        </w:rPr>
        <w:t>Section 10.2 "The Linear Correlation Coefficient"</w:t>
      </w:r>
      <w:r>
        <w:rPr>
          <w:rFonts w:ascii="Calibri" w:eastAsia="Times New Roman" w:hAnsi="Calibri" w:cs="Times New Roman"/>
          <w:color w:val="333333"/>
          <w:sz w:val="20"/>
          <w:szCs w:val="20"/>
        </w:rPr>
        <w:t> test, at the 10% level of significance, whether course average before the final exam is useful for predicting the final exam grade.</w:t>
      </w:r>
    </w:p>
    <w:p w:rsidR="00AD77BB" w:rsidRDefault="00B45BA0">
      <w:pPr>
        <w:numPr>
          <w:ilvl w:val="0"/>
          <w:numId w:val="2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 the situation described in Exercise 18 of </w:t>
      </w:r>
      <w:r>
        <w:rPr>
          <w:rFonts w:ascii="Calibri" w:eastAsia="Times New Roman" w:hAnsi="Calibri" w:cs="Times New Roman"/>
          <w:color w:val="2689C6"/>
          <w:sz w:val="20"/>
          <w:szCs w:val="20"/>
        </w:rPr>
        <w:t>Section 10.2 "The Linear Correlation Coefficient"</w:t>
      </w:r>
      <w:r>
        <w:rPr>
          <w:rFonts w:ascii="Calibri" w:eastAsia="Times New Roman" w:hAnsi="Calibri" w:cs="Times New Roman"/>
          <w:color w:val="333333"/>
          <w:sz w:val="20"/>
          <w:szCs w:val="20"/>
        </w:rPr>
        <w:t>, an agronomist claims that each additional million acres planted results in more than 750,000 additional acres harvested. Test this claim at the 1% level of significance.</w:t>
      </w:r>
    </w:p>
    <w:p w:rsidR="00AD77BB" w:rsidRDefault="00B45BA0">
      <w:pPr>
        <w:numPr>
          <w:ilvl w:val="0"/>
          <w:numId w:val="2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 the data in Exercise 19 of </w:t>
      </w:r>
      <w:r>
        <w:rPr>
          <w:rFonts w:ascii="Calibri" w:eastAsia="Times New Roman" w:hAnsi="Calibri" w:cs="Times New Roman"/>
          <w:color w:val="2689C6"/>
          <w:sz w:val="20"/>
          <w:szCs w:val="20"/>
        </w:rPr>
        <w:t>Section 10.2 "The Linear Correlation Coefficient"</w:t>
      </w:r>
      <w:r>
        <w:rPr>
          <w:rFonts w:ascii="Calibri" w:eastAsia="Times New Roman" w:hAnsi="Calibri" w:cs="Times New Roman"/>
          <w:color w:val="333333"/>
          <w:sz w:val="20"/>
          <w:szCs w:val="20"/>
        </w:rPr>
        <w:t> test, at the 1/10th of 1% level of significance, whether, ignoring all other facts such as age and body mass, the amount of the medication consumed is a useful predictor of blood concentration of the active ingredient.</w:t>
      </w:r>
    </w:p>
    <w:p w:rsidR="00AD77BB" w:rsidRDefault="00B45BA0">
      <w:pPr>
        <w:numPr>
          <w:ilvl w:val="0"/>
          <w:numId w:val="2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 the data in Exercise 20 of </w:t>
      </w:r>
      <w:r>
        <w:rPr>
          <w:rFonts w:ascii="Calibri" w:eastAsia="Times New Roman" w:hAnsi="Calibri" w:cs="Times New Roman"/>
          <w:color w:val="2689C6"/>
          <w:sz w:val="20"/>
          <w:szCs w:val="20"/>
        </w:rPr>
        <w:t>Section 10.2 "The Linear Correlation Coefficient"</w:t>
      </w:r>
      <w:r>
        <w:rPr>
          <w:rFonts w:ascii="Calibri" w:eastAsia="Times New Roman" w:hAnsi="Calibri" w:cs="Times New Roman"/>
          <w:color w:val="333333"/>
          <w:sz w:val="20"/>
          <w:szCs w:val="20"/>
        </w:rPr>
        <w:t> test, at the 1% level of significance, whether for each additional inch of girth the age of the tree increases by at least two and one-half years.</w:t>
      </w:r>
    </w:p>
    <w:p w:rsidR="00AD77BB" w:rsidRDefault="00B45BA0">
      <w:pPr>
        <w:numPr>
          <w:ilvl w:val="0"/>
          <w:numId w:val="2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 the data in Exercise 21 of </w:t>
      </w:r>
      <w:r>
        <w:rPr>
          <w:rFonts w:ascii="Calibri" w:eastAsia="Times New Roman" w:hAnsi="Calibri" w:cs="Times New Roman"/>
          <w:color w:val="2689C6"/>
          <w:sz w:val="20"/>
          <w:szCs w:val="20"/>
        </w:rPr>
        <w:t>Section 10.2 "The Linear Correlation Coefficient"</w:t>
      </w:r>
    </w:p>
    <w:p w:rsidR="00AD77BB" w:rsidRDefault="00B45BA0">
      <w:pPr>
        <w:numPr>
          <w:ilvl w:val="1"/>
          <w:numId w:val="2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the 95% confidence interval for the mean increase in strength at 28 days for each additional hundred psi increase in strength at 3 days.</w:t>
      </w:r>
    </w:p>
    <w:p w:rsidR="00AD77BB" w:rsidRDefault="00B45BA0">
      <w:pPr>
        <w:numPr>
          <w:ilvl w:val="1"/>
          <w:numId w:val="2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1/10th of 1% level of significance, whether the 3-day strength is useful for predicting 28-day strength.</w:t>
      </w:r>
    </w:p>
    <w:p w:rsidR="00AD77BB" w:rsidRDefault="00B45BA0">
      <w:pPr>
        <w:numPr>
          <w:ilvl w:val="0"/>
          <w:numId w:val="28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For the situation described in Exercise 22 of </w:t>
      </w:r>
      <w:r>
        <w:rPr>
          <w:rFonts w:ascii="Calibri" w:eastAsia="Times New Roman" w:hAnsi="Calibri" w:cs="Times New Roman"/>
          <w:color w:val="2689C6"/>
          <w:sz w:val="20"/>
          <w:szCs w:val="20"/>
        </w:rPr>
        <w:t>Section 10.2 "The Linear Correlation Coefficient"</w:t>
      </w:r>
    </w:p>
    <w:p w:rsidR="00AD77BB" w:rsidRDefault="00B45BA0">
      <w:pPr>
        <w:numPr>
          <w:ilvl w:val="1"/>
          <w:numId w:val="2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Construct the 99% confidence interval for the mean decrease in energy demand for each one-degree drop in temperature.</w:t>
      </w:r>
    </w:p>
    <w:p w:rsidR="00AD77BB" w:rsidRDefault="00B45BA0">
      <w:pPr>
        <w:numPr>
          <w:ilvl w:val="1"/>
          <w:numId w:val="28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engineer with the power company believes that for each one-degree increase in temperature, daily energy demand will decrease by more than 3.6 million watt-hours. Test this claim at the 1% level of significance.</w:t>
      </w:r>
    </w:p>
    <w:p w:rsidR="00AD77BB" w:rsidRDefault="00B45BA0">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LARGE DATA SET EXERCISES</w:t>
      </w:r>
    </w:p>
    <w:p w:rsidR="00AD77BB" w:rsidRDefault="00B45BA0">
      <w:pPr>
        <w:numPr>
          <w:ilvl w:val="0"/>
          <w:numId w:val="285"/>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Large Data Set 1 lists the SAT scores and GPAs of 1,000 students.</w:t>
      </w:r>
    </w:p>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http://www.1.xls</w:t>
      </w:r>
    </w:p>
    <w:p w:rsidR="00AD77BB" w:rsidRDefault="00B45BA0">
      <w:pPr>
        <w:numPr>
          <w:ilvl w:val="1"/>
          <w:numId w:val="28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90% confidence interval for the slope </w:t>
      </w:r>
      <w:r>
        <w:rPr>
          <w:rFonts w:ascii="MathJax_Math" w:eastAsia="Times New Roman" w:hAnsi="MathJax_Math" w:cs="Times New Roman"/>
          <w:i/>
          <w:iCs/>
          <w:color w:val="333333"/>
          <w:sz w:val="15"/>
          <w:szCs w:val="15"/>
        </w:rPr>
        <w:t>β</w:t>
      </w:r>
      <w:r>
        <w:rPr>
          <w:rFonts w:ascii="MathJax_Main" w:eastAsia="Times New Roman" w:hAnsi="MathJax_Main" w:cs="Times New Roman"/>
          <w:color w:val="333333"/>
          <w:sz w:val="12"/>
          <w:szCs w:val="12"/>
        </w:rPr>
        <w:t>1</w:t>
      </w:r>
      <w:r>
        <w:rPr>
          <w:rFonts w:ascii="Calibri" w:eastAsia="Times New Roman" w:hAnsi="Calibri" w:cs="Times New Roman"/>
          <w:color w:val="333333"/>
          <w:sz w:val="20"/>
          <w:szCs w:val="20"/>
        </w:rPr>
        <w:t> of the population regression line with SAT score as the independent variable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and GPA as the dependent variable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w:t>
      </w:r>
    </w:p>
    <w:p w:rsidR="00AD77BB" w:rsidRDefault="00B45BA0">
      <w:pPr>
        <w:numPr>
          <w:ilvl w:val="1"/>
          <w:numId w:val="28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10% level of significance, the hypothesis that the slope of the population regression line is greater than 0.001, against the null hypothesis that it is exactly 0.001.</w:t>
      </w:r>
    </w:p>
    <w:p w:rsidR="00AD77BB" w:rsidRDefault="00B45BA0">
      <w:pPr>
        <w:numPr>
          <w:ilvl w:val="0"/>
          <w:numId w:val="285"/>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Large Data Set 12 lists the golf scores on one round of golf for 75 golfers first using their own original clubs, then using clubs of a new, experimental design (after two months of familiarization with the new clubs).</w:t>
      </w:r>
    </w:p>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http://www.12.xls</w:t>
      </w:r>
    </w:p>
    <w:p w:rsidR="00AD77BB" w:rsidRDefault="00B45BA0">
      <w:pPr>
        <w:numPr>
          <w:ilvl w:val="1"/>
          <w:numId w:val="28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95% confidence interval for the slope </w:t>
      </w:r>
      <w:r>
        <w:rPr>
          <w:rFonts w:ascii="MathJax_Math" w:eastAsia="Times New Roman" w:hAnsi="MathJax_Math" w:cs="Times New Roman"/>
          <w:i/>
          <w:iCs/>
          <w:color w:val="333333"/>
          <w:sz w:val="15"/>
          <w:szCs w:val="15"/>
        </w:rPr>
        <w:t>β</w:t>
      </w:r>
      <w:r>
        <w:rPr>
          <w:rFonts w:ascii="MathJax_Main" w:eastAsia="Times New Roman" w:hAnsi="MathJax_Main" w:cs="Times New Roman"/>
          <w:color w:val="333333"/>
          <w:sz w:val="12"/>
          <w:szCs w:val="12"/>
        </w:rPr>
        <w:t>1</w:t>
      </w:r>
      <w:r>
        <w:rPr>
          <w:rFonts w:ascii="Calibri" w:eastAsia="Times New Roman" w:hAnsi="Calibri" w:cs="Times New Roman"/>
          <w:color w:val="333333"/>
          <w:sz w:val="20"/>
          <w:szCs w:val="20"/>
        </w:rPr>
        <w:t> of the population regression line with scores using the original clubs as the independent variable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and scores using the new clubs as the dependent variable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w:t>
      </w:r>
    </w:p>
    <w:p w:rsidR="00AD77BB" w:rsidRDefault="00B45BA0">
      <w:pPr>
        <w:numPr>
          <w:ilvl w:val="1"/>
          <w:numId w:val="28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10% level of significance, the hypothesis that the slope of the population regression line is different from 1, against the null hypothesis that it is exactly 1.</w:t>
      </w:r>
    </w:p>
    <w:p w:rsidR="00AD77BB" w:rsidRDefault="00B45BA0">
      <w:pPr>
        <w:numPr>
          <w:ilvl w:val="0"/>
          <w:numId w:val="285"/>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Large Data Set 13 records the number of bidders and sales price of a particular type of antique grandfather clock at 60 auctions.</w:t>
      </w:r>
    </w:p>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http://www.13.xls</w:t>
      </w:r>
    </w:p>
    <w:p w:rsidR="00AD77BB" w:rsidRDefault="00AD77BB">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p>
    <w:p w:rsidR="00AD77BB" w:rsidRDefault="00B45BA0">
      <w:pPr>
        <w:numPr>
          <w:ilvl w:val="1"/>
          <w:numId w:val="28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Compute the 95% confidence interval for the slope </w:t>
      </w:r>
      <w:r>
        <w:rPr>
          <w:rFonts w:ascii="MathJax_Math" w:eastAsia="Times New Roman" w:hAnsi="MathJax_Math" w:cs="Times New Roman"/>
          <w:i/>
          <w:iCs/>
          <w:color w:val="333333"/>
          <w:sz w:val="15"/>
          <w:szCs w:val="15"/>
        </w:rPr>
        <w:t>β</w:t>
      </w:r>
      <w:r>
        <w:rPr>
          <w:rFonts w:ascii="MathJax_Main" w:eastAsia="Times New Roman" w:hAnsi="MathJax_Main" w:cs="Times New Roman"/>
          <w:color w:val="333333"/>
          <w:sz w:val="12"/>
          <w:szCs w:val="12"/>
        </w:rPr>
        <w:t>1</w:t>
      </w:r>
      <w:r>
        <w:rPr>
          <w:rFonts w:ascii="Calibri" w:eastAsia="Times New Roman" w:hAnsi="Calibri" w:cs="Times New Roman"/>
          <w:color w:val="333333"/>
          <w:sz w:val="20"/>
          <w:szCs w:val="20"/>
        </w:rPr>
        <w:t> of the population regression line with the number of bidders present at the auction as the independent variable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and sales price as the dependent variable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w:t>
      </w:r>
    </w:p>
    <w:p w:rsidR="00AD77BB" w:rsidRDefault="00B45BA0">
      <w:pPr>
        <w:numPr>
          <w:ilvl w:val="1"/>
          <w:numId w:val="285"/>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10% level of significance, the hypothesis that the average sales price increases by more than $90 for each additional bidder at an auction, against the default that it increases by exactly $90.</w:t>
      </w:r>
    </w:p>
    <w:p w:rsidR="00AD77BB" w:rsidRDefault="00B45BA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lastRenderedPageBreak/>
        <w:drawing>
          <wp:inline distT="0" distB="0" distL="0" distR="0" wp14:anchorId="0A23186B" wp14:editId="7F6C7FBB">
            <wp:extent cx="4895850" cy="6619875"/>
            <wp:effectExtent l="0" t="0" r="0" b="9525"/>
            <wp:docPr id="413"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4895850" cy="661987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drawing>
          <wp:inline distT="0" distB="0" distL="0" distR="0" wp14:anchorId="006D385A" wp14:editId="79177B21">
            <wp:extent cx="4829175" cy="904875"/>
            <wp:effectExtent l="0" t="0" r="9525" b="9525"/>
            <wp:docPr id="414"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829175" cy="904875"/>
                    </a:xfrm>
                    <a:prstGeom prst="rect">
                      <a:avLst/>
                    </a:prstGeom>
                    <a:noFill/>
                    <a:ln>
                      <a:noFill/>
                    </a:ln>
                  </pic:spPr>
                </pic:pic>
              </a:graphicData>
            </a:graphic>
          </wp:inline>
        </w:drawing>
      </w:r>
    </w:p>
    <w:p w:rsidR="00AD77BB" w:rsidRDefault="00AD77BB">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p>
    <w:p w:rsidR="00AD77BB" w:rsidRDefault="00AD77BB">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p>
    <w:p w:rsidR="00AD77BB" w:rsidRDefault="00B45B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3"/>
          <w:szCs w:val="33"/>
        </w:rPr>
        <w:lastRenderedPageBreak/>
        <w:t>0.6</w:t>
      </w:r>
      <w:r>
        <w:rPr>
          <w:rStyle w:val="apple-converted-space"/>
          <w:rFonts w:ascii="Calibri" w:hAnsi="Calibri"/>
          <w:color w:val="333333"/>
        </w:rPr>
        <w:t> </w:t>
      </w:r>
      <w:r>
        <w:rPr>
          <w:rFonts w:ascii="Calibri" w:hAnsi="Calibri"/>
          <w:color w:val="333333"/>
        </w:rPr>
        <w:t>The Coefficient of Determination</w:t>
      </w:r>
    </w:p>
    <w:p w:rsidR="00AD77BB" w:rsidRDefault="00AD77BB"/>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AD77BB" w:rsidRDefault="00B45BA0">
      <w:pPr>
        <w:numPr>
          <w:ilvl w:val="0"/>
          <w:numId w:val="28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To learn what the coefficient of determination is, how to compute it, and what it tells us about the relationship between two variables</w:t>
      </w:r>
      <w:r>
        <w:rPr>
          <w:rStyle w:val="apple-converted-space"/>
          <w:rFonts w:ascii="Calibri" w:hAnsi="Calibri"/>
          <w:color w:val="333333"/>
          <w:sz w:val="20"/>
          <w:szCs w:val="20"/>
        </w:rPr>
        <w:t> </w:t>
      </w:r>
      <w:r>
        <w:rPr>
          <w:rStyle w:val="Emphasis"/>
          <w:rFonts w:ascii="Calibri" w:hAnsi="Calibri"/>
          <w:color w:val="333333"/>
          <w:sz w:val="20"/>
          <w:szCs w:val="20"/>
        </w:rPr>
        <w:t>x</w:t>
      </w:r>
      <w:r>
        <w:rPr>
          <w:rFonts w:ascii="Calibri" w:hAnsi="Calibri"/>
          <w:color w:val="333333"/>
          <w:sz w:val="20"/>
          <w:szCs w:val="20"/>
        </w:rPr>
        <w:t>and</w:t>
      </w:r>
      <w:r>
        <w:rPr>
          <w:rStyle w:val="apple-converted-space"/>
          <w:rFonts w:ascii="Calibri" w:hAnsi="Calibri"/>
          <w:color w:val="333333"/>
          <w:sz w:val="20"/>
          <w:szCs w:val="20"/>
        </w:rPr>
        <w:t> </w:t>
      </w:r>
      <w:r>
        <w:rPr>
          <w:rStyle w:val="Emphasis"/>
          <w:rFonts w:ascii="Calibri" w:hAnsi="Calibri"/>
          <w:color w:val="333333"/>
          <w:sz w:val="20"/>
          <w:szCs w:val="20"/>
        </w:rPr>
        <w:t>y</w:t>
      </w:r>
      <w:r>
        <w:rPr>
          <w:rFonts w:ascii="Calibri" w:hAnsi="Calibri"/>
          <w:color w:val="333333"/>
          <w:sz w:val="20"/>
          <w:szCs w:val="20"/>
        </w:rPr>
        <w:t>.</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If the scatter diagram of a set of</w:t>
      </w:r>
      <w:r>
        <w:rPr>
          <w:rStyle w:val="apple-converted-space"/>
          <w:rFonts w:ascii="Georgia" w:hAnsi="Georgia"/>
          <w:color w:val="333333"/>
          <w:sz w:val="21"/>
          <w:szCs w:val="21"/>
        </w:rPr>
        <w:t> </w:t>
      </w:r>
      <w:r>
        <w:rPr>
          <w:rStyle w:val="mo"/>
          <w:rFonts w:ascii="MathJax_Main" w:hAnsi="MathJax_Main"/>
          <w:color w:val="333333"/>
          <w:sz w:val="20"/>
          <w:szCs w:val="20"/>
        </w:rPr>
        <w:t>(</w:t>
      </w:r>
      <w:r>
        <w:rPr>
          <w:rStyle w:val="mi"/>
          <w:rFonts w:ascii="MathJax_Math" w:hAnsi="MathJax_Math"/>
          <w:i/>
          <w:iCs/>
          <w:color w:val="333333"/>
          <w:sz w:val="20"/>
          <w:szCs w:val="20"/>
        </w:rPr>
        <w:t>x</w:t>
      </w:r>
      <w:r>
        <w:rPr>
          <w:rStyle w:val="mo"/>
          <w:rFonts w:ascii="MathJax_Main" w:hAnsi="MathJax_Main"/>
          <w:color w:val="333333"/>
          <w:sz w:val="20"/>
          <w:szCs w:val="20"/>
        </w:rPr>
        <w:t>,</w:t>
      </w:r>
      <w:r>
        <w:rPr>
          <w:rStyle w:val="mi"/>
          <w:rFonts w:ascii="MathJax_Math" w:hAnsi="MathJax_Math"/>
          <w:i/>
          <w:iCs/>
          <w:color w:val="333333"/>
          <w:sz w:val="20"/>
          <w:szCs w:val="20"/>
        </w:rPr>
        <w:t>y</w:t>
      </w:r>
      <w:r>
        <w:rPr>
          <w:rStyle w:val="mo"/>
          <w:rFonts w:ascii="MathJax_Main" w:hAnsi="MathJax_Main"/>
          <w:color w:val="333333"/>
          <w:sz w:val="20"/>
          <w:szCs w:val="20"/>
        </w:rPr>
        <w:t>)</w:t>
      </w:r>
      <w:r>
        <w:rPr>
          <w:rStyle w:val="apple-converted-space"/>
          <w:rFonts w:ascii="Georgia" w:hAnsi="Georgia"/>
          <w:color w:val="333333"/>
          <w:sz w:val="21"/>
          <w:szCs w:val="21"/>
        </w:rPr>
        <w:t> </w:t>
      </w:r>
      <w:r>
        <w:rPr>
          <w:rFonts w:ascii="Georgia" w:hAnsi="Georgia"/>
          <w:color w:val="333333"/>
          <w:sz w:val="21"/>
          <w:szCs w:val="21"/>
        </w:rPr>
        <w:t>pairs shows neither an upward or downward trend, then the horizontal line</w:t>
      </w:r>
      <w:r>
        <w:rPr>
          <w:rStyle w:val="apple-converted-space"/>
          <w:rFonts w:ascii="Georgia" w:hAnsi="Georgia"/>
          <w:color w:val="333333"/>
          <w:sz w:val="21"/>
          <w:szCs w:val="21"/>
        </w:rPr>
        <w:t> </w:t>
      </w:r>
      <w:r>
        <w:rPr>
          <w:rStyle w:val="mi"/>
          <w:rFonts w:ascii="MathJax_Math" w:hAnsi="MathJax_Math"/>
          <w:i/>
          <w:iCs/>
          <w:color w:val="333333"/>
          <w:sz w:val="20"/>
          <w:szCs w:val="20"/>
        </w:rPr>
        <w:t>y</w:t>
      </w:r>
      <w:r>
        <w:rPr>
          <w:rStyle w:val="mo"/>
          <w:rFonts w:ascii="MathJax_Main" w:hAnsi="MathJax_Main"/>
          <w:color w:val="333333"/>
          <w:sz w:val="20"/>
          <w:szCs w:val="20"/>
        </w:rPr>
        <w:t>ˆ=</w:t>
      </w:r>
      <w:r>
        <w:rPr>
          <w:rStyle w:val="mi"/>
          <w:rFonts w:ascii="MathJax_Math" w:hAnsi="MathJax_Math"/>
          <w:i/>
          <w:iCs/>
          <w:color w:val="333333"/>
          <w:sz w:val="20"/>
          <w:szCs w:val="20"/>
        </w:rPr>
        <w:t>y</w:t>
      </w:r>
      <w:r>
        <w:rPr>
          <w:rStyle w:val="mo"/>
          <w:rFonts w:ascii="MathJax_Main" w:hAnsi="MathJax_Main"/>
          <w:color w:val="333333"/>
          <w:sz w:val="20"/>
          <w:szCs w:val="20"/>
        </w:rPr>
        <w:t>−</w:t>
      </w:r>
      <w:r>
        <w:rPr>
          <w:rStyle w:val="apple-converted-space"/>
          <w:rFonts w:ascii="Georgia" w:hAnsi="Georgia"/>
          <w:color w:val="333333"/>
          <w:sz w:val="21"/>
          <w:szCs w:val="21"/>
        </w:rPr>
        <w:t> </w:t>
      </w:r>
      <w:r>
        <w:rPr>
          <w:rFonts w:ascii="Georgia" w:hAnsi="Georgia"/>
          <w:color w:val="333333"/>
          <w:sz w:val="21"/>
          <w:szCs w:val="21"/>
        </w:rPr>
        <w:t xml:space="preserve">fits it well, as illustrated in </w:t>
      </w:r>
      <w:r>
        <w:rPr>
          <w:rFonts w:ascii="Georgia" w:hAnsi="Georgia"/>
          <w:color w:val="2689C6"/>
          <w:sz w:val="21"/>
          <w:szCs w:val="21"/>
        </w:rPr>
        <w:t>Figure 10.11</w:t>
      </w:r>
      <w:r>
        <w:rPr>
          <w:rFonts w:ascii="Georgia" w:hAnsi="Georgia"/>
          <w:color w:val="333333"/>
          <w:sz w:val="21"/>
          <w:szCs w:val="21"/>
        </w:rPr>
        <w:t>. The lack of any upward or downward trend means that when an element of the population is selected at random, knowing the value of the measurement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for that element is not helpful in predicting the value of the measurement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y</w:t>
      </w:r>
      <w:r>
        <w:rPr>
          <w:rFonts w:ascii="Georgia" w:hAnsi="Georgia"/>
          <w:color w:val="333333"/>
          <w:sz w:val="21"/>
          <w:szCs w:val="21"/>
        </w:rPr>
        <w:t>.</w:t>
      </w: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t>Figure 10.11</w:t>
      </w:r>
    </w:p>
    <w:p w:rsidR="00AD77BB" w:rsidRDefault="00B45BA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noProof/>
          <w:color w:val="2689C6"/>
          <w:sz w:val="25"/>
          <w:szCs w:val="25"/>
          <w:shd w:val="clear" w:color="auto" w:fill="FFFFFF"/>
        </w:rPr>
        <w:drawing>
          <wp:inline distT="0" distB="0" distL="0" distR="0" wp14:anchorId="14DBA82A" wp14:editId="49CF05FC">
            <wp:extent cx="4048125" cy="3200400"/>
            <wp:effectExtent l="0" t="0" r="9525" b="0"/>
            <wp:docPr id="415" name="Picture 433" descr="http://images.flatworldknowledge.com/shafer/shafer-fig10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images.flatworldknowledge.com/shafer/shafer-fig10_011.jpg"/>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4048125" cy="3200400"/>
                    </a:xfrm>
                    <a:prstGeom prst="rect">
                      <a:avLst/>
                    </a:prstGeom>
                    <a:noFill/>
                    <a:ln>
                      <a:noFill/>
                    </a:ln>
                  </pic:spPr>
                </pic:pic>
              </a:graphicData>
            </a:graphic>
          </wp:inline>
        </w:drawing>
      </w:r>
    </w:p>
    <w:p w:rsidR="00AD77BB" w:rsidRDefault="00B45BA0">
      <w:pPr>
        <w:shd w:val="clear" w:color="auto" w:fill="FFFFFF"/>
        <w:spacing w:line="360" w:lineRule="auto"/>
        <w:textAlignment w:val="baseline"/>
        <w:rPr>
          <w:rFonts w:ascii="Calibri" w:hAnsi="Calibri"/>
          <w:color w:val="555555"/>
          <w:sz w:val="27"/>
          <w:szCs w:val="27"/>
        </w:rPr>
      </w:pPr>
      <w:r>
        <w:rPr>
          <w:rStyle w:val="mo"/>
          <w:rFonts w:ascii="MathJax_Main" w:hAnsi="MathJax_Main"/>
          <w:color w:val="555555"/>
          <w:sz w:val="20"/>
          <w:szCs w:val="20"/>
        </w:rPr>
        <w:t>yˆ=</w:t>
      </w:r>
      <w:r>
        <w:rPr>
          <w:rStyle w:val="mi"/>
          <w:rFonts w:ascii="MathJax_Math" w:hAnsi="MathJax_Math"/>
          <w:i/>
          <w:iCs/>
          <w:color w:val="555555"/>
          <w:sz w:val="20"/>
          <w:szCs w:val="20"/>
        </w:rPr>
        <w:t>y</w:t>
      </w:r>
      <w:r>
        <w:rPr>
          <w:rStyle w:val="mo"/>
          <w:rFonts w:ascii="MathJax_Main" w:hAnsi="MathJax_Main"/>
          <w:color w:val="555555"/>
          <w:sz w:val="20"/>
          <w:szCs w:val="20"/>
        </w:rPr>
        <w:t>−</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If the scatter diagram shows a linear trend upward or downward then it is useful to compute the least squares regression line</w:t>
      </w:r>
      <w:r>
        <w:rPr>
          <w:rStyle w:val="apple-converted-space"/>
          <w:rFonts w:ascii="Georgia" w:hAnsi="Georgia"/>
          <w:color w:val="333333"/>
          <w:sz w:val="21"/>
          <w:szCs w:val="21"/>
        </w:rPr>
        <w:t> </w:t>
      </w:r>
      <w:r>
        <w:rPr>
          <w:rStyle w:val="mi"/>
          <w:rFonts w:ascii="MathJax_Math" w:hAnsi="MathJax_Math"/>
          <w:i/>
          <w:iCs/>
          <w:color w:val="333333"/>
          <w:sz w:val="20"/>
          <w:szCs w:val="20"/>
        </w:rPr>
        <w:t>y</w:t>
      </w:r>
      <w:r>
        <w:rPr>
          <w:rStyle w:val="mo"/>
          <w:rFonts w:ascii="MathJax_Main" w:eastAsiaTheme="majorEastAsia" w:hAnsi="MathJax_Main"/>
          <w:color w:val="333333"/>
          <w:sz w:val="20"/>
          <w:szCs w:val="20"/>
        </w:rPr>
        <w:t>ˆ=</w:t>
      </w:r>
      <w:r>
        <w:rPr>
          <w:rStyle w:val="mi"/>
          <w:rFonts w:ascii="MathJax_Math" w:hAnsi="MathJax_Math"/>
          <w:i/>
          <w:iCs/>
          <w:color w:val="333333"/>
          <w:sz w:val="15"/>
          <w:szCs w:val="15"/>
        </w:rPr>
        <w:t>β</w:t>
      </w:r>
      <w:r>
        <w:rPr>
          <w:rStyle w:val="mo"/>
          <w:rFonts w:ascii="MathJax_Main" w:eastAsiaTheme="majorEastAsia" w:hAnsi="MathJax_Main"/>
          <w:color w:val="333333"/>
          <w:sz w:val="20"/>
          <w:szCs w:val="20"/>
        </w:rPr>
        <w:t>ˆ</w:t>
      </w:r>
      <w:r>
        <w:rPr>
          <w:rStyle w:val="mn"/>
          <w:rFonts w:ascii="MathJax_Main" w:hAnsi="MathJax_Main"/>
          <w:color w:val="333333"/>
          <w:sz w:val="15"/>
          <w:szCs w:val="15"/>
        </w:rPr>
        <w:t>1</w:t>
      </w:r>
      <w:r>
        <w:rPr>
          <w:rStyle w:val="mi"/>
          <w:rFonts w:ascii="MathJax_Math" w:hAnsi="MathJax_Math"/>
          <w:i/>
          <w:iCs/>
          <w:color w:val="333333"/>
          <w:sz w:val="20"/>
          <w:szCs w:val="20"/>
        </w:rPr>
        <w:t>x</w:t>
      </w:r>
      <w:r>
        <w:rPr>
          <w:rStyle w:val="mo"/>
          <w:rFonts w:ascii="MathJax_Main" w:eastAsiaTheme="majorEastAsia" w:hAnsi="MathJax_Main"/>
          <w:color w:val="333333"/>
          <w:sz w:val="20"/>
          <w:szCs w:val="20"/>
        </w:rPr>
        <w:t>+</w:t>
      </w:r>
      <w:r>
        <w:rPr>
          <w:rStyle w:val="mi"/>
          <w:rFonts w:ascii="MathJax_Math" w:hAnsi="MathJax_Math"/>
          <w:i/>
          <w:iCs/>
          <w:color w:val="333333"/>
          <w:sz w:val="15"/>
          <w:szCs w:val="15"/>
        </w:rPr>
        <w:t>β</w:t>
      </w:r>
      <w:r>
        <w:rPr>
          <w:rStyle w:val="mo"/>
          <w:rFonts w:ascii="MathJax_Main" w:eastAsiaTheme="majorEastAsia" w:hAnsi="MathJax_Main"/>
          <w:color w:val="333333"/>
          <w:sz w:val="20"/>
          <w:szCs w:val="20"/>
        </w:rPr>
        <w:t>ˆ</w:t>
      </w:r>
      <w:r>
        <w:rPr>
          <w:rStyle w:val="mn"/>
          <w:rFonts w:ascii="MathJax_Main" w:hAnsi="MathJax_Main"/>
          <w:color w:val="333333"/>
          <w:sz w:val="15"/>
          <w:szCs w:val="15"/>
        </w:rPr>
        <w:t>0</w:t>
      </w:r>
      <w:r>
        <w:rPr>
          <w:rStyle w:val="apple-converted-space"/>
          <w:rFonts w:ascii="Georgia" w:hAnsi="Georgia"/>
          <w:color w:val="333333"/>
          <w:sz w:val="21"/>
          <w:szCs w:val="21"/>
        </w:rPr>
        <w:t> </w:t>
      </w:r>
      <w:r>
        <w:rPr>
          <w:rFonts w:ascii="Georgia" w:hAnsi="Georgia"/>
          <w:color w:val="333333"/>
          <w:sz w:val="21"/>
          <w:szCs w:val="21"/>
        </w:rPr>
        <w:t>and use it in predicting</w:t>
      </w:r>
      <w:r>
        <w:rPr>
          <w:rStyle w:val="apple-converted-space"/>
          <w:rFonts w:ascii="Georgia" w:hAnsi="Georgia"/>
          <w:color w:val="333333"/>
          <w:sz w:val="21"/>
          <w:szCs w:val="21"/>
        </w:rPr>
        <w:t> </w:t>
      </w:r>
      <w:r>
        <w:rPr>
          <w:rStyle w:val="Emphasis"/>
          <w:rFonts w:ascii="Georgia" w:hAnsi="Georgia"/>
          <w:color w:val="333333"/>
          <w:sz w:val="20"/>
          <w:szCs w:val="20"/>
        </w:rPr>
        <w:t>y</w:t>
      </w:r>
      <w:r>
        <w:rPr>
          <w:rFonts w:ascii="Georgia" w:hAnsi="Georgia"/>
          <w:color w:val="333333"/>
          <w:sz w:val="21"/>
          <w:szCs w:val="21"/>
        </w:rPr>
        <w:t>.</w:t>
      </w:r>
      <w:r>
        <w:rPr>
          <w:rStyle w:val="apple-converted-space"/>
          <w:rFonts w:ascii="Georgia" w:hAnsi="Georgia"/>
          <w:color w:val="333333"/>
          <w:sz w:val="21"/>
          <w:szCs w:val="21"/>
        </w:rPr>
        <w:t> </w:t>
      </w:r>
      <w:r>
        <w:rPr>
          <w:rFonts w:ascii="Georgia" w:hAnsi="Georgia"/>
          <w:color w:val="2689C6"/>
          <w:sz w:val="21"/>
          <w:szCs w:val="21"/>
        </w:rPr>
        <w:t>Figure 10.12 "Same Scatter Diagram with Two Approximating Lines"</w:t>
      </w:r>
      <w:r>
        <w:rPr>
          <w:rStyle w:val="apple-converted-space"/>
          <w:rFonts w:ascii="Georgia" w:hAnsi="Georgia"/>
          <w:color w:val="333333"/>
          <w:sz w:val="21"/>
          <w:szCs w:val="21"/>
        </w:rPr>
        <w:t> </w:t>
      </w:r>
      <w:r>
        <w:rPr>
          <w:rFonts w:ascii="Georgia" w:hAnsi="Georgia"/>
          <w:color w:val="333333"/>
          <w:sz w:val="21"/>
          <w:szCs w:val="21"/>
        </w:rPr>
        <w:t>illustrates this. In each panel we have plotted the height and weight data of</w:t>
      </w:r>
      <w:r>
        <w:rPr>
          <w:rStyle w:val="apple-converted-space"/>
          <w:rFonts w:ascii="Georgia" w:hAnsi="Georgia"/>
          <w:color w:val="333333"/>
          <w:sz w:val="21"/>
          <w:szCs w:val="21"/>
        </w:rPr>
        <w:t> </w:t>
      </w:r>
      <w:r>
        <w:rPr>
          <w:rFonts w:ascii="Georgia" w:hAnsi="Georgia"/>
          <w:color w:val="2689C6"/>
          <w:sz w:val="21"/>
          <w:szCs w:val="21"/>
        </w:rPr>
        <w:t>Section 10.1 "Linear Relationships Between Variables"</w:t>
      </w:r>
      <w:r>
        <w:rPr>
          <w:rFonts w:ascii="Georgia" w:hAnsi="Georgia"/>
          <w:color w:val="333333"/>
          <w:sz w:val="21"/>
          <w:szCs w:val="21"/>
        </w:rPr>
        <w:t>. This is the same scatter plot as</w:t>
      </w:r>
      <w:r>
        <w:rPr>
          <w:rStyle w:val="apple-converted-space"/>
          <w:rFonts w:ascii="Georgia" w:hAnsi="Georgia"/>
          <w:color w:val="333333"/>
          <w:sz w:val="21"/>
          <w:szCs w:val="21"/>
        </w:rPr>
        <w:t> </w:t>
      </w:r>
      <w:r>
        <w:rPr>
          <w:rFonts w:ascii="Georgia" w:hAnsi="Georgia"/>
          <w:color w:val="2689C6"/>
          <w:sz w:val="21"/>
          <w:szCs w:val="21"/>
        </w:rPr>
        <w:t>Figure 10.2 "Plot of Height and Weight Pairs"</w:t>
      </w:r>
      <w:r>
        <w:rPr>
          <w:rFonts w:ascii="Georgia" w:hAnsi="Georgia"/>
          <w:color w:val="333333"/>
          <w:sz w:val="21"/>
          <w:szCs w:val="21"/>
        </w:rPr>
        <w:t>, with the average value line</w:t>
      </w:r>
      <w:r>
        <w:rPr>
          <w:rStyle w:val="apple-converted-space"/>
          <w:rFonts w:ascii="Georgia" w:hAnsi="Georgia"/>
          <w:color w:val="333333"/>
          <w:sz w:val="21"/>
          <w:szCs w:val="21"/>
        </w:rPr>
        <w:t> </w:t>
      </w:r>
      <w:r>
        <w:rPr>
          <w:rStyle w:val="mi"/>
          <w:rFonts w:ascii="MathJax_Math" w:hAnsi="MathJax_Math"/>
          <w:i/>
          <w:iCs/>
          <w:color w:val="333333"/>
          <w:sz w:val="20"/>
          <w:szCs w:val="20"/>
        </w:rPr>
        <w:t>y</w:t>
      </w:r>
      <w:r>
        <w:rPr>
          <w:rStyle w:val="mo"/>
          <w:rFonts w:ascii="MathJax_Main" w:eastAsiaTheme="majorEastAsia" w:hAnsi="MathJax_Main"/>
          <w:color w:val="333333"/>
          <w:sz w:val="20"/>
          <w:szCs w:val="20"/>
        </w:rPr>
        <w:t>ˆ=</w:t>
      </w:r>
      <w:r>
        <w:rPr>
          <w:rStyle w:val="mi"/>
          <w:rFonts w:ascii="MathJax_Math" w:hAnsi="MathJax_Math"/>
          <w:i/>
          <w:iCs/>
          <w:color w:val="333333"/>
          <w:sz w:val="20"/>
          <w:szCs w:val="20"/>
        </w:rPr>
        <w:t>y</w:t>
      </w:r>
      <w:r>
        <w:rPr>
          <w:rStyle w:val="mo"/>
          <w:rFonts w:ascii="MathJax_Main" w:eastAsiaTheme="majorEastAsia" w:hAnsi="MathJax_Main"/>
          <w:color w:val="333333"/>
          <w:sz w:val="20"/>
          <w:szCs w:val="20"/>
        </w:rPr>
        <w:t>−</w:t>
      </w:r>
      <w:r>
        <w:rPr>
          <w:rStyle w:val="apple-converted-space"/>
          <w:rFonts w:ascii="Georgia" w:hAnsi="Georgia"/>
          <w:color w:val="333333"/>
          <w:sz w:val="21"/>
          <w:szCs w:val="21"/>
        </w:rPr>
        <w:t> </w:t>
      </w:r>
      <w:r>
        <w:rPr>
          <w:rFonts w:ascii="Georgia" w:hAnsi="Georgia"/>
          <w:color w:val="333333"/>
          <w:sz w:val="21"/>
          <w:szCs w:val="21"/>
        </w:rPr>
        <w:t>superimposed on it in the left panel and the least squares regression line imposed on it in the right panel. The errors are indicated graphically by the vertical line segments.</w:t>
      </w:r>
    </w:p>
    <w:p w:rsidR="00AD77BB" w:rsidRDefault="00B45BA0">
      <w:pPr>
        <w:shd w:val="clear" w:color="auto" w:fill="FFFFFF"/>
        <w:spacing w:after="0" w:line="439" w:lineRule="atLeast"/>
        <w:textAlignment w:val="baseline"/>
        <w:rPr>
          <w:rFonts w:ascii="Georgia" w:eastAsia="Times New Roman" w:hAnsi="Georgia" w:cs="Times New Roman"/>
          <w:i/>
          <w:iCs/>
          <w:color w:val="BB9966"/>
          <w:sz w:val="19"/>
          <w:szCs w:val="19"/>
        </w:rPr>
      </w:pPr>
      <w:r>
        <w:rPr>
          <w:rFonts w:ascii="Georgia" w:eastAsia="Times New Roman" w:hAnsi="Georgia" w:cs="Times New Roman"/>
          <w:i/>
          <w:iCs/>
          <w:color w:val="000000"/>
          <w:sz w:val="20"/>
          <w:szCs w:val="20"/>
        </w:rPr>
        <w:lastRenderedPageBreak/>
        <w:t>Figure 10.12</w:t>
      </w:r>
      <w:r>
        <w:rPr>
          <w:rFonts w:ascii="Georgia" w:eastAsia="Times New Roman" w:hAnsi="Georgia" w:cs="Times New Roman"/>
          <w:i/>
          <w:iCs/>
          <w:color w:val="BB9966"/>
          <w:sz w:val="19"/>
          <w:szCs w:val="19"/>
        </w:rPr>
        <w:t> Same Scatter Diagram with Two Approximating Lines</w:t>
      </w:r>
    </w:p>
    <w:p w:rsidR="00AD77BB" w:rsidRDefault="00B45BA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noProof/>
          <w:color w:val="2689C6"/>
          <w:sz w:val="25"/>
          <w:szCs w:val="25"/>
          <w:shd w:val="clear" w:color="auto" w:fill="FFFFFF"/>
        </w:rPr>
        <w:drawing>
          <wp:inline distT="0" distB="0" distL="0" distR="0" wp14:anchorId="26256D44" wp14:editId="04DD7F95">
            <wp:extent cx="5334000" cy="2314575"/>
            <wp:effectExtent l="0" t="0" r="0" b="9525"/>
            <wp:docPr id="416" name="Picture 434" descr="http://images.flatworldknowledge.com/shafer/shafer-fig10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images.flatworldknowledge.com/shafer/shafer-fig10_012.jpg"/>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334000" cy="2314575"/>
                    </a:xfrm>
                    <a:prstGeom prst="rect">
                      <a:avLst/>
                    </a:prstGeom>
                    <a:noFill/>
                    <a:ln>
                      <a:noFill/>
                    </a:ln>
                  </pic:spPr>
                </pic:pic>
              </a:graphicData>
            </a:graphic>
          </wp:inline>
        </w:drawing>
      </w:r>
    </w:p>
    <w:p w:rsidR="00AD77BB" w:rsidRDefault="00B45BA0">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r>
        <w:rPr>
          <w:rFonts w:ascii="Calibri" w:eastAsia="Times New Roman" w:hAnsi="Calibri" w:cs="Times New Roman"/>
          <w:b/>
          <w:noProof/>
          <w:color w:val="333333"/>
          <w:sz w:val="20"/>
          <w:szCs w:val="20"/>
        </w:rPr>
        <w:drawing>
          <wp:inline distT="0" distB="0" distL="0" distR="0" wp14:anchorId="40741B3F" wp14:editId="4146087E">
            <wp:extent cx="4648200" cy="5495925"/>
            <wp:effectExtent l="0" t="0" r="0" b="9525"/>
            <wp:docPr id="417"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4648200" cy="5495925"/>
                    </a:xfrm>
                    <a:prstGeom prst="rect">
                      <a:avLst/>
                    </a:prstGeom>
                    <a:noFill/>
                    <a:ln>
                      <a:noFill/>
                    </a:ln>
                  </pic:spPr>
                </pic:pic>
              </a:graphicData>
            </a:graphic>
          </wp:inline>
        </w:drawing>
      </w:r>
    </w:p>
    <w:p w:rsidR="00AD77BB" w:rsidRDefault="00AD77BB">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noProof/>
        </w:rPr>
        <w:drawing>
          <wp:anchor distT="0" distB="0" distL="114300" distR="114300" simplePos="0" relativeHeight="251672576" behindDoc="0" locked="0" layoutInCell="1" allowOverlap="1" wp14:anchorId="36C0A3FD" wp14:editId="175FEF10">
            <wp:simplePos x="0" y="0"/>
            <wp:positionH relativeFrom="column">
              <wp:align>left</wp:align>
            </wp:positionH>
            <wp:positionV relativeFrom="paragraph">
              <wp:align>top</wp:align>
            </wp:positionV>
            <wp:extent cx="4814570" cy="3073400"/>
            <wp:effectExtent l="0" t="0" r="5080" b="0"/>
            <wp:wrapSquare wrapText="bothSides"/>
            <wp:docPr id="485"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4814570" cy="307340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b w:val="0"/>
          <w:color w:val="333333"/>
          <w:sz w:val="20"/>
          <w:szCs w:val="20"/>
        </w:rPr>
        <w:br w:type="textWrapping" w:clear="all"/>
      </w:r>
      <w:r>
        <w:rPr>
          <w:rFonts w:ascii="Calibri" w:hAnsi="Calibri"/>
          <w:caps/>
          <w:color w:val="FFFFFF"/>
          <w:spacing w:val="30"/>
          <w:sz w:val="25"/>
          <w:szCs w:val="25"/>
        </w:rPr>
        <w:t>EXAMPLE 10</w:t>
      </w:r>
    </w:p>
    <w:p w:rsidR="00AD77BB" w:rsidRDefault="00B45BA0">
      <w:pPr>
        <w:pStyle w:val="para"/>
        <w:shd w:val="clear" w:color="auto" w:fill="E3EFF7"/>
        <w:spacing w:before="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The value of used vehicles of the make and model discussed in</w:t>
      </w:r>
      <w:r>
        <w:rPr>
          <w:rStyle w:val="apple-converted-space"/>
          <w:rFonts w:ascii="Calibri" w:hAnsi="Calibri"/>
          <w:color w:val="333333"/>
          <w:sz w:val="20"/>
          <w:szCs w:val="20"/>
        </w:rPr>
        <w:t> </w:t>
      </w:r>
      <w:r>
        <w:rPr>
          <w:rFonts w:ascii="Calibri" w:hAnsi="Calibri"/>
          <w:color w:val="2689C6"/>
          <w:sz w:val="20"/>
          <w:szCs w:val="20"/>
        </w:rPr>
        <w:t>Note 10.19 "Example 3"</w:t>
      </w:r>
      <w:r>
        <w:rPr>
          <w:rStyle w:val="apple-converted-space"/>
          <w:rFonts w:ascii="Calibri" w:hAnsi="Calibri"/>
          <w:color w:val="333333"/>
          <w:sz w:val="20"/>
          <w:szCs w:val="20"/>
        </w:rPr>
        <w:t> </w:t>
      </w:r>
      <w:r>
        <w:rPr>
          <w:rFonts w:ascii="Calibri" w:hAnsi="Calibri"/>
          <w:color w:val="333333"/>
          <w:sz w:val="20"/>
          <w:szCs w:val="20"/>
        </w:rPr>
        <w:t>in</w:t>
      </w:r>
      <w:r>
        <w:rPr>
          <w:rStyle w:val="apple-converted-space"/>
          <w:rFonts w:ascii="Calibri" w:hAnsi="Calibri"/>
          <w:color w:val="333333"/>
          <w:sz w:val="20"/>
          <w:szCs w:val="20"/>
        </w:rPr>
        <w:t> </w:t>
      </w:r>
      <w:r>
        <w:rPr>
          <w:rFonts w:ascii="Calibri" w:hAnsi="Calibri"/>
          <w:color w:val="2689C6"/>
          <w:sz w:val="20"/>
          <w:szCs w:val="20"/>
        </w:rPr>
        <w:t>Section 10.4 "The Least Squares Regression Line"</w:t>
      </w:r>
      <w:r>
        <w:rPr>
          <w:rFonts w:ascii="Calibri" w:hAnsi="Calibri"/>
          <w:color w:val="333333"/>
          <w:sz w:val="20"/>
          <w:szCs w:val="20"/>
        </w:rPr>
        <w:t>varies widely. The most expensive automobile in the sample in</w:t>
      </w:r>
      <w:r>
        <w:rPr>
          <w:rStyle w:val="apple-converted-space"/>
          <w:rFonts w:ascii="Calibri" w:hAnsi="Calibri"/>
          <w:color w:val="333333"/>
          <w:sz w:val="20"/>
          <w:szCs w:val="20"/>
        </w:rPr>
        <w:t> </w:t>
      </w:r>
      <w:r>
        <w:rPr>
          <w:rFonts w:ascii="Calibri" w:hAnsi="Calibri"/>
          <w:color w:val="2689C6"/>
          <w:sz w:val="20"/>
          <w:szCs w:val="20"/>
        </w:rPr>
        <w:t>Table 10.3 "Data on Age and Value of Used Automobiles of a Specific Make and Model"</w:t>
      </w:r>
      <w:r>
        <w:rPr>
          <w:rStyle w:val="apple-converted-space"/>
          <w:rFonts w:ascii="Calibri" w:hAnsi="Calibri"/>
          <w:color w:val="333333"/>
          <w:sz w:val="20"/>
          <w:szCs w:val="20"/>
        </w:rPr>
        <w:t> </w:t>
      </w:r>
      <w:r>
        <w:rPr>
          <w:rFonts w:ascii="Calibri" w:hAnsi="Calibri"/>
          <w:color w:val="333333"/>
          <w:sz w:val="20"/>
          <w:szCs w:val="20"/>
        </w:rPr>
        <w:t>has value $30,500, which is nearly half again as much as the least expensive one, which is worth $20,400. Find the proportion of the variability in value that is accounted for by the linear relationship between age and value.</w:t>
      </w:r>
    </w:p>
    <w:p w:rsidR="00AD77BB" w:rsidRDefault="00B45BA0">
      <w:pPr>
        <w:pStyle w:val="simpara"/>
        <w:shd w:val="clear" w:color="auto" w:fill="E3EFF7"/>
        <w:spacing w:before="15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Solution:</w:t>
      </w:r>
    </w:p>
    <w:p w:rsidR="00AD77BB" w:rsidRDefault="00AD77BB">
      <w:pPr>
        <w:pStyle w:val="simpara"/>
        <w:shd w:val="clear" w:color="auto" w:fill="E3EFF7"/>
        <w:spacing w:before="150" w:beforeAutospacing="0" w:after="0" w:afterAutospacing="0" w:line="360" w:lineRule="auto"/>
        <w:ind w:left="300" w:right="375"/>
        <w:textAlignment w:val="baseline"/>
        <w:rPr>
          <w:rFonts w:ascii="Calibri" w:hAnsi="Calibri"/>
          <w:color w:val="333333"/>
          <w:sz w:val="20"/>
          <w:szCs w:val="20"/>
        </w:rPr>
      </w:pPr>
    </w:p>
    <w:p w:rsidR="00AD77BB" w:rsidRDefault="00B45BA0">
      <w:pPr>
        <w:pStyle w:val="para"/>
        <w:shd w:val="clear" w:color="auto" w:fill="E3EFF7"/>
        <w:spacing w:before="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The proportion of the variability in value</w:t>
      </w:r>
      <w:r>
        <w:rPr>
          <w:rStyle w:val="apple-converted-space"/>
          <w:rFonts w:ascii="Calibri" w:hAnsi="Calibri"/>
          <w:color w:val="333333"/>
          <w:sz w:val="20"/>
          <w:szCs w:val="20"/>
        </w:rPr>
        <w:t> </w:t>
      </w:r>
      <w:r>
        <w:rPr>
          <w:rStyle w:val="Emphasis"/>
          <w:rFonts w:ascii="Calibri" w:eastAsiaTheme="majorEastAsia" w:hAnsi="Calibri"/>
          <w:color w:val="333333"/>
          <w:sz w:val="20"/>
          <w:szCs w:val="20"/>
        </w:rPr>
        <w:t>y</w:t>
      </w:r>
      <w:r>
        <w:rPr>
          <w:rStyle w:val="apple-converted-space"/>
          <w:rFonts w:ascii="Calibri" w:hAnsi="Calibri"/>
          <w:color w:val="333333"/>
          <w:sz w:val="20"/>
          <w:szCs w:val="20"/>
        </w:rPr>
        <w:t> </w:t>
      </w:r>
      <w:r>
        <w:rPr>
          <w:rFonts w:ascii="Calibri" w:hAnsi="Calibri"/>
          <w:color w:val="333333"/>
          <w:sz w:val="20"/>
          <w:szCs w:val="20"/>
        </w:rPr>
        <w:t>that is accounted for by the linear relationship between it and age</w:t>
      </w:r>
      <w:r>
        <w:rPr>
          <w:rStyle w:val="apple-converted-space"/>
          <w:rFonts w:ascii="Calibri" w:hAnsi="Calibri"/>
          <w:color w:val="333333"/>
          <w:sz w:val="20"/>
          <w:szCs w:val="20"/>
        </w:rPr>
        <w:t> </w:t>
      </w:r>
      <w:r>
        <w:rPr>
          <w:rStyle w:val="Emphasis"/>
          <w:rFonts w:ascii="Calibri" w:eastAsiaTheme="majorEastAsia"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is given by the coefficient of determination,</w:t>
      </w:r>
      <w:r>
        <w:rPr>
          <w:rStyle w:val="apple-converted-space"/>
          <w:rFonts w:ascii="Calibri" w:hAnsi="Calibri"/>
          <w:color w:val="333333"/>
          <w:sz w:val="20"/>
          <w:szCs w:val="20"/>
        </w:rPr>
        <w:t> </w:t>
      </w:r>
      <w:r>
        <w:rPr>
          <w:rStyle w:val="Emphasis"/>
          <w:rFonts w:ascii="Calibri" w:eastAsiaTheme="majorEastAsia" w:hAnsi="Calibri"/>
          <w:color w:val="333333"/>
          <w:sz w:val="20"/>
          <w:szCs w:val="20"/>
        </w:rPr>
        <w:t>r</w:t>
      </w:r>
      <w:r>
        <w:rPr>
          <w:rFonts w:ascii="Calibri" w:hAnsi="Calibri"/>
          <w:color w:val="333333"/>
          <w:sz w:val="15"/>
          <w:szCs w:val="15"/>
          <w:vertAlign w:val="superscript"/>
        </w:rPr>
        <w:t>2</w:t>
      </w:r>
      <w:r>
        <w:rPr>
          <w:rFonts w:ascii="Calibri" w:hAnsi="Calibri"/>
          <w:color w:val="333333"/>
          <w:sz w:val="20"/>
          <w:szCs w:val="20"/>
        </w:rPr>
        <w:t>. Since the correlation coefficient</w:t>
      </w:r>
      <w:r>
        <w:rPr>
          <w:rStyle w:val="apple-converted-space"/>
          <w:rFonts w:ascii="Calibri" w:hAnsi="Calibri"/>
          <w:color w:val="333333"/>
          <w:sz w:val="20"/>
          <w:szCs w:val="20"/>
        </w:rPr>
        <w:t> </w:t>
      </w:r>
      <w:r>
        <w:rPr>
          <w:rStyle w:val="Emphasis"/>
          <w:rFonts w:ascii="Calibri" w:eastAsiaTheme="majorEastAsia" w:hAnsi="Calibri"/>
          <w:color w:val="333333"/>
          <w:sz w:val="20"/>
          <w:szCs w:val="20"/>
        </w:rPr>
        <w:t>r</w:t>
      </w:r>
      <w:r>
        <w:rPr>
          <w:rStyle w:val="apple-converted-space"/>
          <w:rFonts w:ascii="Calibri" w:hAnsi="Calibri"/>
          <w:color w:val="333333"/>
          <w:sz w:val="20"/>
          <w:szCs w:val="20"/>
        </w:rPr>
        <w:t> </w:t>
      </w:r>
      <w:r>
        <w:rPr>
          <w:rFonts w:ascii="Calibri" w:hAnsi="Calibri"/>
          <w:color w:val="333333"/>
          <w:sz w:val="20"/>
          <w:szCs w:val="20"/>
        </w:rPr>
        <w:t>was already computed in</w:t>
      </w:r>
      <w:r>
        <w:rPr>
          <w:rStyle w:val="apple-converted-space"/>
          <w:rFonts w:ascii="Calibri" w:hAnsi="Calibri"/>
          <w:color w:val="333333"/>
          <w:sz w:val="20"/>
          <w:szCs w:val="20"/>
        </w:rPr>
        <w:t> </w:t>
      </w:r>
      <w:r>
        <w:rPr>
          <w:rFonts w:ascii="Calibri" w:hAnsi="Calibri"/>
          <w:color w:val="2689C6"/>
          <w:sz w:val="20"/>
          <w:szCs w:val="20"/>
        </w:rPr>
        <w:t>Note 10.19 "Example 3"</w:t>
      </w:r>
      <w:r>
        <w:rPr>
          <w:rStyle w:val="apple-converted-space"/>
          <w:rFonts w:ascii="Calibri" w:hAnsi="Calibri"/>
          <w:color w:val="333333"/>
          <w:sz w:val="20"/>
          <w:szCs w:val="20"/>
        </w:rPr>
        <w:t> </w:t>
      </w:r>
      <w:r>
        <w:rPr>
          <w:rFonts w:ascii="Calibri" w:hAnsi="Calibri"/>
          <w:color w:val="333333"/>
          <w:sz w:val="20"/>
          <w:szCs w:val="20"/>
        </w:rPr>
        <w:t>as</w:t>
      </w:r>
      <w:r>
        <w:rPr>
          <w:rStyle w:val="apple-converted-space"/>
          <w:rFonts w:ascii="Calibri" w:hAnsi="Calibri"/>
          <w:color w:val="333333"/>
          <w:sz w:val="20"/>
          <w:szCs w:val="20"/>
        </w:rPr>
        <w:t> </w:t>
      </w:r>
      <w:r>
        <w:rPr>
          <w:rStyle w:val="mi"/>
          <w:rFonts w:ascii="MathJax_Math" w:hAnsi="MathJax_Math"/>
          <w:i/>
          <w:iCs/>
          <w:color w:val="333333"/>
          <w:sz w:val="17"/>
          <w:szCs w:val="17"/>
        </w:rPr>
        <w:t>r</w:t>
      </w:r>
      <w:r>
        <w:rPr>
          <w:rStyle w:val="mo"/>
          <w:rFonts w:ascii="MathJax_Main" w:hAnsi="MathJax_Main"/>
          <w:color w:val="333333"/>
          <w:sz w:val="17"/>
          <w:szCs w:val="17"/>
        </w:rPr>
        <w:t>=</w:t>
      </w:r>
      <w:r>
        <w:rPr>
          <w:rStyle w:val="mtext"/>
          <w:rFonts w:ascii="MathJax_Main" w:hAnsi="MathJax_Main"/>
          <w:color w:val="333333"/>
          <w:sz w:val="17"/>
          <w:szCs w:val="17"/>
        </w:rPr>
        <w:t>−</w:t>
      </w:r>
      <w:r>
        <w:rPr>
          <w:rStyle w:val="mn"/>
          <w:rFonts w:ascii="MathJax_Main" w:hAnsi="MathJax_Main"/>
          <w:color w:val="333333"/>
          <w:sz w:val="17"/>
          <w:szCs w:val="17"/>
        </w:rPr>
        <w:t>0.819</w:t>
      </w:r>
      <w:r>
        <w:rPr>
          <w:rFonts w:ascii="Calibri" w:hAnsi="Calibri"/>
          <w:color w:val="333333"/>
          <w:sz w:val="20"/>
          <w:szCs w:val="20"/>
        </w:rPr>
        <w:t>,</w:t>
      </w:r>
      <w:r>
        <w:rPr>
          <w:rStyle w:val="apple-converted-space"/>
          <w:rFonts w:ascii="Calibri" w:hAnsi="Calibri"/>
          <w:color w:val="333333"/>
          <w:sz w:val="20"/>
          <w:szCs w:val="20"/>
        </w:rPr>
        <w:t> </w:t>
      </w:r>
      <w:r>
        <w:rPr>
          <w:rStyle w:val="mi"/>
          <w:rFonts w:ascii="MathJax_Math" w:hAnsi="MathJax_Math"/>
          <w:i/>
          <w:iCs/>
          <w:color w:val="333333"/>
          <w:sz w:val="17"/>
          <w:szCs w:val="17"/>
        </w:rPr>
        <w:t>r</w:t>
      </w:r>
      <w:r>
        <w:rPr>
          <w:rStyle w:val="mn"/>
          <w:rFonts w:ascii="MathJax_Main" w:hAnsi="MathJax_Main"/>
          <w:color w:val="333333"/>
          <w:sz w:val="12"/>
          <w:szCs w:val="12"/>
        </w:rPr>
        <w:t>2</w:t>
      </w:r>
      <w:r>
        <w:rPr>
          <w:rStyle w:val="mo"/>
          <w:rFonts w:ascii="MathJax_Main" w:hAnsi="MathJax_Main"/>
          <w:color w:val="333333"/>
          <w:sz w:val="17"/>
          <w:szCs w:val="17"/>
        </w:rPr>
        <w:t>=(</w:t>
      </w:r>
      <w:r>
        <w:rPr>
          <w:rStyle w:val="mtext"/>
          <w:rFonts w:ascii="MathJax_Main" w:hAnsi="MathJax_Main"/>
          <w:color w:val="333333"/>
          <w:sz w:val="17"/>
          <w:szCs w:val="17"/>
        </w:rPr>
        <w:t>−</w:t>
      </w:r>
      <w:r>
        <w:rPr>
          <w:rStyle w:val="mn"/>
          <w:rFonts w:ascii="MathJax_Main" w:hAnsi="MathJax_Main"/>
          <w:color w:val="333333"/>
          <w:sz w:val="17"/>
          <w:szCs w:val="17"/>
        </w:rPr>
        <w:t>0.819</w:t>
      </w:r>
      <w:r>
        <w:rPr>
          <w:rStyle w:val="mo"/>
          <w:rFonts w:ascii="MathJax_Main" w:hAnsi="MathJax_Main"/>
          <w:color w:val="333333"/>
          <w:sz w:val="17"/>
          <w:szCs w:val="17"/>
        </w:rPr>
        <w:t>)</w:t>
      </w:r>
      <w:r>
        <w:rPr>
          <w:rStyle w:val="mn"/>
          <w:rFonts w:ascii="MathJax_Main" w:hAnsi="MathJax_Main"/>
          <w:color w:val="333333"/>
          <w:sz w:val="12"/>
          <w:szCs w:val="12"/>
        </w:rPr>
        <w:t>2</w:t>
      </w:r>
      <w:r>
        <w:rPr>
          <w:rStyle w:val="mo"/>
          <w:rFonts w:ascii="MathJax_Main" w:hAnsi="MathJax_Main"/>
          <w:color w:val="333333"/>
          <w:sz w:val="17"/>
          <w:szCs w:val="17"/>
        </w:rPr>
        <w:t>=</w:t>
      </w:r>
      <w:r>
        <w:rPr>
          <w:rStyle w:val="mn"/>
          <w:rFonts w:ascii="MathJax_Main" w:hAnsi="MathJax_Main"/>
          <w:color w:val="333333"/>
          <w:sz w:val="17"/>
          <w:szCs w:val="17"/>
        </w:rPr>
        <w:t>0.671</w:t>
      </w:r>
      <w:r>
        <w:rPr>
          <w:rStyle w:val="mo"/>
          <w:rFonts w:ascii="MathJax_Main" w:hAnsi="MathJax_Main"/>
          <w:color w:val="333333"/>
          <w:sz w:val="17"/>
          <w:szCs w:val="17"/>
        </w:rPr>
        <w:t>.</w:t>
      </w:r>
      <w:r>
        <w:rPr>
          <w:rFonts w:ascii="Calibri" w:hAnsi="Calibri"/>
          <w:color w:val="333333"/>
          <w:sz w:val="20"/>
          <w:szCs w:val="20"/>
        </w:rPr>
        <w:t>About 67% of the variability in the value of this vehicle can be explained by its age.</w:t>
      </w:r>
    </w:p>
    <w:p w:rsidR="00AD77BB" w:rsidRDefault="00B45BA0">
      <w:pPr>
        <w:pStyle w:val="Heading3"/>
        <w:shd w:val="clear" w:color="auto" w:fill="08629A"/>
        <w:spacing w:before="0" w:beforeAutospacing="0" w:after="150" w:afterAutospacing="0" w:line="360" w:lineRule="auto"/>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11</w:t>
      </w:r>
    </w:p>
    <w:p w:rsidR="00AD77BB" w:rsidRDefault="00B45BA0">
      <w:pPr>
        <w:pStyle w:val="para"/>
        <w:shd w:val="clear" w:color="auto" w:fill="E3EFF7"/>
        <w:spacing w:before="15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Use each of the three formulas for the coefficient of determination to compute its value for the example of ages and values of vehicles.</w:t>
      </w:r>
    </w:p>
    <w:p w:rsidR="00AD77BB" w:rsidRDefault="00B45BA0">
      <w:pPr>
        <w:pStyle w:val="simpara"/>
        <w:shd w:val="clear" w:color="auto" w:fill="E3EFF7"/>
        <w:spacing w:before="15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Solution:</w:t>
      </w:r>
    </w:p>
    <w:p w:rsidR="00AD77BB" w:rsidRDefault="00AD77BB">
      <w:pPr>
        <w:pStyle w:val="simpara"/>
        <w:shd w:val="clear" w:color="auto" w:fill="E3EFF7"/>
        <w:spacing w:before="150" w:beforeAutospacing="0" w:after="0" w:afterAutospacing="0" w:line="360" w:lineRule="auto"/>
        <w:ind w:left="300" w:right="375"/>
        <w:textAlignment w:val="baseline"/>
        <w:rPr>
          <w:rFonts w:ascii="Calibri" w:hAnsi="Calibri"/>
          <w:color w:val="333333"/>
          <w:sz w:val="20"/>
          <w:szCs w:val="20"/>
        </w:rPr>
      </w:pPr>
    </w:p>
    <w:p w:rsidR="00AD77BB" w:rsidRDefault="00B45BA0">
      <w:pPr>
        <w:pStyle w:val="para"/>
        <w:shd w:val="clear" w:color="auto" w:fill="E3EFF7"/>
        <w:spacing w:before="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lastRenderedPageBreak/>
        <w:t>In</w:t>
      </w:r>
      <w:r>
        <w:rPr>
          <w:rStyle w:val="apple-converted-space"/>
          <w:rFonts w:ascii="Calibri" w:hAnsi="Calibri"/>
          <w:color w:val="333333"/>
          <w:sz w:val="20"/>
          <w:szCs w:val="20"/>
        </w:rPr>
        <w:t> </w:t>
      </w:r>
      <w:r>
        <w:rPr>
          <w:rFonts w:ascii="Calibri" w:hAnsi="Calibri"/>
          <w:color w:val="2689C6"/>
          <w:sz w:val="20"/>
          <w:szCs w:val="20"/>
        </w:rPr>
        <w:t>Note 10.19 "Example 3"</w:t>
      </w:r>
      <w:r>
        <w:rPr>
          <w:rStyle w:val="apple-converted-space"/>
          <w:rFonts w:ascii="Calibri" w:hAnsi="Calibri"/>
          <w:color w:val="333333"/>
          <w:sz w:val="20"/>
          <w:szCs w:val="20"/>
        </w:rPr>
        <w:t> </w:t>
      </w:r>
      <w:r>
        <w:rPr>
          <w:rFonts w:ascii="Calibri" w:hAnsi="Calibri"/>
          <w:color w:val="333333"/>
          <w:sz w:val="20"/>
          <w:szCs w:val="20"/>
        </w:rPr>
        <w:t>in</w:t>
      </w:r>
      <w:r>
        <w:rPr>
          <w:rStyle w:val="apple-converted-space"/>
          <w:rFonts w:ascii="Calibri" w:hAnsi="Calibri"/>
          <w:color w:val="333333"/>
          <w:sz w:val="20"/>
          <w:szCs w:val="20"/>
        </w:rPr>
        <w:t> </w:t>
      </w:r>
      <w:r>
        <w:rPr>
          <w:rFonts w:ascii="Calibri" w:hAnsi="Calibri"/>
          <w:color w:val="2689C6"/>
          <w:sz w:val="20"/>
          <w:szCs w:val="20"/>
        </w:rPr>
        <w:t>Section 10.4 "The Least Squares Regression Line"</w:t>
      </w:r>
      <w:r>
        <w:rPr>
          <w:rStyle w:val="apple-converted-space"/>
          <w:rFonts w:ascii="Calibri" w:hAnsi="Calibri"/>
          <w:color w:val="333333"/>
          <w:sz w:val="20"/>
          <w:szCs w:val="20"/>
        </w:rPr>
        <w:t> </w:t>
      </w:r>
      <w:r>
        <w:rPr>
          <w:rFonts w:ascii="Calibri" w:hAnsi="Calibri"/>
          <w:color w:val="333333"/>
          <w:sz w:val="20"/>
          <w:szCs w:val="20"/>
        </w:rPr>
        <w:t>we computed the exact values</w:t>
      </w:r>
    </w:p>
    <w:p w:rsidR="00AD77BB" w:rsidRDefault="00B45BA0">
      <w:pPr>
        <w:pStyle w:val="para"/>
        <w:shd w:val="clear" w:color="auto" w:fill="E3EFF7"/>
        <w:spacing w:before="0" w:beforeAutospacing="0" w:after="0" w:afterAutospacing="0" w:line="360" w:lineRule="auto"/>
        <w:ind w:left="300" w:right="375"/>
        <w:textAlignment w:val="baseline"/>
        <w:rPr>
          <w:rFonts w:ascii="Calibri" w:hAnsi="Calibri"/>
          <w:color w:val="333333"/>
          <w:sz w:val="20"/>
          <w:szCs w:val="20"/>
        </w:rPr>
      </w:pPr>
      <w:r>
        <w:rPr>
          <w:rFonts w:ascii="Calibri" w:hAnsi="Calibri"/>
          <w:noProof/>
          <w:color w:val="333333"/>
          <w:sz w:val="20"/>
          <w:szCs w:val="20"/>
        </w:rPr>
        <w:drawing>
          <wp:inline distT="0" distB="0" distL="0" distR="0" wp14:anchorId="5662FD98" wp14:editId="2EA7A6AF">
            <wp:extent cx="5000625" cy="4972050"/>
            <wp:effectExtent l="0" t="0" r="9525" b="0"/>
            <wp:docPr id="418"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000625" cy="4972050"/>
                    </a:xfrm>
                    <a:prstGeom prst="rect">
                      <a:avLst/>
                    </a:prstGeom>
                    <a:noFill/>
                    <a:ln>
                      <a:noFill/>
                    </a:ln>
                  </pic:spPr>
                </pic:pic>
              </a:graphicData>
            </a:graphic>
          </wp:inline>
        </w:drawing>
      </w:r>
    </w:p>
    <w:p w:rsidR="00AD77BB" w:rsidRDefault="00AD77BB">
      <w:pPr>
        <w:shd w:val="clear" w:color="auto" w:fill="FFFFFF"/>
        <w:spacing w:after="0" w:line="439" w:lineRule="atLeast"/>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coefficient of determination </w:t>
      </w:r>
      <w:r>
        <w:rPr>
          <w:rFonts w:ascii="Georgia" w:eastAsia="Times New Roman" w:hAnsi="Georgia" w:cs="Times New Roman"/>
          <w:i/>
          <w:iCs/>
          <w:color w:val="333333"/>
          <w:sz w:val="20"/>
          <w:szCs w:val="20"/>
        </w:rPr>
        <w:t>r</w:t>
      </w:r>
      <w:r>
        <w:rPr>
          <w:rFonts w:ascii="Georgia" w:eastAsia="Times New Roman" w:hAnsi="Georgia" w:cs="Times New Roman"/>
          <w:color w:val="333333"/>
          <w:sz w:val="15"/>
          <w:szCs w:val="15"/>
          <w:vertAlign w:val="superscript"/>
        </w:rPr>
        <w:t>2</w:t>
      </w:r>
      <w:r>
        <w:rPr>
          <w:rFonts w:ascii="Georgia" w:eastAsia="Times New Roman" w:hAnsi="Georgia" w:cs="Times New Roman"/>
          <w:color w:val="333333"/>
          <w:sz w:val="21"/>
          <w:szCs w:val="21"/>
        </w:rPr>
        <w:t> can always be computed by squaring the correlation coefficient </w:t>
      </w:r>
      <w:r>
        <w:rPr>
          <w:rFonts w:ascii="Georgia" w:eastAsia="Times New Roman" w:hAnsi="Georgia" w:cs="Times New Roman"/>
          <w:i/>
          <w:iCs/>
          <w:color w:val="333333"/>
          <w:sz w:val="20"/>
          <w:szCs w:val="20"/>
        </w:rPr>
        <w:t>r</w:t>
      </w:r>
      <w:r>
        <w:rPr>
          <w:rFonts w:ascii="Georgia" w:eastAsia="Times New Roman" w:hAnsi="Georgia" w:cs="Times New Roman"/>
          <w:color w:val="333333"/>
          <w:sz w:val="21"/>
          <w:szCs w:val="21"/>
        </w:rPr>
        <w:t> if it is known. Any one of the defining formulas can also be used. Typically one would make the choice based on which quantities have already been computed. What should be avoided is trying to compute </w:t>
      </w:r>
      <w:r>
        <w:rPr>
          <w:rFonts w:ascii="Georgia" w:eastAsia="Times New Roman" w:hAnsi="Georgia" w:cs="Times New Roman"/>
          <w:i/>
          <w:iCs/>
          <w:color w:val="333333"/>
          <w:sz w:val="20"/>
          <w:szCs w:val="20"/>
        </w:rPr>
        <w:t>r</w:t>
      </w:r>
      <w:r>
        <w:rPr>
          <w:rFonts w:ascii="Georgia" w:eastAsia="Times New Roman" w:hAnsi="Georgia" w:cs="Times New Roman"/>
          <w:color w:val="333333"/>
          <w:sz w:val="21"/>
          <w:szCs w:val="21"/>
        </w:rPr>
        <w:t>by taking the square root of </w:t>
      </w:r>
      <w:r>
        <w:rPr>
          <w:rFonts w:ascii="Georgia" w:eastAsia="Times New Roman" w:hAnsi="Georgia" w:cs="Times New Roman"/>
          <w:i/>
          <w:iCs/>
          <w:color w:val="333333"/>
          <w:sz w:val="20"/>
          <w:szCs w:val="20"/>
        </w:rPr>
        <w:t>r</w:t>
      </w:r>
      <w:r>
        <w:rPr>
          <w:rFonts w:ascii="Georgia" w:eastAsia="Times New Roman" w:hAnsi="Georgia" w:cs="Times New Roman"/>
          <w:color w:val="333333"/>
          <w:sz w:val="15"/>
          <w:szCs w:val="15"/>
          <w:vertAlign w:val="superscript"/>
        </w:rPr>
        <w:t>2</w:t>
      </w:r>
      <w:r>
        <w:rPr>
          <w:rFonts w:ascii="Georgia" w:eastAsia="Times New Roman" w:hAnsi="Georgia" w:cs="Times New Roman"/>
          <w:color w:val="333333"/>
          <w:sz w:val="21"/>
          <w:szCs w:val="21"/>
        </w:rPr>
        <w:t>, if it is already known, since it is easy to make a sign error this way. To see what can go wrong, suppose </w:t>
      </w:r>
      <w:r>
        <w:rPr>
          <w:rFonts w:ascii="MathJax_Math" w:eastAsia="Times New Roman" w:hAnsi="MathJax_Math" w:cs="Times New Roman"/>
          <w:i/>
          <w:iCs/>
          <w:color w:val="333333"/>
          <w:sz w:val="20"/>
          <w:szCs w:val="20"/>
        </w:rPr>
        <w:t>r</w:t>
      </w:r>
      <w:r>
        <w:rPr>
          <w:rFonts w:ascii="MathJax_Main" w:eastAsia="Times New Roman" w:hAnsi="MathJax_Main" w:cs="Times New Roman"/>
          <w:color w:val="333333"/>
          <w:sz w:val="15"/>
          <w:szCs w:val="15"/>
        </w:rPr>
        <w:t>2</w:t>
      </w:r>
      <w:r>
        <w:rPr>
          <w:rFonts w:ascii="MathJax_Main" w:eastAsia="Times New Roman" w:hAnsi="MathJax_Main" w:cs="Times New Roman"/>
          <w:color w:val="333333"/>
          <w:sz w:val="20"/>
          <w:szCs w:val="20"/>
        </w:rPr>
        <w:t>=0.64.</w:t>
      </w:r>
      <w:r>
        <w:rPr>
          <w:rFonts w:ascii="Georgia" w:eastAsia="Times New Roman" w:hAnsi="Georgia" w:cs="Times New Roman"/>
          <w:color w:val="333333"/>
          <w:sz w:val="21"/>
          <w:szCs w:val="21"/>
        </w:rPr>
        <w:t> Taking the square root of a positive number with any calculating device will always return a positive result. The square root of 0.64 is 0.8. However, the actual value of </w:t>
      </w:r>
      <w:r>
        <w:rPr>
          <w:rFonts w:ascii="Georgia" w:eastAsia="Times New Roman" w:hAnsi="Georgia" w:cs="Times New Roman"/>
          <w:i/>
          <w:iCs/>
          <w:color w:val="333333"/>
          <w:sz w:val="20"/>
          <w:szCs w:val="20"/>
        </w:rPr>
        <w:t>r</w:t>
      </w:r>
      <w:r>
        <w:rPr>
          <w:rFonts w:ascii="Georgia" w:eastAsia="Times New Roman" w:hAnsi="Georgia" w:cs="Times New Roman"/>
          <w:color w:val="333333"/>
          <w:sz w:val="21"/>
          <w:szCs w:val="21"/>
        </w:rPr>
        <w:t> might be the negative number −0.8.</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39892F"/>
        <w:spacing w:after="150" w:line="360" w:lineRule="auto"/>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lastRenderedPageBreak/>
        <w:t>KEY TAKEAWAYS</w:t>
      </w:r>
    </w:p>
    <w:p w:rsidR="00AD77BB" w:rsidRDefault="00B45BA0">
      <w:pPr>
        <w:numPr>
          <w:ilvl w:val="0"/>
          <w:numId w:val="287"/>
        </w:numPr>
        <w:shd w:val="clear" w:color="auto" w:fill="ECF9EA"/>
        <w:spacing w:after="0"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coefficient of determination </w:t>
      </w:r>
      <w:r>
        <w:rPr>
          <w:rFonts w:ascii="Calibri" w:eastAsia="Times New Roman" w:hAnsi="Calibri" w:cs="Times New Roman"/>
          <w:i/>
          <w:iCs/>
          <w:color w:val="333333"/>
          <w:sz w:val="20"/>
          <w:szCs w:val="20"/>
        </w:rPr>
        <w:t>r</w:t>
      </w:r>
      <w:r>
        <w:rPr>
          <w:rFonts w:ascii="Calibri" w:eastAsia="Times New Roman" w:hAnsi="Calibri" w:cs="Times New Roman"/>
          <w:color w:val="333333"/>
          <w:sz w:val="15"/>
          <w:szCs w:val="15"/>
          <w:vertAlign w:val="superscript"/>
        </w:rPr>
        <w:t>2</w:t>
      </w:r>
      <w:r>
        <w:rPr>
          <w:rFonts w:ascii="Calibri" w:eastAsia="Times New Roman" w:hAnsi="Calibri" w:cs="Times New Roman"/>
          <w:color w:val="333333"/>
          <w:sz w:val="20"/>
          <w:szCs w:val="20"/>
        </w:rPr>
        <w:t> estimates the proportion of the variability in the variable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that is explained by the linear relationship between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and the variable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w:t>
      </w:r>
    </w:p>
    <w:p w:rsidR="00AD77BB" w:rsidRDefault="00B45BA0">
      <w:pPr>
        <w:numPr>
          <w:ilvl w:val="0"/>
          <w:numId w:val="287"/>
        </w:numPr>
        <w:shd w:val="clear" w:color="auto" w:fill="ECF9EA"/>
        <w:spacing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There are several formulas for computing </w:t>
      </w:r>
      <w:r>
        <w:rPr>
          <w:rFonts w:ascii="Calibri" w:eastAsia="Times New Roman" w:hAnsi="Calibri" w:cs="Times New Roman"/>
          <w:i/>
          <w:iCs/>
          <w:color w:val="333333"/>
          <w:sz w:val="20"/>
          <w:szCs w:val="20"/>
        </w:rPr>
        <w:t>r</w:t>
      </w:r>
      <w:r>
        <w:rPr>
          <w:rFonts w:ascii="Calibri" w:eastAsia="Times New Roman" w:hAnsi="Calibri" w:cs="Times New Roman"/>
          <w:color w:val="333333"/>
          <w:sz w:val="15"/>
          <w:szCs w:val="15"/>
          <w:vertAlign w:val="superscript"/>
        </w:rPr>
        <w:t>2</w:t>
      </w:r>
      <w:r>
        <w:rPr>
          <w:rFonts w:ascii="Calibri" w:eastAsia="Times New Roman" w:hAnsi="Calibri" w:cs="Times New Roman"/>
          <w:color w:val="333333"/>
          <w:sz w:val="20"/>
          <w:szCs w:val="20"/>
        </w:rPr>
        <w:t>. The choice of which one to use can be based on which quantities have already been computed so far.</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EXERCISES</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BASIC</w:t>
      </w:r>
    </w:p>
    <w:p w:rsidR="00AD77BB" w:rsidRDefault="00B45BA0">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For the Basic and Application exercises in this section use the computations that were done for the exercises with the same number in</w:t>
      </w:r>
      <w:r>
        <w:rPr>
          <w:rFonts w:ascii="Calibri" w:hAnsi="Calibri"/>
          <w:color w:val="2689C6"/>
          <w:sz w:val="21"/>
          <w:szCs w:val="21"/>
        </w:rPr>
        <w:t>Section 10.2 "The Linear Correlation Coefficient"</w:t>
      </w:r>
      <w:r>
        <w:rPr>
          <w:rFonts w:ascii="Calibri" w:hAnsi="Calibri"/>
          <w:color w:val="333333"/>
          <w:sz w:val="21"/>
          <w:szCs w:val="21"/>
        </w:rPr>
        <w:t>,</w:t>
      </w:r>
      <w:r>
        <w:rPr>
          <w:rStyle w:val="apple-converted-space"/>
          <w:rFonts w:ascii="Calibri" w:eastAsiaTheme="majorEastAsia" w:hAnsi="Calibri"/>
          <w:color w:val="333333"/>
          <w:sz w:val="21"/>
          <w:szCs w:val="21"/>
        </w:rPr>
        <w:t> </w:t>
      </w:r>
      <w:r>
        <w:rPr>
          <w:rFonts w:ascii="Calibri" w:hAnsi="Calibri"/>
          <w:color w:val="2689C6"/>
          <w:sz w:val="21"/>
          <w:szCs w:val="21"/>
        </w:rPr>
        <w:t>Section 10.4 "The Least Squares Regression Line"</w:t>
      </w:r>
      <w:r>
        <w:rPr>
          <w:rFonts w:ascii="Calibri" w:hAnsi="Calibri"/>
          <w:color w:val="333333"/>
          <w:sz w:val="21"/>
          <w:szCs w:val="21"/>
        </w:rPr>
        <w:t>, and</w:t>
      </w:r>
      <w:r>
        <w:rPr>
          <w:rStyle w:val="apple-converted-space"/>
          <w:rFonts w:ascii="Calibri" w:eastAsiaTheme="majorEastAsia" w:hAnsi="Calibri"/>
          <w:color w:val="333333"/>
          <w:sz w:val="21"/>
          <w:szCs w:val="21"/>
        </w:rPr>
        <w:t> </w:t>
      </w:r>
      <w:r>
        <w:rPr>
          <w:rFonts w:ascii="Calibri" w:hAnsi="Calibri"/>
          <w:color w:val="2689C6"/>
          <w:sz w:val="21"/>
          <w:szCs w:val="21"/>
        </w:rPr>
        <w:t>Section 10.5 "Statistical Inferences About "</w:t>
      </w:r>
      <w:r>
        <w:rPr>
          <w:rFonts w:ascii="Calibri" w:hAnsi="Calibri"/>
          <w:color w:val="333333"/>
          <w:sz w:val="21"/>
          <w:szCs w:val="21"/>
        </w:rPr>
        <w:t>.</w:t>
      </w:r>
    </w:p>
    <w:p w:rsidR="00AD77BB" w:rsidRDefault="00B45BA0">
      <w:pPr>
        <w:pStyle w:val="para"/>
        <w:numPr>
          <w:ilvl w:val="0"/>
          <w:numId w:val="28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1 of</w:t>
      </w:r>
      <w:r>
        <w:rPr>
          <w:rStyle w:val="apple-converted-space"/>
          <w:rFonts w:ascii="Calibri" w:eastAsiaTheme="majorEastAsia" w:hAnsi="Calibri"/>
          <w:color w:val="333333"/>
          <w:sz w:val="20"/>
          <w:szCs w:val="20"/>
        </w:rPr>
        <w:t> </w:t>
      </w:r>
      <w:r>
        <w:rPr>
          <w:rFonts w:ascii="Calibri" w:hAnsi="Calibri"/>
          <w:color w:val="2689C6"/>
          <w:sz w:val="20"/>
          <w:szCs w:val="20"/>
        </w:rPr>
        <w:t>Section 10.2 "The Linear Correlation Coefficient"</w:t>
      </w:r>
      <w:r>
        <w:rPr>
          <w:rStyle w:val="apple-converted-space"/>
          <w:rFonts w:ascii="Calibri" w:eastAsiaTheme="majorEastAsia" w:hAnsi="Calibri"/>
          <w:color w:val="333333"/>
          <w:sz w:val="20"/>
          <w:szCs w:val="20"/>
        </w:rPr>
        <w:t> </w:t>
      </w:r>
      <w:r>
        <w:rPr>
          <w:rFonts w:ascii="Calibri" w:hAnsi="Calibri"/>
          <w:color w:val="333333"/>
          <w:sz w:val="20"/>
          <w:szCs w:val="20"/>
        </w:rPr>
        <w:t>find the coefficient of determination using the formula</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rPr>
        <w:t>r</w:t>
      </w:r>
      <w:r>
        <w:rPr>
          <w:rStyle w:val="mn"/>
          <w:rFonts w:ascii="MathJax_Main" w:hAnsi="MathJax_Main"/>
          <w:color w:val="333333"/>
          <w:sz w:val="12"/>
          <w:szCs w:val="12"/>
        </w:rPr>
        <w:t>2</w:t>
      </w:r>
      <w:r>
        <w:rPr>
          <w:rStyle w:val="mo"/>
          <w:rFonts w:ascii="MathJax_Main" w:hAnsi="MathJax_Main"/>
          <w:color w:val="333333"/>
          <w:sz w:val="17"/>
          <w:szCs w:val="17"/>
        </w:rPr>
        <w:t>=</w:t>
      </w:r>
      <w:r>
        <w:rPr>
          <w:rStyle w:val="mi"/>
          <w:rFonts w:ascii="MathJax_Math" w:hAnsi="MathJax_Math"/>
          <w:i/>
          <w:iCs/>
          <w:color w:val="333333"/>
          <w:sz w:val="13"/>
          <w:szCs w:val="13"/>
        </w:rPr>
        <w:t>β</w:t>
      </w:r>
      <w:r>
        <w:rPr>
          <w:rStyle w:val="mo"/>
          <w:rFonts w:ascii="MathJax_Main" w:hAnsi="MathJax_Main"/>
          <w:color w:val="333333"/>
          <w:sz w:val="17"/>
          <w:szCs w:val="17"/>
        </w:rPr>
        <w:t>ˆ</w:t>
      </w:r>
      <w:r>
        <w:rPr>
          <w:rStyle w:val="mn"/>
          <w:rFonts w:ascii="MathJax_Main" w:hAnsi="MathJax_Main"/>
          <w:color w:val="333333"/>
          <w:sz w:val="12"/>
          <w:szCs w:val="12"/>
        </w:rPr>
        <w:t>1</w:t>
      </w:r>
      <w:r>
        <w:rPr>
          <w:rStyle w:val="mi"/>
          <w:rFonts w:ascii="MathJax_Math" w:hAnsi="MathJax_Math"/>
          <w:i/>
          <w:iCs/>
          <w:color w:val="333333"/>
          <w:sz w:val="17"/>
          <w:szCs w:val="17"/>
        </w:rPr>
        <w:t>SS</w:t>
      </w:r>
      <w:r>
        <w:rPr>
          <w:rStyle w:val="mi"/>
          <w:rFonts w:ascii="MathJax_Math" w:hAnsi="MathJax_Math"/>
          <w:i/>
          <w:iCs/>
          <w:color w:val="333333"/>
          <w:sz w:val="12"/>
          <w:szCs w:val="12"/>
        </w:rPr>
        <w:t>xy</w:t>
      </w:r>
      <w:r>
        <w:rPr>
          <w:rStyle w:val="mo"/>
          <w:rFonts w:ascii="MathJax_Size2" w:hAnsi="MathJax_Size2"/>
          <w:color w:val="333333"/>
          <w:sz w:val="17"/>
          <w:szCs w:val="17"/>
        </w:rPr>
        <w:t>/</w:t>
      </w:r>
      <w:r>
        <w:rPr>
          <w:rStyle w:val="mi"/>
          <w:rFonts w:ascii="MathJax_Math" w:hAnsi="MathJax_Math"/>
          <w:i/>
          <w:iCs/>
          <w:color w:val="333333"/>
          <w:sz w:val="17"/>
          <w:szCs w:val="17"/>
        </w:rPr>
        <w:t>SS</w:t>
      </w:r>
      <w:r>
        <w:rPr>
          <w:rStyle w:val="mi"/>
          <w:rFonts w:ascii="MathJax_Math" w:hAnsi="MathJax_Math"/>
          <w:i/>
          <w:iCs/>
          <w:color w:val="333333"/>
          <w:sz w:val="12"/>
          <w:szCs w:val="12"/>
        </w:rPr>
        <w:t>yy</w:t>
      </w:r>
      <w:r>
        <w:rPr>
          <w:rStyle w:val="mo"/>
          <w:rFonts w:ascii="MathJax_Main" w:hAnsi="MathJax_Main"/>
          <w:color w:val="333333"/>
          <w:sz w:val="17"/>
          <w:szCs w:val="17"/>
        </w:rPr>
        <w:t>.</w:t>
      </w:r>
      <w:r>
        <w:rPr>
          <w:rStyle w:val="apple-converted-space"/>
          <w:rFonts w:ascii="Calibri" w:eastAsiaTheme="majorEastAsia" w:hAnsi="Calibri"/>
          <w:color w:val="333333"/>
          <w:sz w:val="20"/>
          <w:szCs w:val="20"/>
        </w:rPr>
        <w:t> </w:t>
      </w:r>
      <w:r>
        <w:rPr>
          <w:rFonts w:ascii="Calibri" w:hAnsi="Calibri"/>
          <w:color w:val="333333"/>
          <w:sz w:val="20"/>
          <w:szCs w:val="20"/>
        </w:rPr>
        <w:t>Confirm your answer by squaring</w:t>
      </w:r>
      <w:r>
        <w:rPr>
          <w:rStyle w:val="apple-converted-space"/>
          <w:rFonts w:ascii="Calibri" w:eastAsiaTheme="majorEastAsia" w:hAnsi="Calibri"/>
          <w:color w:val="333333"/>
          <w:sz w:val="20"/>
          <w:szCs w:val="20"/>
        </w:rPr>
        <w:t> </w:t>
      </w:r>
      <w:r>
        <w:rPr>
          <w:rStyle w:val="Emphasis"/>
          <w:rFonts w:ascii="Calibri" w:hAnsi="Calibri"/>
          <w:color w:val="333333"/>
          <w:sz w:val="20"/>
          <w:szCs w:val="20"/>
        </w:rPr>
        <w:t>r</w:t>
      </w:r>
      <w:r>
        <w:rPr>
          <w:rStyle w:val="apple-converted-space"/>
          <w:rFonts w:ascii="Calibri" w:eastAsiaTheme="majorEastAsia" w:hAnsi="Calibri"/>
          <w:color w:val="333333"/>
          <w:sz w:val="20"/>
          <w:szCs w:val="20"/>
        </w:rPr>
        <w:t> </w:t>
      </w:r>
      <w:r>
        <w:rPr>
          <w:rFonts w:ascii="Calibri" w:hAnsi="Calibri"/>
          <w:color w:val="333333"/>
          <w:sz w:val="20"/>
          <w:szCs w:val="20"/>
        </w:rPr>
        <w:t>as computed in that exercise.</w:t>
      </w:r>
    </w:p>
    <w:p w:rsidR="00AD77BB" w:rsidRDefault="00B45BA0">
      <w:pPr>
        <w:pStyle w:val="para"/>
        <w:numPr>
          <w:ilvl w:val="0"/>
          <w:numId w:val="28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2 of</w:t>
      </w:r>
      <w:r>
        <w:rPr>
          <w:rStyle w:val="apple-converted-space"/>
          <w:rFonts w:ascii="Calibri" w:eastAsiaTheme="majorEastAsia" w:hAnsi="Calibri"/>
          <w:color w:val="333333"/>
          <w:sz w:val="20"/>
          <w:szCs w:val="20"/>
        </w:rPr>
        <w:t> </w:t>
      </w:r>
      <w:r>
        <w:rPr>
          <w:rFonts w:ascii="Calibri" w:hAnsi="Calibri"/>
          <w:color w:val="2689C6"/>
          <w:sz w:val="20"/>
          <w:szCs w:val="20"/>
        </w:rPr>
        <w:t>Section 10.2 "The Linear Correlation Coefficient"</w:t>
      </w:r>
      <w:r>
        <w:rPr>
          <w:rStyle w:val="apple-converted-space"/>
          <w:rFonts w:ascii="Calibri" w:eastAsiaTheme="majorEastAsia" w:hAnsi="Calibri"/>
          <w:color w:val="333333"/>
          <w:sz w:val="20"/>
          <w:szCs w:val="20"/>
        </w:rPr>
        <w:t> </w:t>
      </w:r>
      <w:r>
        <w:rPr>
          <w:rFonts w:ascii="Calibri" w:hAnsi="Calibri"/>
          <w:color w:val="333333"/>
          <w:sz w:val="20"/>
          <w:szCs w:val="20"/>
        </w:rPr>
        <w:t>find the coefficient of determination using the formula</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rPr>
        <w:t>r</w:t>
      </w:r>
      <w:r>
        <w:rPr>
          <w:rStyle w:val="mn"/>
          <w:rFonts w:ascii="MathJax_Main" w:hAnsi="MathJax_Main"/>
          <w:color w:val="333333"/>
          <w:sz w:val="12"/>
          <w:szCs w:val="12"/>
        </w:rPr>
        <w:t>2</w:t>
      </w:r>
      <w:r>
        <w:rPr>
          <w:rStyle w:val="mo"/>
          <w:rFonts w:ascii="MathJax_Main" w:hAnsi="MathJax_Main"/>
          <w:color w:val="333333"/>
          <w:sz w:val="17"/>
          <w:szCs w:val="17"/>
        </w:rPr>
        <w:t>=</w:t>
      </w:r>
      <w:r>
        <w:rPr>
          <w:rStyle w:val="mi"/>
          <w:rFonts w:ascii="MathJax_Math" w:hAnsi="MathJax_Math"/>
          <w:i/>
          <w:iCs/>
          <w:color w:val="333333"/>
          <w:sz w:val="13"/>
          <w:szCs w:val="13"/>
        </w:rPr>
        <w:t>β</w:t>
      </w:r>
      <w:r>
        <w:rPr>
          <w:rStyle w:val="mo"/>
          <w:rFonts w:ascii="MathJax_Main" w:hAnsi="MathJax_Main"/>
          <w:color w:val="333333"/>
          <w:sz w:val="17"/>
          <w:szCs w:val="17"/>
        </w:rPr>
        <w:t>ˆ</w:t>
      </w:r>
      <w:r>
        <w:rPr>
          <w:rStyle w:val="mn"/>
          <w:rFonts w:ascii="MathJax_Main" w:hAnsi="MathJax_Main"/>
          <w:color w:val="333333"/>
          <w:sz w:val="12"/>
          <w:szCs w:val="12"/>
        </w:rPr>
        <w:t>1</w:t>
      </w:r>
      <w:r>
        <w:rPr>
          <w:rStyle w:val="mi"/>
          <w:rFonts w:ascii="MathJax_Math" w:hAnsi="MathJax_Math"/>
          <w:i/>
          <w:iCs/>
          <w:color w:val="333333"/>
          <w:sz w:val="17"/>
          <w:szCs w:val="17"/>
        </w:rPr>
        <w:t>SS</w:t>
      </w:r>
      <w:r>
        <w:rPr>
          <w:rStyle w:val="mi"/>
          <w:rFonts w:ascii="MathJax_Math" w:hAnsi="MathJax_Math"/>
          <w:i/>
          <w:iCs/>
          <w:color w:val="333333"/>
          <w:sz w:val="12"/>
          <w:szCs w:val="12"/>
        </w:rPr>
        <w:t>xy</w:t>
      </w:r>
      <w:r>
        <w:rPr>
          <w:rStyle w:val="mo"/>
          <w:rFonts w:ascii="MathJax_Size2" w:hAnsi="MathJax_Size2"/>
          <w:color w:val="333333"/>
          <w:sz w:val="17"/>
          <w:szCs w:val="17"/>
        </w:rPr>
        <w:t>/</w:t>
      </w:r>
      <w:r>
        <w:rPr>
          <w:rStyle w:val="mi"/>
          <w:rFonts w:ascii="MathJax_Math" w:hAnsi="MathJax_Math"/>
          <w:i/>
          <w:iCs/>
          <w:color w:val="333333"/>
          <w:sz w:val="17"/>
          <w:szCs w:val="17"/>
        </w:rPr>
        <w:t>SS</w:t>
      </w:r>
      <w:r>
        <w:rPr>
          <w:rStyle w:val="mi"/>
          <w:rFonts w:ascii="MathJax_Math" w:hAnsi="MathJax_Math"/>
          <w:i/>
          <w:iCs/>
          <w:color w:val="333333"/>
          <w:sz w:val="12"/>
          <w:szCs w:val="12"/>
        </w:rPr>
        <w:t>yy</w:t>
      </w:r>
      <w:r>
        <w:rPr>
          <w:rStyle w:val="mo"/>
          <w:rFonts w:ascii="MathJax_Main" w:hAnsi="MathJax_Main"/>
          <w:color w:val="333333"/>
          <w:sz w:val="17"/>
          <w:szCs w:val="17"/>
        </w:rPr>
        <w:t>.</w:t>
      </w:r>
      <w:r>
        <w:rPr>
          <w:rStyle w:val="apple-converted-space"/>
          <w:rFonts w:ascii="Calibri" w:eastAsiaTheme="majorEastAsia" w:hAnsi="Calibri"/>
          <w:color w:val="333333"/>
          <w:sz w:val="20"/>
          <w:szCs w:val="20"/>
        </w:rPr>
        <w:t> </w:t>
      </w:r>
      <w:r>
        <w:rPr>
          <w:rFonts w:ascii="Calibri" w:hAnsi="Calibri"/>
          <w:color w:val="333333"/>
          <w:sz w:val="20"/>
          <w:szCs w:val="20"/>
        </w:rPr>
        <w:t>Confirm your answer by squaring</w:t>
      </w:r>
      <w:r>
        <w:rPr>
          <w:rStyle w:val="apple-converted-space"/>
          <w:rFonts w:ascii="Calibri" w:eastAsiaTheme="majorEastAsia" w:hAnsi="Calibri"/>
          <w:color w:val="333333"/>
          <w:sz w:val="20"/>
          <w:szCs w:val="20"/>
        </w:rPr>
        <w:t> </w:t>
      </w:r>
      <w:r>
        <w:rPr>
          <w:rStyle w:val="Emphasis"/>
          <w:rFonts w:ascii="Calibri" w:hAnsi="Calibri"/>
          <w:color w:val="333333"/>
          <w:sz w:val="20"/>
          <w:szCs w:val="20"/>
        </w:rPr>
        <w:t>r</w:t>
      </w:r>
      <w:r>
        <w:rPr>
          <w:rStyle w:val="apple-converted-space"/>
          <w:rFonts w:ascii="Calibri" w:eastAsiaTheme="majorEastAsia" w:hAnsi="Calibri"/>
          <w:color w:val="333333"/>
          <w:sz w:val="20"/>
          <w:szCs w:val="20"/>
        </w:rPr>
        <w:t> </w:t>
      </w:r>
      <w:r>
        <w:rPr>
          <w:rFonts w:ascii="Calibri" w:hAnsi="Calibri"/>
          <w:color w:val="333333"/>
          <w:sz w:val="20"/>
          <w:szCs w:val="20"/>
        </w:rPr>
        <w:t>as computed in that exercise.</w:t>
      </w:r>
    </w:p>
    <w:p w:rsidR="00AD77BB" w:rsidRDefault="00B45BA0">
      <w:pPr>
        <w:pStyle w:val="para"/>
        <w:numPr>
          <w:ilvl w:val="0"/>
          <w:numId w:val="28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3 of</w:t>
      </w:r>
      <w:r>
        <w:rPr>
          <w:rStyle w:val="apple-converted-space"/>
          <w:rFonts w:ascii="Calibri" w:eastAsiaTheme="majorEastAsia" w:hAnsi="Calibri"/>
          <w:color w:val="333333"/>
          <w:sz w:val="20"/>
          <w:szCs w:val="20"/>
        </w:rPr>
        <w:t> </w:t>
      </w:r>
      <w:r>
        <w:rPr>
          <w:rFonts w:ascii="Calibri" w:hAnsi="Calibri"/>
          <w:color w:val="2689C6"/>
          <w:sz w:val="20"/>
          <w:szCs w:val="20"/>
        </w:rPr>
        <w:t>Section 10.2 "The Linear Correlation Coefficient"</w:t>
      </w:r>
      <w:r>
        <w:rPr>
          <w:rStyle w:val="apple-converted-space"/>
          <w:rFonts w:ascii="Calibri" w:eastAsiaTheme="majorEastAsia" w:hAnsi="Calibri"/>
          <w:color w:val="333333"/>
          <w:sz w:val="20"/>
          <w:szCs w:val="20"/>
        </w:rPr>
        <w:t> </w:t>
      </w:r>
      <w:r>
        <w:rPr>
          <w:rFonts w:ascii="Calibri" w:hAnsi="Calibri"/>
          <w:color w:val="333333"/>
          <w:sz w:val="20"/>
          <w:szCs w:val="20"/>
        </w:rPr>
        <w:t>find the coefficient of determination using the formula</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rPr>
        <w:t>r</w:t>
      </w:r>
      <w:r>
        <w:rPr>
          <w:rStyle w:val="mn"/>
          <w:rFonts w:ascii="MathJax_Main" w:hAnsi="MathJax_Main"/>
          <w:color w:val="333333"/>
          <w:sz w:val="12"/>
          <w:szCs w:val="12"/>
        </w:rPr>
        <w:t>2</w:t>
      </w:r>
      <w:r>
        <w:rPr>
          <w:rStyle w:val="mo"/>
          <w:rFonts w:ascii="MathJax_Main" w:hAnsi="MathJax_Main"/>
          <w:color w:val="333333"/>
          <w:sz w:val="17"/>
          <w:szCs w:val="17"/>
        </w:rPr>
        <w:t>=</w:t>
      </w:r>
      <w:r>
        <w:rPr>
          <w:rStyle w:val="mi"/>
          <w:rFonts w:ascii="MathJax_Math" w:hAnsi="MathJax_Math"/>
          <w:i/>
          <w:iCs/>
          <w:color w:val="333333"/>
          <w:sz w:val="13"/>
          <w:szCs w:val="13"/>
        </w:rPr>
        <w:t>β</w:t>
      </w:r>
      <w:r>
        <w:rPr>
          <w:rStyle w:val="mo"/>
          <w:rFonts w:ascii="MathJax_Main" w:hAnsi="MathJax_Main"/>
          <w:color w:val="333333"/>
          <w:sz w:val="17"/>
          <w:szCs w:val="17"/>
        </w:rPr>
        <w:t>ˆ</w:t>
      </w:r>
      <w:r>
        <w:rPr>
          <w:rStyle w:val="mn"/>
          <w:rFonts w:ascii="MathJax_Main" w:hAnsi="MathJax_Main"/>
          <w:color w:val="333333"/>
          <w:sz w:val="12"/>
          <w:szCs w:val="12"/>
        </w:rPr>
        <w:t>1</w:t>
      </w:r>
      <w:r>
        <w:rPr>
          <w:rStyle w:val="mi"/>
          <w:rFonts w:ascii="MathJax_Math" w:hAnsi="MathJax_Math"/>
          <w:i/>
          <w:iCs/>
          <w:color w:val="333333"/>
          <w:sz w:val="17"/>
          <w:szCs w:val="17"/>
        </w:rPr>
        <w:t>SS</w:t>
      </w:r>
      <w:r>
        <w:rPr>
          <w:rStyle w:val="mi"/>
          <w:rFonts w:ascii="MathJax_Math" w:hAnsi="MathJax_Math"/>
          <w:i/>
          <w:iCs/>
          <w:color w:val="333333"/>
          <w:sz w:val="12"/>
          <w:szCs w:val="12"/>
        </w:rPr>
        <w:t>xy</w:t>
      </w:r>
      <w:r>
        <w:rPr>
          <w:rStyle w:val="mo"/>
          <w:rFonts w:ascii="MathJax_Size2" w:hAnsi="MathJax_Size2"/>
          <w:color w:val="333333"/>
          <w:sz w:val="17"/>
          <w:szCs w:val="17"/>
        </w:rPr>
        <w:t>/</w:t>
      </w:r>
      <w:r>
        <w:rPr>
          <w:rStyle w:val="mi"/>
          <w:rFonts w:ascii="MathJax_Math" w:hAnsi="MathJax_Math"/>
          <w:i/>
          <w:iCs/>
          <w:color w:val="333333"/>
          <w:sz w:val="17"/>
          <w:szCs w:val="17"/>
        </w:rPr>
        <w:t>SS</w:t>
      </w:r>
      <w:r>
        <w:rPr>
          <w:rStyle w:val="mi"/>
          <w:rFonts w:ascii="MathJax_Math" w:hAnsi="MathJax_Math"/>
          <w:i/>
          <w:iCs/>
          <w:color w:val="333333"/>
          <w:sz w:val="12"/>
          <w:szCs w:val="12"/>
        </w:rPr>
        <w:t>yy</w:t>
      </w:r>
      <w:r>
        <w:rPr>
          <w:rStyle w:val="mo"/>
          <w:rFonts w:ascii="MathJax_Main" w:hAnsi="MathJax_Main"/>
          <w:color w:val="333333"/>
          <w:sz w:val="17"/>
          <w:szCs w:val="17"/>
        </w:rPr>
        <w:t>.</w:t>
      </w:r>
      <w:r>
        <w:rPr>
          <w:rStyle w:val="apple-converted-space"/>
          <w:rFonts w:ascii="Calibri" w:eastAsiaTheme="majorEastAsia" w:hAnsi="Calibri"/>
          <w:color w:val="333333"/>
          <w:sz w:val="20"/>
          <w:szCs w:val="20"/>
        </w:rPr>
        <w:t> </w:t>
      </w:r>
      <w:r>
        <w:rPr>
          <w:rFonts w:ascii="Calibri" w:hAnsi="Calibri"/>
          <w:color w:val="333333"/>
          <w:sz w:val="20"/>
          <w:szCs w:val="20"/>
        </w:rPr>
        <w:t>Confirm your answer by squaring</w:t>
      </w:r>
      <w:r>
        <w:rPr>
          <w:rStyle w:val="apple-converted-space"/>
          <w:rFonts w:ascii="Calibri" w:eastAsiaTheme="majorEastAsia" w:hAnsi="Calibri"/>
          <w:color w:val="333333"/>
          <w:sz w:val="20"/>
          <w:szCs w:val="20"/>
        </w:rPr>
        <w:t> </w:t>
      </w:r>
      <w:r>
        <w:rPr>
          <w:rStyle w:val="Emphasis"/>
          <w:rFonts w:ascii="Calibri" w:hAnsi="Calibri"/>
          <w:color w:val="333333"/>
          <w:sz w:val="20"/>
          <w:szCs w:val="20"/>
        </w:rPr>
        <w:t>r</w:t>
      </w:r>
      <w:r>
        <w:rPr>
          <w:rStyle w:val="apple-converted-space"/>
          <w:rFonts w:ascii="Calibri" w:eastAsiaTheme="majorEastAsia" w:hAnsi="Calibri"/>
          <w:color w:val="333333"/>
          <w:sz w:val="20"/>
          <w:szCs w:val="20"/>
        </w:rPr>
        <w:t> </w:t>
      </w:r>
      <w:r>
        <w:rPr>
          <w:rFonts w:ascii="Calibri" w:hAnsi="Calibri"/>
          <w:color w:val="333333"/>
          <w:sz w:val="20"/>
          <w:szCs w:val="20"/>
        </w:rPr>
        <w:t>as computed in that exercise.</w:t>
      </w:r>
    </w:p>
    <w:p w:rsidR="00AD77BB" w:rsidRDefault="00B45BA0">
      <w:pPr>
        <w:pStyle w:val="para"/>
        <w:numPr>
          <w:ilvl w:val="0"/>
          <w:numId w:val="28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4 of</w:t>
      </w:r>
      <w:r>
        <w:rPr>
          <w:rStyle w:val="apple-converted-space"/>
          <w:rFonts w:ascii="Calibri" w:eastAsiaTheme="majorEastAsia" w:hAnsi="Calibri"/>
          <w:color w:val="333333"/>
          <w:sz w:val="20"/>
          <w:szCs w:val="20"/>
        </w:rPr>
        <w:t> </w:t>
      </w:r>
      <w:r>
        <w:rPr>
          <w:rFonts w:ascii="Calibri" w:hAnsi="Calibri"/>
          <w:color w:val="2689C6"/>
          <w:sz w:val="20"/>
          <w:szCs w:val="20"/>
        </w:rPr>
        <w:t>Section 10.2 "The Linear Correlation Coefficient"</w:t>
      </w:r>
      <w:r>
        <w:rPr>
          <w:rStyle w:val="apple-converted-space"/>
          <w:rFonts w:ascii="Calibri" w:eastAsiaTheme="majorEastAsia" w:hAnsi="Calibri"/>
          <w:color w:val="333333"/>
          <w:sz w:val="20"/>
          <w:szCs w:val="20"/>
        </w:rPr>
        <w:t> </w:t>
      </w:r>
      <w:r>
        <w:rPr>
          <w:rFonts w:ascii="Calibri" w:hAnsi="Calibri"/>
          <w:color w:val="333333"/>
          <w:sz w:val="20"/>
          <w:szCs w:val="20"/>
        </w:rPr>
        <w:t>find the coefficient of determination using the formula</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rPr>
        <w:t>r</w:t>
      </w:r>
      <w:r>
        <w:rPr>
          <w:rStyle w:val="mn"/>
          <w:rFonts w:ascii="MathJax_Main" w:hAnsi="MathJax_Main"/>
          <w:color w:val="333333"/>
          <w:sz w:val="12"/>
          <w:szCs w:val="12"/>
        </w:rPr>
        <w:t>2</w:t>
      </w:r>
      <w:r>
        <w:rPr>
          <w:rStyle w:val="mo"/>
          <w:rFonts w:ascii="MathJax_Main" w:hAnsi="MathJax_Main"/>
          <w:color w:val="333333"/>
          <w:sz w:val="17"/>
          <w:szCs w:val="17"/>
        </w:rPr>
        <w:t>=</w:t>
      </w:r>
      <w:r>
        <w:rPr>
          <w:rStyle w:val="mi"/>
          <w:rFonts w:ascii="MathJax_Math" w:hAnsi="MathJax_Math"/>
          <w:i/>
          <w:iCs/>
          <w:color w:val="333333"/>
          <w:sz w:val="13"/>
          <w:szCs w:val="13"/>
        </w:rPr>
        <w:t>β</w:t>
      </w:r>
      <w:r>
        <w:rPr>
          <w:rStyle w:val="mo"/>
          <w:rFonts w:ascii="MathJax_Main" w:hAnsi="MathJax_Main"/>
          <w:color w:val="333333"/>
          <w:sz w:val="17"/>
          <w:szCs w:val="17"/>
        </w:rPr>
        <w:t>ˆ</w:t>
      </w:r>
      <w:r>
        <w:rPr>
          <w:rStyle w:val="mn"/>
          <w:rFonts w:ascii="MathJax_Main" w:hAnsi="MathJax_Main"/>
          <w:color w:val="333333"/>
          <w:sz w:val="12"/>
          <w:szCs w:val="12"/>
        </w:rPr>
        <w:t>1</w:t>
      </w:r>
      <w:r>
        <w:rPr>
          <w:rStyle w:val="mi"/>
          <w:rFonts w:ascii="MathJax_Math" w:hAnsi="MathJax_Math"/>
          <w:i/>
          <w:iCs/>
          <w:color w:val="333333"/>
          <w:sz w:val="17"/>
          <w:szCs w:val="17"/>
        </w:rPr>
        <w:t>SS</w:t>
      </w:r>
      <w:r>
        <w:rPr>
          <w:rStyle w:val="mi"/>
          <w:rFonts w:ascii="MathJax_Math" w:hAnsi="MathJax_Math"/>
          <w:i/>
          <w:iCs/>
          <w:color w:val="333333"/>
          <w:sz w:val="12"/>
          <w:szCs w:val="12"/>
        </w:rPr>
        <w:t>xy</w:t>
      </w:r>
      <w:r>
        <w:rPr>
          <w:rStyle w:val="mo"/>
          <w:rFonts w:ascii="MathJax_Size2" w:hAnsi="MathJax_Size2"/>
          <w:color w:val="333333"/>
          <w:sz w:val="17"/>
          <w:szCs w:val="17"/>
        </w:rPr>
        <w:t>/</w:t>
      </w:r>
      <w:r>
        <w:rPr>
          <w:rStyle w:val="mi"/>
          <w:rFonts w:ascii="MathJax_Math" w:hAnsi="MathJax_Math"/>
          <w:i/>
          <w:iCs/>
          <w:color w:val="333333"/>
          <w:sz w:val="17"/>
          <w:szCs w:val="17"/>
        </w:rPr>
        <w:t>SS</w:t>
      </w:r>
      <w:r>
        <w:rPr>
          <w:rStyle w:val="mi"/>
          <w:rFonts w:ascii="MathJax_Math" w:hAnsi="MathJax_Math"/>
          <w:i/>
          <w:iCs/>
          <w:color w:val="333333"/>
          <w:sz w:val="12"/>
          <w:szCs w:val="12"/>
        </w:rPr>
        <w:t>yy</w:t>
      </w:r>
      <w:r>
        <w:rPr>
          <w:rStyle w:val="mo"/>
          <w:rFonts w:ascii="MathJax_Main" w:hAnsi="MathJax_Main"/>
          <w:color w:val="333333"/>
          <w:sz w:val="17"/>
          <w:szCs w:val="17"/>
        </w:rPr>
        <w:t>.</w:t>
      </w:r>
      <w:r>
        <w:rPr>
          <w:rStyle w:val="apple-converted-space"/>
          <w:rFonts w:ascii="Calibri" w:eastAsiaTheme="majorEastAsia" w:hAnsi="Calibri"/>
          <w:color w:val="333333"/>
          <w:sz w:val="20"/>
          <w:szCs w:val="20"/>
        </w:rPr>
        <w:t> </w:t>
      </w:r>
      <w:r>
        <w:rPr>
          <w:rFonts w:ascii="Calibri" w:hAnsi="Calibri"/>
          <w:color w:val="333333"/>
          <w:sz w:val="20"/>
          <w:szCs w:val="20"/>
        </w:rPr>
        <w:t>Confirm your answer by squaring</w:t>
      </w:r>
      <w:r>
        <w:rPr>
          <w:rStyle w:val="apple-converted-space"/>
          <w:rFonts w:ascii="Calibri" w:eastAsiaTheme="majorEastAsia" w:hAnsi="Calibri"/>
          <w:color w:val="333333"/>
          <w:sz w:val="20"/>
          <w:szCs w:val="20"/>
        </w:rPr>
        <w:t> </w:t>
      </w:r>
      <w:r>
        <w:rPr>
          <w:rStyle w:val="Emphasis"/>
          <w:rFonts w:ascii="Calibri" w:hAnsi="Calibri"/>
          <w:color w:val="333333"/>
          <w:sz w:val="20"/>
          <w:szCs w:val="20"/>
        </w:rPr>
        <w:t>r</w:t>
      </w:r>
      <w:r>
        <w:rPr>
          <w:rStyle w:val="apple-converted-space"/>
          <w:rFonts w:ascii="Calibri" w:eastAsiaTheme="majorEastAsia" w:hAnsi="Calibri"/>
          <w:color w:val="333333"/>
          <w:sz w:val="20"/>
          <w:szCs w:val="20"/>
        </w:rPr>
        <w:t> </w:t>
      </w:r>
      <w:r>
        <w:rPr>
          <w:rFonts w:ascii="Calibri" w:hAnsi="Calibri"/>
          <w:color w:val="333333"/>
          <w:sz w:val="20"/>
          <w:szCs w:val="20"/>
        </w:rPr>
        <w:t>as computed in that exercise.</w:t>
      </w:r>
    </w:p>
    <w:p w:rsidR="00AD77BB" w:rsidRDefault="00B45BA0">
      <w:pPr>
        <w:pStyle w:val="para"/>
        <w:numPr>
          <w:ilvl w:val="0"/>
          <w:numId w:val="28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5 of</w:t>
      </w:r>
      <w:r>
        <w:rPr>
          <w:rStyle w:val="apple-converted-space"/>
          <w:rFonts w:ascii="Calibri" w:eastAsiaTheme="majorEastAsia" w:hAnsi="Calibri"/>
          <w:color w:val="333333"/>
          <w:sz w:val="20"/>
          <w:szCs w:val="20"/>
        </w:rPr>
        <w:t> </w:t>
      </w:r>
      <w:r>
        <w:rPr>
          <w:rFonts w:ascii="Calibri" w:hAnsi="Calibri"/>
          <w:color w:val="2689C6"/>
          <w:sz w:val="20"/>
          <w:szCs w:val="20"/>
        </w:rPr>
        <w:t>Section 10.2 "The Linear Correlation Coefficient"</w:t>
      </w:r>
      <w:r>
        <w:rPr>
          <w:rStyle w:val="apple-converted-space"/>
          <w:rFonts w:ascii="Calibri" w:eastAsiaTheme="majorEastAsia" w:hAnsi="Calibri"/>
          <w:color w:val="333333"/>
          <w:sz w:val="20"/>
          <w:szCs w:val="20"/>
        </w:rPr>
        <w:t> </w:t>
      </w:r>
      <w:r>
        <w:rPr>
          <w:rFonts w:ascii="Calibri" w:hAnsi="Calibri"/>
          <w:color w:val="333333"/>
          <w:sz w:val="20"/>
          <w:szCs w:val="20"/>
        </w:rPr>
        <w:t>find the coefficient of determination using the formula</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rPr>
        <w:t>r</w:t>
      </w:r>
      <w:r>
        <w:rPr>
          <w:rStyle w:val="mn"/>
          <w:rFonts w:ascii="MathJax_Main" w:hAnsi="MathJax_Main"/>
          <w:color w:val="333333"/>
          <w:sz w:val="12"/>
          <w:szCs w:val="12"/>
        </w:rPr>
        <w:t>2</w:t>
      </w:r>
      <w:r>
        <w:rPr>
          <w:rStyle w:val="mo"/>
          <w:rFonts w:ascii="MathJax_Main" w:hAnsi="MathJax_Main"/>
          <w:color w:val="333333"/>
          <w:sz w:val="17"/>
          <w:szCs w:val="17"/>
        </w:rPr>
        <w:t>=</w:t>
      </w:r>
      <w:r>
        <w:rPr>
          <w:rStyle w:val="mi"/>
          <w:rFonts w:ascii="MathJax_Math" w:hAnsi="MathJax_Math"/>
          <w:i/>
          <w:iCs/>
          <w:color w:val="333333"/>
          <w:sz w:val="13"/>
          <w:szCs w:val="13"/>
        </w:rPr>
        <w:t>β</w:t>
      </w:r>
      <w:r>
        <w:rPr>
          <w:rStyle w:val="mo"/>
          <w:rFonts w:ascii="MathJax_Main" w:hAnsi="MathJax_Main"/>
          <w:color w:val="333333"/>
          <w:sz w:val="17"/>
          <w:szCs w:val="17"/>
        </w:rPr>
        <w:t>ˆ</w:t>
      </w:r>
      <w:r>
        <w:rPr>
          <w:rStyle w:val="mn"/>
          <w:rFonts w:ascii="MathJax_Main" w:hAnsi="MathJax_Main"/>
          <w:color w:val="333333"/>
          <w:sz w:val="12"/>
          <w:szCs w:val="12"/>
        </w:rPr>
        <w:t>1</w:t>
      </w:r>
      <w:r>
        <w:rPr>
          <w:rStyle w:val="mi"/>
          <w:rFonts w:ascii="MathJax_Math" w:hAnsi="MathJax_Math"/>
          <w:i/>
          <w:iCs/>
          <w:color w:val="333333"/>
          <w:sz w:val="17"/>
          <w:szCs w:val="17"/>
        </w:rPr>
        <w:t>SS</w:t>
      </w:r>
      <w:r>
        <w:rPr>
          <w:rStyle w:val="mi"/>
          <w:rFonts w:ascii="MathJax_Math" w:hAnsi="MathJax_Math"/>
          <w:i/>
          <w:iCs/>
          <w:color w:val="333333"/>
          <w:sz w:val="12"/>
          <w:szCs w:val="12"/>
        </w:rPr>
        <w:t>xy</w:t>
      </w:r>
      <w:r>
        <w:rPr>
          <w:rStyle w:val="mo"/>
          <w:rFonts w:ascii="MathJax_Size2" w:hAnsi="MathJax_Size2"/>
          <w:color w:val="333333"/>
          <w:sz w:val="17"/>
          <w:szCs w:val="17"/>
        </w:rPr>
        <w:t>/</w:t>
      </w:r>
      <w:r>
        <w:rPr>
          <w:rStyle w:val="mi"/>
          <w:rFonts w:ascii="MathJax_Math" w:hAnsi="MathJax_Math"/>
          <w:i/>
          <w:iCs/>
          <w:color w:val="333333"/>
          <w:sz w:val="17"/>
          <w:szCs w:val="17"/>
        </w:rPr>
        <w:t>SS</w:t>
      </w:r>
      <w:r>
        <w:rPr>
          <w:rStyle w:val="mi"/>
          <w:rFonts w:ascii="MathJax_Math" w:hAnsi="MathJax_Math"/>
          <w:i/>
          <w:iCs/>
          <w:color w:val="333333"/>
          <w:sz w:val="12"/>
          <w:szCs w:val="12"/>
        </w:rPr>
        <w:t>yy</w:t>
      </w:r>
      <w:r>
        <w:rPr>
          <w:rStyle w:val="mo"/>
          <w:rFonts w:ascii="MathJax_Main" w:hAnsi="MathJax_Main"/>
          <w:color w:val="333333"/>
          <w:sz w:val="17"/>
          <w:szCs w:val="17"/>
        </w:rPr>
        <w:t>.</w:t>
      </w:r>
      <w:r>
        <w:rPr>
          <w:rStyle w:val="apple-converted-space"/>
          <w:rFonts w:ascii="Calibri" w:eastAsiaTheme="majorEastAsia" w:hAnsi="Calibri"/>
          <w:color w:val="333333"/>
          <w:sz w:val="20"/>
          <w:szCs w:val="20"/>
        </w:rPr>
        <w:t> </w:t>
      </w:r>
      <w:r>
        <w:rPr>
          <w:rFonts w:ascii="Calibri" w:hAnsi="Calibri"/>
          <w:color w:val="333333"/>
          <w:sz w:val="20"/>
          <w:szCs w:val="20"/>
        </w:rPr>
        <w:t>Confirm your answer by squaring</w:t>
      </w:r>
      <w:r>
        <w:rPr>
          <w:rStyle w:val="apple-converted-space"/>
          <w:rFonts w:ascii="Calibri" w:eastAsiaTheme="majorEastAsia" w:hAnsi="Calibri"/>
          <w:color w:val="333333"/>
          <w:sz w:val="20"/>
          <w:szCs w:val="20"/>
        </w:rPr>
        <w:t> </w:t>
      </w:r>
      <w:r>
        <w:rPr>
          <w:rStyle w:val="Emphasis"/>
          <w:rFonts w:ascii="Calibri" w:hAnsi="Calibri"/>
          <w:color w:val="333333"/>
          <w:sz w:val="20"/>
          <w:szCs w:val="20"/>
        </w:rPr>
        <w:t>r</w:t>
      </w:r>
      <w:r>
        <w:rPr>
          <w:rStyle w:val="apple-converted-space"/>
          <w:rFonts w:ascii="Calibri" w:eastAsiaTheme="majorEastAsia" w:hAnsi="Calibri"/>
          <w:color w:val="333333"/>
          <w:sz w:val="20"/>
          <w:szCs w:val="20"/>
        </w:rPr>
        <w:t> </w:t>
      </w:r>
      <w:r>
        <w:rPr>
          <w:rFonts w:ascii="Calibri" w:hAnsi="Calibri"/>
          <w:color w:val="333333"/>
          <w:sz w:val="20"/>
          <w:szCs w:val="20"/>
        </w:rPr>
        <w:t>as computed in that exercise.</w:t>
      </w:r>
    </w:p>
    <w:p w:rsidR="00AD77BB" w:rsidRDefault="00B45BA0">
      <w:pPr>
        <w:pStyle w:val="para"/>
        <w:numPr>
          <w:ilvl w:val="0"/>
          <w:numId w:val="28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6 of</w:t>
      </w:r>
      <w:r>
        <w:rPr>
          <w:rStyle w:val="apple-converted-space"/>
          <w:rFonts w:ascii="Calibri" w:eastAsiaTheme="majorEastAsia" w:hAnsi="Calibri"/>
          <w:color w:val="333333"/>
          <w:sz w:val="20"/>
          <w:szCs w:val="20"/>
        </w:rPr>
        <w:t> </w:t>
      </w:r>
      <w:r>
        <w:rPr>
          <w:rFonts w:ascii="Calibri" w:hAnsi="Calibri"/>
          <w:color w:val="2689C6"/>
          <w:sz w:val="20"/>
          <w:szCs w:val="20"/>
        </w:rPr>
        <w:t>Section 10.2 "The Linear Correlation Coefficient"</w:t>
      </w:r>
      <w:r>
        <w:rPr>
          <w:rStyle w:val="apple-converted-space"/>
          <w:rFonts w:ascii="Calibri" w:eastAsiaTheme="majorEastAsia" w:hAnsi="Calibri"/>
          <w:color w:val="333333"/>
          <w:sz w:val="20"/>
          <w:szCs w:val="20"/>
        </w:rPr>
        <w:t> </w:t>
      </w:r>
      <w:r>
        <w:rPr>
          <w:rFonts w:ascii="Calibri" w:hAnsi="Calibri"/>
          <w:color w:val="333333"/>
          <w:sz w:val="20"/>
          <w:szCs w:val="20"/>
        </w:rPr>
        <w:t>find the coefficient of determination using the formula</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rPr>
        <w:t>r</w:t>
      </w:r>
      <w:r>
        <w:rPr>
          <w:rStyle w:val="mn"/>
          <w:rFonts w:ascii="MathJax_Main" w:hAnsi="MathJax_Main"/>
          <w:color w:val="333333"/>
          <w:sz w:val="12"/>
          <w:szCs w:val="12"/>
        </w:rPr>
        <w:t>2</w:t>
      </w:r>
      <w:r>
        <w:rPr>
          <w:rStyle w:val="mo"/>
          <w:rFonts w:ascii="MathJax_Main" w:hAnsi="MathJax_Main"/>
          <w:color w:val="333333"/>
          <w:sz w:val="17"/>
          <w:szCs w:val="17"/>
        </w:rPr>
        <w:t>=</w:t>
      </w:r>
      <w:r>
        <w:rPr>
          <w:rStyle w:val="mi"/>
          <w:rFonts w:ascii="MathJax_Math" w:hAnsi="MathJax_Math"/>
          <w:i/>
          <w:iCs/>
          <w:color w:val="333333"/>
          <w:sz w:val="13"/>
          <w:szCs w:val="13"/>
        </w:rPr>
        <w:t>β</w:t>
      </w:r>
      <w:r>
        <w:rPr>
          <w:rStyle w:val="mo"/>
          <w:rFonts w:ascii="MathJax_Main" w:hAnsi="MathJax_Main"/>
          <w:color w:val="333333"/>
          <w:sz w:val="17"/>
          <w:szCs w:val="17"/>
        </w:rPr>
        <w:t>ˆ</w:t>
      </w:r>
      <w:r>
        <w:rPr>
          <w:rStyle w:val="mn"/>
          <w:rFonts w:ascii="MathJax_Main" w:hAnsi="MathJax_Main"/>
          <w:color w:val="333333"/>
          <w:sz w:val="12"/>
          <w:szCs w:val="12"/>
        </w:rPr>
        <w:t>1</w:t>
      </w:r>
      <w:r>
        <w:rPr>
          <w:rStyle w:val="mi"/>
          <w:rFonts w:ascii="MathJax_Math" w:hAnsi="MathJax_Math"/>
          <w:i/>
          <w:iCs/>
          <w:color w:val="333333"/>
          <w:sz w:val="17"/>
          <w:szCs w:val="17"/>
        </w:rPr>
        <w:t>SS</w:t>
      </w:r>
      <w:r>
        <w:rPr>
          <w:rStyle w:val="mi"/>
          <w:rFonts w:ascii="MathJax_Math" w:hAnsi="MathJax_Math"/>
          <w:i/>
          <w:iCs/>
          <w:color w:val="333333"/>
          <w:sz w:val="12"/>
          <w:szCs w:val="12"/>
        </w:rPr>
        <w:t>xy</w:t>
      </w:r>
      <w:r>
        <w:rPr>
          <w:rStyle w:val="mo"/>
          <w:rFonts w:ascii="MathJax_Size2" w:hAnsi="MathJax_Size2"/>
          <w:color w:val="333333"/>
          <w:sz w:val="17"/>
          <w:szCs w:val="17"/>
        </w:rPr>
        <w:t>/</w:t>
      </w:r>
      <w:r>
        <w:rPr>
          <w:rStyle w:val="mi"/>
          <w:rFonts w:ascii="MathJax_Math" w:hAnsi="MathJax_Math"/>
          <w:i/>
          <w:iCs/>
          <w:color w:val="333333"/>
          <w:sz w:val="17"/>
          <w:szCs w:val="17"/>
        </w:rPr>
        <w:t>SS</w:t>
      </w:r>
      <w:r>
        <w:rPr>
          <w:rStyle w:val="mi"/>
          <w:rFonts w:ascii="MathJax_Math" w:hAnsi="MathJax_Math"/>
          <w:i/>
          <w:iCs/>
          <w:color w:val="333333"/>
          <w:sz w:val="12"/>
          <w:szCs w:val="12"/>
        </w:rPr>
        <w:t>yy</w:t>
      </w:r>
      <w:r>
        <w:rPr>
          <w:rStyle w:val="mo"/>
          <w:rFonts w:ascii="MathJax_Main" w:hAnsi="MathJax_Main"/>
          <w:color w:val="333333"/>
          <w:sz w:val="17"/>
          <w:szCs w:val="17"/>
        </w:rPr>
        <w:t>.</w:t>
      </w:r>
      <w:r>
        <w:rPr>
          <w:rStyle w:val="apple-converted-space"/>
          <w:rFonts w:ascii="Calibri" w:eastAsiaTheme="majorEastAsia" w:hAnsi="Calibri"/>
          <w:color w:val="333333"/>
          <w:sz w:val="20"/>
          <w:szCs w:val="20"/>
        </w:rPr>
        <w:t> </w:t>
      </w:r>
      <w:r>
        <w:rPr>
          <w:rFonts w:ascii="Calibri" w:hAnsi="Calibri"/>
          <w:color w:val="333333"/>
          <w:sz w:val="20"/>
          <w:szCs w:val="20"/>
        </w:rPr>
        <w:t>Confirm your answer by squaring</w:t>
      </w:r>
      <w:r>
        <w:rPr>
          <w:rStyle w:val="apple-converted-space"/>
          <w:rFonts w:ascii="Calibri" w:eastAsiaTheme="majorEastAsia" w:hAnsi="Calibri"/>
          <w:color w:val="333333"/>
          <w:sz w:val="20"/>
          <w:szCs w:val="20"/>
        </w:rPr>
        <w:t> </w:t>
      </w:r>
      <w:r>
        <w:rPr>
          <w:rStyle w:val="Emphasis"/>
          <w:rFonts w:ascii="Calibri" w:hAnsi="Calibri"/>
          <w:color w:val="333333"/>
          <w:sz w:val="20"/>
          <w:szCs w:val="20"/>
        </w:rPr>
        <w:t>r</w:t>
      </w:r>
      <w:r>
        <w:rPr>
          <w:rStyle w:val="apple-converted-space"/>
          <w:rFonts w:ascii="Calibri" w:eastAsiaTheme="majorEastAsia" w:hAnsi="Calibri"/>
          <w:color w:val="333333"/>
          <w:sz w:val="20"/>
          <w:szCs w:val="20"/>
        </w:rPr>
        <w:t> </w:t>
      </w:r>
      <w:r>
        <w:rPr>
          <w:rFonts w:ascii="Calibri" w:hAnsi="Calibri"/>
          <w:color w:val="333333"/>
          <w:sz w:val="20"/>
          <w:szCs w:val="20"/>
        </w:rPr>
        <w:t>as computed in that exercise.</w:t>
      </w:r>
    </w:p>
    <w:p w:rsidR="00AD77BB" w:rsidRDefault="00B45BA0">
      <w:pPr>
        <w:pStyle w:val="para"/>
        <w:numPr>
          <w:ilvl w:val="0"/>
          <w:numId w:val="28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7 of</w:t>
      </w:r>
      <w:r>
        <w:rPr>
          <w:rStyle w:val="apple-converted-space"/>
          <w:rFonts w:ascii="Calibri" w:eastAsiaTheme="majorEastAsia" w:hAnsi="Calibri"/>
          <w:color w:val="333333"/>
          <w:sz w:val="20"/>
          <w:szCs w:val="20"/>
        </w:rPr>
        <w:t> </w:t>
      </w:r>
      <w:r>
        <w:rPr>
          <w:rFonts w:ascii="Calibri" w:hAnsi="Calibri"/>
          <w:color w:val="2689C6"/>
          <w:sz w:val="20"/>
          <w:szCs w:val="20"/>
        </w:rPr>
        <w:t>Section 10.2 "The Linear Correlation Coefficient"</w:t>
      </w:r>
      <w:r>
        <w:rPr>
          <w:rStyle w:val="apple-converted-space"/>
          <w:rFonts w:ascii="Calibri" w:eastAsiaTheme="majorEastAsia" w:hAnsi="Calibri"/>
          <w:color w:val="333333"/>
          <w:sz w:val="20"/>
          <w:szCs w:val="20"/>
        </w:rPr>
        <w:t> </w:t>
      </w:r>
      <w:r>
        <w:rPr>
          <w:rFonts w:ascii="Calibri" w:hAnsi="Calibri"/>
          <w:color w:val="333333"/>
          <w:sz w:val="20"/>
          <w:szCs w:val="20"/>
        </w:rPr>
        <w:t>find the coefficient of determination using the formula</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rPr>
        <w:t>r</w:t>
      </w:r>
      <w:r>
        <w:rPr>
          <w:rStyle w:val="mn"/>
          <w:rFonts w:ascii="MathJax_Main" w:hAnsi="MathJax_Main"/>
          <w:color w:val="333333"/>
          <w:sz w:val="12"/>
          <w:szCs w:val="12"/>
        </w:rPr>
        <w:t>2</w:t>
      </w:r>
      <w:r>
        <w:rPr>
          <w:rStyle w:val="mo"/>
          <w:rFonts w:ascii="MathJax_Main" w:hAnsi="MathJax_Main"/>
          <w:color w:val="333333"/>
          <w:sz w:val="17"/>
          <w:szCs w:val="17"/>
        </w:rPr>
        <w:t>=</w:t>
      </w:r>
      <w:r>
        <w:rPr>
          <w:rStyle w:val="mo"/>
          <w:rFonts w:ascii="MathJax_Size1" w:hAnsi="MathJax_Size1"/>
          <w:color w:val="333333"/>
          <w:sz w:val="17"/>
          <w:szCs w:val="17"/>
        </w:rPr>
        <w:t>(</w:t>
      </w:r>
      <w:r>
        <w:rPr>
          <w:rStyle w:val="mi"/>
          <w:rFonts w:ascii="MathJax_Math" w:hAnsi="MathJax_Math"/>
          <w:i/>
          <w:iCs/>
          <w:color w:val="333333"/>
          <w:sz w:val="17"/>
          <w:szCs w:val="17"/>
        </w:rPr>
        <w:t>SS</w:t>
      </w:r>
      <w:r>
        <w:rPr>
          <w:rStyle w:val="mi"/>
          <w:rFonts w:ascii="MathJax_Math" w:hAnsi="MathJax_Math"/>
          <w:i/>
          <w:iCs/>
          <w:color w:val="333333"/>
          <w:sz w:val="12"/>
          <w:szCs w:val="12"/>
        </w:rPr>
        <w:t>yy</w:t>
      </w:r>
      <w:r>
        <w:rPr>
          <w:rStyle w:val="mo"/>
          <w:rFonts w:ascii="MathJax_Main" w:hAnsi="MathJax_Main"/>
          <w:color w:val="333333"/>
          <w:sz w:val="17"/>
          <w:szCs w:val="17"/>
        </w:rPr>
        <w:t>−</w:t>
      </w:r>
      <w:r>
        <w:rPr>
          <w:rStyle w:val="mi"/>
          <w:rFonts w:ascii="MathJax_Math" w:hAnsi="MathJax_Math"/>
          <w:i/>
          <w:iCs/>
          <w:color w:val="333333"/>
          <w:sz w:val="17"/>
          <w:szCs w:val="17"/>
        </w:rPr>
        <w:t>SSE</w:t>
      </w:r>
      <w:r>
        <w:rPr>
          <w:rStyle w:val="mo"/>
          <w:rFonts w:ascii="MathJax_Size1" w:hAnsi="MathJax_Size1"/>
          <w:color w:val="333333"/>
          <w:sz w:val="17"/>
          <w:szCs w:val="17"/>
        </w:rPr>
        <w:t>)/</w:t>
      </w:r>
      <w:r>
        <w:rPr>
          <w:rStyle w:val="mi"/>
          <w:rFonts w:ascii="MathJax_Math" w:hAnsi="MathJax_Math"/>
          <w:i/>
          <w:iCs/>
          <w:color w:val="333333"/>
          <w:sz w:val="17"/>
          <w:szCs w:val="17"/>
        </w:rPr>
        <w:t>SS</w:t>
      </w:r>
      <w:r>
        <w:rPr>
          <w:rStyle w:val="mi"/>
          <w:rFonts w:ascii="MathJax_Math" w:hAnsi="MathJax_Math"/>
          <w:i/>
          <w:iCs/>
          <w:color w:val="333333"/>
          <w:sz w:val="12"/>
          <w:szCs w:val="12"/>
        </w:rPr>
        <w:t>yy</w:t>
      </w:r>
      <w:r>
        <w:rPr>
          <w:rStyle w:val="mo"/>
          <w:rFonts w:ascii="MathJax_Main" w:hAnsi="MathJax_Main"/>
          <w:color w:val="333333"/>
          <w:sz w:val="17"/>
          <w:szCs w:val="17"/>
        </w:rPr>
        <w:t>.</w:t>
      </w:r>
      <w:r>
        <w:rPr>
          <w:rStyle w:val="apple-converted-space"/>
          <w:rFonts w:ascii="Calibri" w:eastAsiaTheme="majorEastAsia" w:hAnsi="Calibri"/>
          <w:color w:val="333333"/>
          <w:sz w:val="20"/>
          <w:szCs w:val="20"/>
        </w:rPr>
        <w:t> </w:t>
      </w:r>
      <w:r>
        <w:rPr>
          <w:rFonts w:ascii="Calibri" w:hAnsi="Calibri"/>
          <w:color w:val="333333"/>
          <w:sz w:val="20"/>
          <w:szCs w:val="20"/>
        </w:rPr>
        <w:t>Confirm your answer by squaring</w:t>
      </w:r>
      <w:r>
        <w:rPr>
          <w:rStyle w:val="apple-converted-space"/>
          <w:rFonts w:ascii="Calibri" w:eastAsiaTheme="majorEastAsia" w:hAnsi="Calibri"/>
          <w:color w:val="333333"/>
          <w:sz w:val="20"/>
          <w:szCs w:val="20"/>
        </w:rPr>
        <w:t> </w:t>
      </w:r>
      <w:r>
        <w:rPr>
          <w:rStyle w:val="Emphasis"/>
          <w:rFonts w:ascii="Calibri" w:hAnsi="Calibri"/>
          <w:color w:val="333333"/>
          <w:sz w:val="20"/>
          <w:szCs w:val="20"/>
        </w:rPr>
        <w:t>r</w:t>
      </w:r>
      <w:r>
        <w:rPr>
          <w:rStyle w:val="apple-converted-space"/>
          <w:rFonts w:ascii="Calibri" w:eastAsiaTheme="majorEastAsia" w:hAnsi="Calibri"/>
          <w:color w:val="333333"/>
          <w:sz w:val="20"/>
          <w:szCs w:val="20"/>
        </w:rPr>
        <w:t> </w:t>
      </w:r>
      <w:r>
        <w:rPr>
          <w:rFonts w:ascii="Calibri" w:hAnsi="Calibri"/>
          <w:color w:val="333333"/>
          <w:sz w:val="20"/>
          <w:szCs w:val="20"/>
        </w:rPr>
        <w:t>as computed in that exercise.</w:t>
      </w:r>
    </w:p>
    <w:p w:rsidR="00AD77BB" w:rsidRDefault="00B45BA0">
      <w:pPr>
        <w:pStyle w:val="para"/>
        <w:numPr>
          <w:ilvl w:val="0"/>
          <w:numId w:val="28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lastRenderedPageBreak/>
        <w:t>For the sample data set of Exercise 8 of</w:t>
      </w:r>
      <w:r>
        <w:rPr>
          <w:rStyle w:val="apple-converted-space"/>
          <w:rFonts w:ascii="Calibri" w:eastAsiaTheme="majorEastAsia" w:hAnsi="Calibri"/>
          <w:color w:val="333333"/>
          <w:sz w:val="20"/>
          <w:szCs w:val="20"/>
        </w:rPr>
        <w:t> </w:t>
      </w:r>
      <w:r>
        <w:rPr>
          <w:rFonts w:ascii="Calibri" w:hAnsi="Calibri"/>
          <w:color w:val="2689C6"/>
          <w:sz w:val="20"/>
          <w:szCs w:val="20"/>
        </w:rPr>
        <w:t>Section 10.2 "The Linear Correlation Coefficient"</w:t>
      </w:r>
      <w:r>
        <w:rPr>
          <w:rStyle w:val="apple-converted-space"/>
          <w:rFonts w:ascii="Calibri" w:eastAsiaTheme="majorEastAsia" w:hAnsi="Calibri"/>
          <w:color w:val="333333"/>
          <w:sz w:val="20"/>
          <w:szCs w:val="20"/>
        </w:rPr>
        <w:t> </w:t>
      </w:r>
      <w:r>
        <w:rPr>
          <w:rFonts w:ascii="Calibri" w:hAnsi="Calibri"/>
          <w:color w:val="333333"/>
          <w:sz w:val="20"/>
          <w:szCs w:val="20"/>
        </w:rPr>
        <w:t>find the coefficient of determination using the formula</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rPr>
        <w:t>r</w:t>
      </w:r>
      <w:r>
        <w:rPr>
          <w:rStyle w:val="mn"/>
          <w:rFonts w:ascii="MathJax_Main" w:hAnsi="MathJax_Main"/>
          <w:color w:val="333333"/>
          <w:sz w:val="12"/>
          <w:szCs w:val="12"/>
        </w:rPr>
        <w:t>2</w:t>
      </w:r>
      <w:r>
        <w:rPr>
          <w:rStyle w:val="mo"/>
          <w:rFonts w:ascii="MathJax_Main" w:hAnsi="MathJax_Main"/>
          <w:color w:val="333333"/>
          <w:sz w:val="17"/>
          <w:szCs w:val="17"/>
        </w:rPr>
        <w:t>=</w:t>
      </w:r>
      <w:r>
        <w:rPr>
          <w:rStyle w:val="mo"/>
          <w:rFonts w:ascii="MathJax_Size1" w:hAnsi="MathJax_Size1"/>
          <w:color w:val="333333"/>
          <w:sz w:val="17"/>
          <w:szCs w:val="17"/>
        </w:rPr>
        <w:t>(</w:t>
      </w:r>
      <w:r>
        <w:rPr>
          <w:rStyle w:val="mi"/>
          <w:rFonts w:ascii="MathJax_Math" w:hAnsi="MathJax_Math"/>
          <w:i/>
          <w:iCs/>
          <w:color w:val="333333"/>
          <w:sz w:val="17"/>
          <w:szCs w:val="17"/>
        </w:rPr>
        <w:t>SS</w:t>
      </w:r>
      <w:r>
        <w:rPr>
          <w:rStyle w:val="mi"/>
          <w:rFonts w:ascii="MathJax_Math" w:hAnsi="MathJax_Math"/>
          <w:i/>
          <w:iCs/>
          <w:color w:val="333333"/>
          <w:sz w:val="12"/>
          <w:szCs w:val="12"/>
        </w:rPr>
        <w:t>yy</w:t>
      </w:r>
      <w:r>
        <w:rPr>
          <w:rStyle w:val="mo"/>
          <w:rFonts w:ascii="MathJax_Main" w:hAnsi="MathJax_Main"/>
          <w:color w:val="333333"/>
          <w:sz w:val="17"/>
          <w:szCs w:val="17"/>
        </w:rPr>
        <w:t>−</w:t>
      </w:r>
      <w:r>
        <w:rPr>
          <w:rStyle w:val="mi"/>
          <w:rFonts w:ascii="MathJax_Math" w:hAnsi="MathJax_Math"/>
          <w:i/>
          <w:iCs/>
          <w:color w:val="333333"/>
          <w:sz w:val="17"/>
          <w:szCs w:val="17"/>
        </w:rPr>
        <w:t>SSE</w:t>
      </w:r>
      <w:r>
        <w:rPr>
          <w:rStyle w:val="mo"/>
          <w:rFonts w:ascii="MathJax_Size1" w:hAnsi="MathJax_Size1"/>
          <w:color w:val="333333"/>
          <w:sz w:val="17"/>
          <w:szCs w:val="17"/>
        </w:rPr>
        <w:t>)/</w:t>
      </w:r>
      <w:r>
        <w:rPr>
          <w:rStyle w:val="mi"/>
          <w:rFonts w:ascii="MathJax_Math" w:hAnsi="MathJax_Math"/>
          <w:i/>
          <w:iCs/>
          <w:color w:val="333333"/>
          <w:sz w:val="17"/>
          <w:szCs w:val="17"/>
        </w:rPr>
        <w:t>SS</w:t>
      </w:r>
      <w:r>
        <w:rPr>
          <w:rStyle w:val="mi"/>
          <w:rFonts w:ascii="MathJax_Math" w:hAnsi="MathJax_Math"/>
          <w:i/>
          <w:iCs/>
          <w:color w:val="333333"/>
          <w:sz w:val="12"/>
          <w:szCs w:val="12"/>
        </w:rPr>
        <w:t>yy</w:t>
      </w:r>
      <w:r>
        <w:rPr>
          <w:rStyle w:val="mo"/>
          <w:rFonts w:ascii="MathJax_Main" w:hAnsi="MathJax_Main"/>
          <w:color w:val="333333"/>
          <w:sz w:val="17"/>
          <w:szCs w:val="17"/>
        </w:rPr>
        <w:t>.</w:t>
      </w:r>
      <w:r>
        <w:rPr>
          <w:rStyle w:val="apple-converted-space"/>
          <w:rFonts w:ascii="Calibri" w:eastAsiaTheme="majorEastAsia" w:hAnsi="Calibri"/>
          <w:color w:val="333333"/>
          <w:sz w:val="20"/>
          <w:szCs w:val="20"/>
        </w:rPr>
        <w:t> </w:t>
      </w:r>
      <w:r>
        <w:rPr>
          <w:rFonts w:ascii="Calibri" w:hAnsi="Calibri"/>
          <w:color w:val="333333"/>
          <w:sz w:val="20"/>
          <w:szCs w:val="20"/>
        </w:rPr>
        <w:t>Confirm your answer by squaring</w:t>
      </w:r>
      <w:r>
        <w:rPr>
          <w:rStyle w:val="apple-converted-space"/>
          <w:rFonts w:ascii="Calibri" w:eastAsiaTheme="majorEastAsia" w:hAnsi="Calibri"/>
          <w:color w:val="333333"/>
          <w:sz w:val="20"/>
          <w:szCs w:val="20"/>
        </w:rPr>
        <w:t> </w:t>
      </w:r>
      <w:r>
        <w:rPr>
          <w:rStyle w:val="Emphasis"/>
          <w:rFonts w:ascii="Calibri" w:hAnsi="Calibri"/>
          <w:color w:val="333333"/>
          <w:sz w:val="20"/>
          <w:szCs w:val="20"/>
        </w:rPr>
        <w:t>r</w:t>
      </w:r>
      <w:r>
        <w:rPr>
          <w:rStyle w:val="apple-converted-space"/>
          <w:rFonts w:ascii="Calibri" w:eastAsiaTheme="majorEastAsia" w:hAnsi="Calibri"/>
          <w:color w:val="333333"/>
          <w:sz w:val="20"/>
          <w:szCs w:val="20"/>
        </w:rPr>
        <w:t> </w:t>
      </w:r>
      <w:r>
        <w:rPr>
          <w:rFonts w:ascii="Calibri" w:hAnsi="Calibri"/>
          <w:color w:val="333333"/>
          <w:sz w:val="20"/>
          <w:szCs w:val="20"/>
        </w:rPr>
        <w:t>as computed in that exercise.</w:t>
      </w:r>
    </w:p>
    <w:p w:rsidR="00AD77BB" w:rsidRDefault="00B45BA0">
      <w:pPr>
        <w:pStyle w:val="para"/>
        <w:numPr>
          <w:ilvl w:val="0"/>
          <w:numId w:val="28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9 of</w:t>
      </w:r>
      <w:r>
        <w:rPr>
          <w:rStyle w:val="apple-converted-space"/>
          <w:rFonts w:ascii="Calibri" w:eastAsiaTheme="majorEastAsia" w:hAnsi="Calibri"/>
          <w:color w:val="333333"/>
          <w:sz w:val="20"/>
          <w:szCs w:val="20"/>
        </w:rPr>
        <w:t> </w:t>
      </w:r>
      <w:r>
        <w:rPr>
          <w:rFonts w:ascii="Calibri" w:hAnsi="Calibri"/>
          <w:color w:val="2689C6"/>
          <w:sz w:val="20"/>
          <w:szCs w:val="20"/>
        </w:rPr>
        <w:t>Section 10.2 "The Linear Correlation Coefficient"</w:t>
      </w:r>
      <w:r>
        <w:rPr>
          <w:rStyle w:val="apple-converted-space"/>
          <w:rFonts w:ascii="Calibri" w:eastAsiaTheme="majorEastAsia" w:hAnsi="Calibri"/>
          <w:color w:val="333333"/>
          <w:sz w:val="20"/>
          <w:szCs w:val="20"/>
        </w:rPr>
        <w:t> </w:t>
      </w:r>
      <w:r>
        <w:rPr>
          <w:rFonts w:ascii="Calibri" w:hAnsi="Calibri"/>
          <w:color w:val="333333"/>
          <w:sz w:val="20"/>
          <w:szCs w:val="20"/>
        </w:rPr>
        <w:t>find the coefficient of determination using the formula</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rPr>
        <w:t>r</w:t>
      </w:r>
      <w:r>
        <w:rPr>
          <w:rStyle w:val="mn"/>
          <w:rFonts w:ascii="MathJax_Main" w:hAnsi="MathJax_Main"/>
          <w:color w:val="333333"/>
          <w:sz w:val="12"/>
          <w:szCs w:val="12"/>
        </w:rPr>
        <w:t>2</w:t>
      </w:r>
      <w:r>
        <w:rPr>
          <w:rStyle w:val="mo"/>
          <w:rFonts w:ascii="MathJax_Main" w:hAnsi="MathJax_Main"/>
          <w:color w:val="333333"/>
          <w:sz w:val="17"/>
          <w:szCs w:val="17"/>
        </w:rPr>
        <w:t>=</w:t>
      </w:r>
      <w:r>
        <w:rPr>
          <w:rStyle w:val="mo"/>
          <w:rFonts w:ascii="MathJax_Size1" w:hAnsi="MathJax_Size1"/>
          <w:color w:val="333333"/>
          <w:sz w:val="17"/>
          <w:szCs w:val="17"/>
        </w:rPr>
        <w:t>(</w:t>
      </w:r>
      <w:r>
        <w:rPr>
          <w:rStyle w:val="mi"/>
          <w:rFonts w:ascii="MathJax_Math" w:hAnsi="MathJax_Math"/>
          <w:i/>
          <w:iCs/>
          <w:color w:val="333333"/>
          <w:sz w:val="17"/>
          <w:szCs w:val="17"/>
        </w:rPr>
        <w:t>SS</w:t>
      </w:r>
      <w:r>
        <w:rPr>
          <w:rStyle w:val="mi"/>
          <w:rFonts w:ascii="MathJax_Math" w:hAnsi="MathJax_Math"/>
          <w:i/>
          <w:iCs/>
          <w:color w:val="333333"/>
          <w:sz w:val="12"/>
          <w:szCs w:val="12"/>
        </w:rPr>
        <w:t>yy</w:t>
      </w:r>
      <w:r>
        <w:rPr>
          <w:rStyle w:val="mo"/>
          <w:rFonts w:ascii="MathJax_Main" w:hAnsi="MathJax_Main"/>
          <w:color w:val="333333"/>
          <w:sz w:val="17"/>
          <w:szCs w:val="17"/>
        </w:rPr>
        <w:t>−</w:t>
      </w:r>
      <w:r>
        <w:rPr>
          <w:rStyle w:val="mi"/>
          <w:rFonts w:ascii="MathJax_Math" w:hAnsi="MathJax_Math"/>
          <w:i/>
          <w:iCs/>
          <w:color w:val="333333"/>
          <w:sz w:val="17"/>
          <w:szCs w:val="17"/>
        </w:rPr>
        <w:t>SSE</w:t>
      </w:r>
      <w:r>
        <w:rPr>
          <w:rStyle w:val="mo"/>
          <w:rFonts w:ascii="MathJax_Size1" w:hAnsi="MathJax_Size1"/>
          <w:color w:val="333333"/>
          <w:sz w:val="17"/>
          <w:szCs w:val="17"/>
        </w:rPr>
        <w:t>)/</w:t>
      </w:r>
      <w:r>
        <w:rPr>
          <w:rStyle w:val="mi"/>
          <w:rFonts w:ascii="MathJax_Math" w:hAnsi="MathJax_Math"/>
          <w:i/>
          <w:iCs/>
          <w:color w:val="333333"/>
          <w:sz w:val="17"/>
          <w:szCs w:val="17"/>
        </w:rPr>
        <w:t>SS</w:t>
      </w:r>
      <w:r>
        <w:rPr>
          <w:rStyle w:val="mi"/>
          <w:rFonts w:ascii="MathJax_Math" w:hAnsi="MathJax_Math"/>
          <w:i/>
          <w:iCs/>
          <w:color w:val="333333"/>
          <w:sz w:val="12"/>
          <w:szCs w:val="12"/>
        </w:rPr>
        <w:t>yy</w:t>
      </w:r>
      <w:r>
        <w:rPr>
          <w:rStyle w:val="mo"/>
          <w:rFonts w:ascii="MathJax_Main" w:hAnsi="MathJax_Main"/>
          <w:color w:val="333333"/>
          <w:sz w:val="17"/>
          <w:szCs w:val="17"/>
        </w:rPr>
        <w:t>.</w:t>
      </w:r>
      <w:r>
        <w:rPr>
          <w:rStyle w:val="apple-converted-space"/>
          <w:rFonts w:ascii="Calibri" w:eastAsiaTheme="majorEastAsia" w:hAnsi="Calibri"/>
          <w:color w:val="333333"/>
          <w:sz w:val="20"/>
          <w:szCs w:val="20"/>
        </w:rPr>
        <w:t> </w:t>
      </w:r>
      <w:r>
        <w:rPr>
          <w:rFonts w:ascii="Calibri" w:hAnsi="Calibri"/>
          <w:color w:val="333333"/>
          <w:sz w:val="20"/>
          <w:szCs w:val="20"/>
        </w:rPr>
        <w:t>Confirm your answer by squaring</w:t>
      </w:r>
      <w:r>
        <w:rPr>
          <w:rStyle w:val="apple-converted-space"/>
          <w:rFonts w:ascii="Calibri" w:eastAsiaTheme="majorEastAsia" w:hAnsi="Calibri"/>
          <w:color w:val="333333"/>
          <w:sz w:val="20"/>
          <w:szCs w:val="20"/>
        </w:rPr>
        <w:t> </w:t>
      </w:r>
      <w:r>
        <w:rPr>
          <w:rStyle w:val="Emphasis"/>
          <w:rFonts w:ascii="Calibri" w:hAnsi="Calibri"/>
          <w:color w:val="333333"/>
          <w:sz w:val="20"/>
          <w:szCs w:val="20"/>
        </w:rPr>
        <w:t>r</w:t>
      </w:r>
      <w:r>
        <w:rPr>
          <w:rStyle w:val="apple-converted-space"/>
          <w:rFonts w:ascii="Calibri" w:eastAsiaTheme="majorEastAsia" w:hAnsi="Calibri"/>
          <w:color w:val="333333"/>
          <w:sz w:val="20"/>
          <w:szCs w:val="20"/>
        </w:rPr>
        <w:t> </w:t>
      </w:r>
      <w:r>
        <w:rPr>
          <w:rFonts w:ascii="Calibri" w:hAnsi="Calibri"/>
          <w:color w:val="333333"/>
          <w:sz w:val="20"/>
          <w:szCs w:val="20"/>
        </w:rPr>
        <w:t>as computed in that exercise.</w:t>
      </w:r>
    </w:p>
    <w:p w:rsidR="00AD77BB" w:rsidRDefault="00B45BA0">
      <w:pPr>
        <w:pStyle w:val="para"/>
        <w:numPr>
          <w:ilvl w:val="0"/>
          <w:numId w:val="288"/>
        </w:numPr>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9 of</w:t>
      </w:r>
      <w:r>
        <w:rPr>
          <w:rStyle w:val="apple-converted-space"/>
          <w:rFonts w:ascii="Calibri" w:eastAsiaTheme="majorEastAsia" w:hAnsi="Calibri"/>
          <w:color w:val="333333"/>
          <w:sz w:val="20"/>
          <w:szCs w:val="20"/>
        </w:rPr>
        <w:t> </w:t>
      </w:r>
      <w:r>
        <w:rPr>
          <w:rFonts w:ascii="Calibri" w:hAnsi="Calibri"/>
          <w:color w:val="2689C6"/>
          <w:sz w:val="20"/>
          <w:szCs w:val="20"/>
        </w:rPr>
        <w:t>Section 10.2 "The Linear Correlation Coefficient"</w:t>
      </w:r>
      <w:r>
        <w:rPr>
          <w:rStyle w:val="apple-converted-space"/>
          <w:rFonts w:ascii="Calibri" w:eastAsiaTheme="majorEastAsia" w:hAnsi="Calibri"/>
          <w:color w:val="333333"/>
          <w:sz w:val="20"/>
          <w:szCs w:val="20"/>
        </w:rPr>
        <w:t> </w:t>
      </w:r>
      <w:r>
        <w:rPr>
          <w:rFonts w:ascii="Calibri" w:hAnsi="Calibri"/>
          <w:color w:val="333333"/>
          <w:sz w:val="20"/>
          <w:szCs w:val="20"/>
        </w:rPr>
        <w:t>find the coefficient of determination using the formula</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rPr>
        <w:t>r</w:t>
      </w:r>
      <w:r>
        <w:rPr>
          <w:rStyle w:val="mn"/>
          <w:rFonts w:ascii="MathJax_Main" w:hAnsi="MathJax_Main"/>
          <w:color w:val="333333"/>
          <w:sz w:val="12"/>
          <w:szCs w:val="12"/>
        </w:rPr>
        <w:t>2</w:t>
      </w:r>
      <w:r>
        <w:rPr>
          <w:rStyle w:val="mo"/>
          <w:rFonts w:ascii="MathJax_Main" w:hAnsi="MathJax_Main"/>
          <w:color w:val="333333"/>
          <w:sz w:val="17"/>
          <w:szCs w:val="17"/>
        </w:rPr>
        <w:t>=</w:t>
      </w:r>
      <w:r>
        <w:rPr>
          <w:rStyle w:val="mo"/>
          <w:rFonts w:ascii="MathJax_Size1" w:hAnsi="MathJax_Size1"/>
          <w:color w:val="333333"/>
          <w:sz w:val="17"/>
          <w:szCs w:val="17"/>
        </w:rPr>
        <w:t>(</w:t>
      </w:r>
      <w:r>
        <w:rPr>
          <w:rStyle w:val="mi"/>
          <w:rFonts w:ascii="MathJax_Math" w:hAnsi="MathJax_Math"/>
          <w:i/>
          <w:iCs/>
          <w:color w:val="333333"/>
          <w:sz w:val="17"/>
          <w:szCs w:val="17"/>
        </w:rPr>
        <w:t>SS</w:t>
      </w:r>
      <w:r>
        <w:rPr>
          <w:rStyle w:val="mi"/>
          <w:rFonts w:ascii="MathJax_Math" w:hAnsi="MathJax_Math"/>
          <w:i/>
          <w:iCs/>
          <w:color w:val="333333"/>
          <w:sz w:val="12"/>
          <w:szCs w:val="12"/>
        </w:rPr>
        <w:t>yy</w:t>
      </w:r>
      <w:r>
        <w:rPr>
          <w:rStyle w:val="mo"/>
          <w:rFonts w:ascii="MathJax_Main" w:hAnsi="MathJax_Main"/>
          <w:color w:val="333333"/>
          <w:sz w:val="17"/>
          <w:szCs w:val="17"/>
        </w:rPr>
        <w:t>−</w:t>
      </w:r>
      <w:r>
        <w:rPr>
          <w:rStyle w:val="mi"/>
          <w:rFonts w:ascii="MathJax_Math" w:hAnsi="MathJax_Math"/>
          <w:i/>
          <w:iCs/>
          <w:color w:val="333333"/>
          <w:sz w:val="17"/>
          <w:szCs w:val="17"/>
        </w:rPr>
        <w:t>SSE</w:t>
      </w:r>
      <w:r>
        <w:rPr>
          <w:rStyle w:val="mo"/>
          <w:rFonts w:ascii="MathJax_Size1" w:hAnsi="MathJax_Size1"/>
          <w:color w:val="333333"/>
          <w:sz w:val="17"/>
          <w:szCs w:val="17"/>
        </w:rPr>
        <w:t>)/</w:t>
      </w:r>
      <w:r>
        <w:rPr>
          <w:rStyle w:val="mi"/>
          <w:rFonts w:ascii="MathJax_Math" w:hAnsi="MathJax_Math"/>
          <w:i/>
          <w:iCs/>
          <w:color w:val="333333"/>
          <w:sz w:val="17"/>
          <w:szCs w:val="17"/>
        </w:rPr>
        <w:t>SS</w:t>
      </w:r>
      <w:r>
        <w:rPr>
          <w:rStyle w:val="mi"/>
          <w:rFonts w:ascii="MathJax_Math" w:hAnsi="MathJax_Math"/>
          <w:i/>
          <w:iCs/>
          <w:color w:val="333333"/>
          <w:sz w:val="12"/>
          <w:szCs w:val="12"/>
        </w:rPr>
        <w:t>yy</w:t>
      </w:r>
      <w:r>
        <w:rPr>
          <w:rStyle w:val="mo"/>
          <w:rFonts w:ascii="MathJax_Main" w:hAnsi="MathJax_Main"/>
          <w:color w:val="333333"/>
          <w:sz w:val="17"/>
          <w:szCs w:val="17"/>
        </w:rPr>
        <w:t>.</w:t>
      </w:r>
      <w:r>
        <w:rPr>
          <w:rStyle w:val="apple-converted-space"/>
          <w:rFonts w:ascii="Calibri" w:eastAsiaTheme="majorEastAsia" w:hAnsi="Calibri"/>
          <w:color w:val="333333"/>
          <w:sz w:val="20"/>
          <w:szCs w:val="20"/>
        </w:rPr>
        <w:t> </w:t>
      </w:r>
      <w:r>
        <w:rPr>
          <w:rFonts w:ascii="Calibri" w:hAnsi="Calibri"/>
          <w:color w:val="333333"/>
          <w:sz w:val="20"/>
          <w:szCs w:val="20"/>
        </w:rPr>
        <w:t>Confirm your answer by squaring</w:t>
      </w:r>
      <w:r>
        <w:rPr>
          <w:rStyle w:val="apple-converted-space"/>
          <w:rFonts w:ascii="Calibri" w:eastAsiaTheme="majorEastAsia" w:hAnsi="Calibri"/>
          <w:color w:val="333333"/>
          <w:sz w:val="20"/>
          <w:szCs w:val="20"/>
        </w:rPr>
        <w:t> </w:t>
      </w:r>
      <w:r>
        <w:rPr>
          <w:rStyle w:val="Emphasis"/>
          <w:rFonts w:ascii="Calibri" w:hAnsi="Calibri"/>
          <w:color w:val="333333"/>
          <w:sz w:val="20"/>
          <w:szCs w:val="20"/>
        </w:rPr>
        <w:t>r</w:t>
      </w:r>
      <w:r>
        <w:rPr>
          <w:rStyle w:val="apple-converted-space"/>
          <w:rFonts w:ascii="Calibri" w:eastAsiaTheme="majorEastAsia" w:hAnsi="Calibri"/>
          <w:color w:val="333333"/>
          <w:sz w:val="20"/>
          <w:szCs w:val="20"/>
        </w:rPr>
        <w:t> </w:t>
      </w:r>
      <w:r>
        <w:rPr>
          <w:rFonts w:ascii="Calibri" w:hAnsi="Calibri"/>
          <w:color w:val="333333"/>
          <w:sz w:val="20"/>
          <w:szCs w:val="20"/>
        </w:rPr>
        <w:t>as computed in that exercise.</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APPLICATIONS</w:t>
      </w:r>
    </w:p>
    <w:p w:rsidR="00AD77BB" w:rsidRDefault="00B45BA0">
      <w:pPr>
        <w:pStyle w:val="para"/>
        <w:numPr>
          <w:ilvl w:val="0"/>
          <w:numId w:val="289"/>
        </w:numPr>
        <w:shd w:val="clear" w:color="auto" w:fill="DAEEF3" w:themeFill="accent5" w:themeFillTint="33"/>
        <w:spacing w:before="0" w:beforeAutospacing="0" w:after="0" w:afterAutospacing="0" w:line="360" w:lineRule="auto"/>
        <w:ind w:left="446"/>
        <w:contextualSpacing/>
        <w:textAlignment w:val="baseline"/>
        <w:rPr>
          <w:rFonts w:ascii="Calibri" w:hAnsi="Calibri"/>
          <w:color w:val="333333"/>
          <w:sz w:val="20"/>
          <w:szCs w:val="20"/>
        </w:rPr>
      </w:pPr>
      <w:r>
        <w:rPr>
          <w:rFonts w:ascii="Calibri" w:hAnsi="Calibri"/>
          <w:color w:val="333333"/>
          <w:sz w:val="20"/>
          <w:szCs w:val="20"/>
        </w:rPr>
        <w:t>For the data in Exercise 11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r>
        <w:rPr>
          <w:rStyle w:val="apple-converted-space"/>
          <w:rFonts w:ascii="Calibri" w:hAnsi="Calibri"/>
          <w:color w:val="333333"/>
          <w:sz w:val="20"/>
          <w:szCs w:val="20"/>
        </w:rPr>
        <w:t> </w:t>
      </w:r>
      <w:r>
        <w:rPr>
          <w:rFonts w:ascii="Calibri" w:hAnsi="Calibri"/>
          <w:color w:val="333333"/>
          <w:sz w:val="20"/>
          <w:szCs w:val="20"/>
        </w:rPr>
        <w:t>compute the coefficient of determination and interpret its value in the context of age and vocabulary.</w:t>
      </w:r>
    </w:p>
    <w:p w:rsidR="00AD77BB" w:rsidRDefault="00B45BA0">
      <w:pPr>
        <w:pStyle w:val="para"/>
        <w:numPr>
          <w:ilvl w:val="0"/>
          <w:numId w:val="289"/>
        </w:numPr>
        <w:shd w:val="clear" w:color="auto" w:fill="DAEEF3" w:themeFill="accent5" w:themeFillTint="33"/>
        <w:spacing w:before="0" w:beforeAutospacing="0" w:after="0" w:afterAutospacing="0" w:line="360" w:lineRule="auto"/>
        <w:ind w:left="446"/>
        <w:contextualSpacing/>
        <w:textAlignment w:val="baseline"/>
        <w:rPr>
          <w:rFonts w:ascii="Calibri" w:hAnsi="Calibri"/>
          <w:color w:val="333333"/>
          <w:sz w:val="20"/>
          <w:szCs w:val="20"/>
        </w:rPr>
      </w:pPr>
      <w:r>
        <w:rPr>
          <w:rFonts w:ascii="Calibri" w:hAnsi="Calibri"/>
          <w:color w:val="333333"/>
          <w:sz w:val="20"/>
          <w:szCs w:val="20"/>
        </w:rPr>
        <w:t>For the data in Exercise 12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r>
        <w:rPr>
          <w:rStyle w:val="apple-converted-space"/>
          <w:rFonts w:ascii="Calibri" w:hAnsi="Calibri"/>
          <w:color w:val="333333"/>
          <w:sz w:val="20"/>
          <w:szCs w:val="20"/>
        </w:rPr>
        <w:t> </w:t>
      </w:r>
      <w:r>
        <w:rPr>
          <w:rFonts w:ascii="Calibri" w:hAnsi="Calibri"/>
          <w:color w:val="333333"/>
          <w:sz w:val="20"/>
          <w:szCs w:val="20"/>
        </w:rPr>
        <w:t>compute the coefficient of determination and interpret its value in the context of vehicle weight and braking distance.</w:t>
      </w:r>
    </w:p>
    <w:p w:rsidR="00AD77BB" w:rsidRDefault="00B45BA0">
      <w:pPr>
        <w:pStyle w:val="para"/>
        <w:numPr>
          <w:ilvl w:val="0"/>
          <w:numId w:val="289"/>
        </w:numPr>
        <w:shd w:val="clear" w:color="auto" w:fill="DAEEF3" w:themeFill="accent5" w:themeFillTint="33"/>
        <w:spacing w:before="0" w:beforeAutospacing="0" w:after="0" w:afterAutospacing="0" w:line="360" w:lineRule="auto"/>
        <w:ind w:left="446"/>
        <w:contextualSpacing/>
        <w:textAlignment w:val="baseline"/>
        <w:rPr>
          <w:rFonts w:ascii="Calibri" w:hAnsi="Calibri"/>
          <w:color w:val="333333"/>
          <w:sz w:val="20"/>
          <w:szCs w:val="20"/>
        </w:rPr>
      </w:pPr>
      <w:r>
        <w:rPr>
          <w:rFonts w:ascii="Calibri" w:hAnsi="Calibri"/>
          <w:color w:val="333333"/>
          <w:sz w:val="20"/>
          <w:szCs w:val="20"/>
        </w:rPr>
        <w:t>For the data in Exercise 13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r>
        <w:rPr>
          <w:rStyle w:val="apple-converted-space"/>
          <w:rFonts w:ascii="Calibri" w:hAnsi="Calibri"/>
          <w:color w:val="333333"/>
          <w:sz w:val="20"/>
          <w:szCs w:val="20"/>
        </w:rPr>
        <w:t> </w:t>
      </w:r>
      <w:r>
        <w:rPr>
          <w:rFonts w:ascii="Calibri" w:hAnsi="Calibri"/>
          <w:color w:val="333333"/>
          <w:sz w:val="20"/>
          <w:szCs w:val="20"/>
        </w:rPr>
        <w:t>compute the coefficient of determination and interpret its value in the context of age and resting heart rate. In the age range of the data, does age seem to be a very important factor with regard to heart rate?</w:t>
      </w:r>
    </w:p>
    <w:p w:rsidR="00AD77BB" w:rsidRDefault="00B45BA0">
      <w:pPr>
        <w:pStyle w:val="para"/>
        <w:numPr>
          <w:ilvl w:val="0"/>
          <w:numId w:val="289"/>
        </w:numPr>
        <w:shd w:val="clear" w:color="auto" w:fill="DAEEF3" w:themeFill="accent5" w:themeFillTint="33"/>
        <w:spacing w:before="0" w:beforeAutospacing="0" w:after="0" w:afterAutospacing="0" w:line="360" w:lineRule="auto"/>
        <w:ind w:left="446"/>
        <w:contextualSpacing/>
        <w:textAlignment w:val="baseline"/>
        <w:rPr>
          <w:rFonts w:ascii="Calibri" w:hAnsi="Calibri"/>
          <w:color w:val="333333"/>
          <w:sz w:val="20"/>
          <w:szCs w:val="20"/>
        </w:rPr>
      </w:pPr>
      <w:r>
        <w:rPr>
          <w:rFonts w:ascii="Calibri" w:hAnsi="Calibri"/>
          <w:color w:val="333333"/>
          <w:sz w:val="20"/>
          <w:szCs w:val="20"/>
        </w:rPr>
        <w:t>For the data in Exercise 14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r>
        <w:rPr>
          <w:rStyle w:val="apple-converted-space"/>
          <w:rFonts w:ascii="Calibri" w:hAnsi="Calibri"/>
          <w:color w:val="333333"/>
          <w:sz w:val="20"/>
          <w:szCs w:val="20"/>
        </w:rPr>
        <w:t> </w:t>
      </w:r>
      <w:r>
        <w:rPr>
          <w:rFonts w:ascii="Calibri" w:hAnsi="Calibri"/>
          <w:color w:val="333333"/>
          <w:sz w:val="20"/>
          <w:szCs w:val="20"/>
        </w:rPr>
        <w:t>compute the coefficient of determination and interpret its value in the context of wind speed and wave height. Does wind speed seem to be a very important factor with regard to wave height?</w:t>
      </w:r>
    </w:p>
    <w:p w:rsidR="00AD77BB" w:rsidRDefault="00B45BA0">
      <w:pPr>
        <w:pStyle w:val="para"/>
        <w:numPr>
          <w:ilvl w:val="0"/>
          <w:numId w:val="289"/>
        </w:numPr>
        <w:shd w:val="clear" w:color="auto" w:fill="DAEEF3" w:themeFill="accent5" w:themeFillTint="33"/>
        <w:spacing w:before="0" w:beforeAutospacing="0" w:after="0" w:afterAutospacing="0" w:line="360" w:lineRule="auto"/>
        <w:ind w:left="446"/>
        <w:contextualSpacing/>
        <w:textAlignment w:val="baseline"/>
        <w:rPr>
          <w:rFonts w:ascii="Calibri" w:hAnsi="Calibri"/>
          <w:color w:val="333333"/>
          <w:sz w:val="20"/>
          <w:szCs w:val="20"/>
        </w:rPr>
      </w:pPr>
      <w:r>
        <w:rPr>
          <w:rFonts w:ascii="Calibri" w:hAnsi="Calibri"/>
          <w:color w:val="333333"/>
          <w:sz w:val="20"/>
          <w:szCs w:val="20"/>
        </w:rPr>
        <w:t>For the data in Exercise 15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r>
        <w:rPr>
          <w:rStyle w:val="apple-converted-space"/>
          <w:rFonts w:ascii="Calibri" w:hAnsi="Calibri"/>
          <w:color w:val="333333"/>
          <w:sz w:val="20"/>
          <w:szCs w:val="20"/>
        </w:rPr>
        <w:t> </w:t>
      </w:r>
      <w:r>
        <w:rPr>
          <w:rFonts w:ascii="Calibri" w:hAnsi="Calibri"/>
          <w:color w:val="333333"/>
          <w:sz w:val="20"/>
          <w:szCs w:val="20"/>
        </w:rPr>
        <w:t>find the proportion of the variability in revenue that is explained by level of advertising.</w:t>
      </w:r>
    </w:p>
    <w:p w:rsidR="00AD77BB" w:rsidRDefault="00B45BA0">
      <w:pPr>
        <w:pStyle w:val="para"/>
        <w:numPr>
          <w:ilvl w:val="0"/>
          <w:numId w:val="289"/>
        </w:numPr>
        <w:shd w:val="clear" w:color="auto" w:fill="DAEEF3" w:themeFill="accent5" w:themeFillTint="33"/>
        <w:spacing w:before="0" w:beforeAutospacing="0" w:after="0" w:afterAutospacing="0" w:line="360" w:lineRule="auto"/>
        <w:ind w:left="446"/>
        <w:contextualSpacing/>
        <w:textAlignment w:val="baseline"/>
        <w:rPr>
          <w:rFonts w:ascii="Calibri" w:hAnsi="Calibri"/>
          <w:color w:val="333333"/>
          <w:sz w:val="20"/>
          <w:szCs w:val="20"/>
        </w:rPr>
      </w:pPr>
      <w:r>
        <w:rPr>
          <w:rFonts w:ascii="Calibri" w:hAnsi="Calibri"/>
          <w:color w:val="333333"/>
          <w:sz w:val="20"/>
          <w:szCs w:val="20"/>
        </w:rPr>
        <w:t>For the data in Exercise 16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r>
        <w:rPr>
          <w:rStyle w:val="apple-converted-space"/>
          <w:rFonts w:ascii="Calibri" w:hAnsi="Calibri"/>
          <w:color w:val="333333"/>
          <w:sz w:val="20"/>
          <w:szCs w:val="20"/>
        </w:rPr>
        <w:t> </w:t>
      </w:r>
      <w:r>
        <w:rPr>
          <w:rFonts w:ascii="Calibri" w:hAnsi="Calibri"/>
          <w:color w:val="333333"/>
          <w:sz w:val="20"/>
          <w:szCs w:val="20"/>
        </w:rPr>
        <w:t>find the proportion of the variability in adult height that is explained by the variation in length at age two.</w:t>
      </w:r>
    </w:p>
    <w:p w:rsidR="00AD77BB" w:rsidRDefault="00B45BA0">
      <w:pPr>
        <w:pStyle w:val="para"/>
        <w:numPr>
          <w:ilvl w:val="0"/>
          <w:numId w:val="289"/>
        </w:numPr>
        <w:shd w:val="clear" w:color="auto" w:fill="DAEEF3" w:themeFill="accent5" w:themeFillTint="33"/>
        <w:spacing w:before="0" w:beforeAutospacing="0" w:after="0" w:afterAutospacing="0" w:line="360" w:lineRule="auto"/>
        <w:ind w:left="446"/>
        <w:contextualSpacing/>
        <w:textAlignment w:val="baseline"/>
        <w:rPr>
          <w:rFonts w:ascii="Calibri" w:hAnsi="Calibri"/>
          <w:color w:val="333333"/>
          <w:sz w:val="20"/>
          <w:szCs w:val="20"/>
        </w:rPr>
      </w:pPr>
      <w:r>
        <w:rPr>
          <w:rFonts w:ascii="Calibri" w:hAnsi="Calibri"/>
          <w:color w:val="333333"/>
          <w:sz w:val="20"/>
          <w:szCs w:val="20"/>
        </w:rPr>
        <w:t>For the data in Exercise 17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r>
        <w:rPr>
          <w:rStyle w:val="apple-converted-space"/>
          <w:rFonts w:ascii="Calibri" w:hAnsi="Calibri"/>
          <w:color w:val="333333"/>
          <w:sz w:val="20"/>
          <w:szCs w:val="20"/>
        </w:rPr>
        <w:t> </w:t>
      </w:r>
      <w:r>
        <w:rPr>
          <w:rFonts w:ascii="Calibri" w:hAnsi="Calibri"/>
          <w:color w:val="333333"/>
          <w:sz w:val="20"/>
          <w:szCs w:val="20"/>
        </w:rPr>
        <w:t>compute the coefficient of determination and interpret its value in the context of course average before the final exam and score on the final exam.</w:t>
      </w:r>
    </w:p>
    <w:p w:rsidR="00AD77BB" w:rsidRDefault="00B45BA0">
      <w:pPr>
        <w:pStyle w:val="para"/>
        <w:numPr>
          <w:ilvl w:val="0"/>
          <w:numId w:val="289"/>
        </w:numPr>
        <w:shd w:val="clear" w:color="auto" w:fill="DAEEF3" w:themeFill="accent5" w:themeFillTint="33"/>
        <w:spacing w:before="0" w:beforeAutospacing="0" w:after="0" w:afterAutospacing="0" w:line="360" w:lineRule="auto"/>
        <w:ind w:left="446"/>
        <w:contextualSpacing/>
        <w:textAlignment w:val="baseline"/>
        <w:rPr>
          <w:rFonts w:ascii="Calibri" w:hAnsi="Calibri"/>
          <w:color w:val="333333"/>
          <w:sz w:val="20"/>
          <w:szCs w:val="20"/>
        </w:rPr>
      </w:pPr>
      <w:r>
        <w:rPr>
          <w:rFonts w:ascii="Calibri" w:hAnsi="Calibri"/>
          <w:color w:val="333333"/>
          <w:sz w:val="20"/>
          <w:szCs w:val="20"/>
        </w:rPr>
        <w:t>For the data in Exercise 18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r>
        <w:rPr>
          <w:rStyle w:val="apple-converted-space"/>
          <w:rFonts w:ascii="Calibri" w:hAnsi="Calibri"/>
          <w:color w:val="333333"/>
          <w:sz w:val="20"/>
          <w:szCs w:val="20"/>
        </w:rPr>
        <w:t> </w:t>
      </w:r>
      <w:r>
        <w:rPr>
          <w:rFonts w:ascii="Calibri" w:hAnsi="Calibri"/>
          <w:color w:val="333333"/>
          <w:sz w:val="20"/>
          <w:szCs w:val="20"/>
        </w:rPr>
        <w:t>compute the coefficient of determination and interpret its value in the context of acres planted and acres harvested.</w:t>
      </w:r>
    </w:p>
    <w:p w:rsidR="00AD77BB" w:rsidRDefault="00B45BA0">
      <w:pPr>
        <w:pStyle w:val="para"/>
        <w:numPr>
          <w:ilvl w:val="0"/>
          <w:numId w:val="289"/>
        </w:numPr>
        <w:shd w:val="clear" w:color="auto" w:fill="DAEEF3" w:themeFill="accent5" w:themeFillTint="33"/>
        <w:spacing w:before="0" w:beforeAutospacing="0" w:after="0" w:afterAutospacing="0" w:line="360" w:lineRule="auto"/>
        <w:ind w:left="446"/>
        <w:contextualSpacing/>
        <w:textAlignment w:val="baseline"/>
        <w:rPr>
          <w:rFonts w:ascii="Calibri" w:hAnsi="Calibri"/>
          <w:color w:val="333333"/>
          <w:sz w:val="20"/>
          <w:szCs w:val="20"/>
        </w:rPr>
      </w:pPr>
      <w:r>
        <w:rPr>
          <w:rFonts w:ascii="Calibri" w:hAnsi="Calibri"/>
          <w:color w:val="333333"/>
          <w:sz w:val="20"/>
          <w:szCs w:val="20"/>
        </w:rPr>
        <w:t>For the data in Exercise 19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r>
        <w:rPr>
          <w:rStyle w:val="apple-converted-space"/>
          <w:rFonts w:ascii="Calibri" w:hAnsi="Calibri"/>
          <w:color w:val="333333"/>
          <w:sz w:val="20"/>
          <w:szCs w:val="20"/>
        </w:rPr>
        <w:t> </w:t>
      </w:r>
      <w:r>
        <w:rPr>
          <w:rFonts w:ascii="Calibri" w:hAnsi="Calibri"/>
          <w:color w:val="333333"/>
          <w:sz w:val="20"/>
          <w:szCs w:val="20"/>
        </w:rPr>
        <w:t>compute the coefficient of determination and interpret its value in the context of the amount of the medication consumed and blood concentration of the active ingredient.</w:t>
      </w:r>
    </w:p>
    <w:p w:rsidR="00AD77BB" w:rsidRDefault="00B45BA0">
      <w:pPr>
        <w:pStyle w:val="para"/>
        <w:numPr>
          <w:ilvl w:val="0"/>
          <w:numId w:val="289"/>
        </w:numPr>
        <w:shd w:val="clear" w:color="auto" w:fill="DAEEF3" w:themeFill="accent5" w:themeFillTint="33"/>
        <w:spacing w:before="0" w:beforeAutospacing="0" w:after="0" w:afterAutospacing="0" w:line="360" w:lineRule="auto"/>
        <w:ind w:left="446"/>
        <w:contextualSpacing/>
        <w:textAlignment w:val="baseline"/>
        <w:rPr>
          <w:rFonts w:ascii="Calibri" w:hAnsi="Calibri"/>
          <w:color w:val="333333"/>
          <w:sz w:val="20"/>
          <w:szCs w:val="20"/>
        </w:rPr>
      </w:pPr>
      <w:r>
        <w:rPr>
          <w:rFonts w:ascii="Calibri" w:hAnsi="Calibri"/>
          <w:color w:val="333333"/>
          <w:sz w:val="20"/>
          <w:szCs w:val="20"/>
        </w:rPr>
        <w:t>For the data in Exercise 20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r>
        <w:rPr>
          <w:rStyle w:val="apple-converted-space"/>
          <w:rFonts w:ascii="Calibri" w:hAnsi="Calibri"/>
          <w:color w:val="333333"/>
          <w:sz w:val="20"/>
          <w:szCs w:val="20"/>
        </w:rPr>
        <w:t> </w:t>
      </w:r>
      <w:r>
        <w:rPr>
          <w:rFonts w:ascii="Calibri" w:hAnsi="Calibri"/>
          <w:color w:val="333333"/>
          <w:sz w:val="20"/>
          <w:szCs w:val="20"/>
        </w:rPr>
        <w:t>compute the coefficient of determination and interpret its value in the context of tree size and age.</w:t>
      </w:r>
    </w:p>
    <w:p w:rsidR="00AD77BB" w:rsidRDefault="00B45BA0">
      <w:pPr>
        <w:pStyle w:val="para"/>
        <w:numPr>
          <w:ilvl w:val="0"/>
          <w:numId w:val="289"/>
        </w:numPr>
        <w:shd w:val="clear" w:color="auto" w:fill="DAEEF3" w:themeFill="accent5" w:themeFillTint="33"/>
        <w:spacing w:before="0" w:beforeAutospacing="0" w:after="0" w:afterAutospacing="0" w:line="360" w:lineRule="auto"/>
        <w:ind w:left="446"/>
        <w:contextualSpacing/>
        <w:textAlignment w:val="baseline"/>
        <w:rPr>
          <w:rFonts w:ascii="Calibri" w:hAnsi="Calibri"/>
          <w:color w:val="333333"/>
          <w:sz w:val="20"/>
          <w:szCs w:val="20"/>
        </w:rPr>
      </w:pPr>
      <w:r>
        <w:rPr>
          <w:rFonts w:ascii="Calibri" w:hAnsi="Calibri"/>
          <w:color w:val="333333"/>
          <w:sz w:val="20"/>
          <w:szCs w:val="20"/>
        </w:rPr>
        <w:lastRenderedPageBreak/>
        <w:t>For the data in Exercise 21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r>
        <w:rPr>
          <w:rStyle w:val="apple-converted-space"/>
          <w:rFonts w:ascii="Calibri" w:hAnsi="Calibri"/>
          <w:color w:val="333333"/>
          <w:sz w:val="20"/>
          <w:szCs w:val="20"/>
        </w:rPr>
        <w:t> </w:t>
      </w:r>
      <w:r>
        <w:rPr>
          <w:rFonts w:ascii="Calibri" w:hAnsi="Calibri"/>
          <w:color w:val="333333"/>
          <w:sz w:val="20"/>
          <w:szCs w:val="20"/>
        </w:rPr>
        <w:t>find the proportion of the variability in 28-day strength of concrete that is accounted for by variation in 3-day strength.</w:t>
      </w:r>
    </w:p>
    <w:p w:rsidR="00AD77BB" w:rsidRDefault="00B45BA0">
      <w:pPr>
        <w:pStyle w:val="para"/>
        <w:numPr>
          <w:ilvl w:val="0"/>
          <w:numId w:val="289"/>
        </w:numPr>
        <w:shd w:val="clear" w:color="auto" w:fill="DAEEF3" w:themeFill="accent5" w:themeFillTint="33"/>
        <w:spacing w:before="0" w:beforeAutospacing="0" w:after="0" w:afterAutospacing="0" w:line="360" w:lineRule="auto"/>
        <w:ind w:left="446"/>
        <w:contextualSpacing/>
        <w:textAlignment w:val="baseline"/>
        <w:rPr>
          <w:rFonts w:ascii="Calibri" w:hAnsi="Calibri"/>
          <w:color w:val="333333"/>
          <w:sz w:val="20"/>
          <w:szCs w:val="20"/>
        </w:rPr>
      </w:pPr>
      <w:r>
        <w:rPr>
          <w:rFonts w:ascii="Calibri" w:hAnsi="Calibri"/>
          <w:color w:val="333333"/>
          <w:sz w:val="20"/>
          <w:szCs w:val="20"/>
        </w:rPr>
        <w:t>For the data in Exercise 22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r>
        <w:rPr>
          <w:rStyle w:val="apple-converted-space"/>
          <w:rFonts w:ascii="Calibri" w:hAnsi="Calibri"/>
          <w:color w:val="333333"/>
          <w:sz w:val="20"/>
          <w:szCs w:val="20"/>
        </w:rPr>
        <w:t> </w:t>
      </w:r>
      <w:r>
        <w:rPr>
          <w:rFonts w:ascii="Calibri" w:hAnsi="Calibri"/>
          <w:color w:val="333333"/>
          <w:sz w:val="20"/>
          <w:szCs w:val="20"/>
        </w:rPr>
        <w:t>find the proportion of the variability in energy demand that is accounted for by variation in average temperature.</w:t>
      </w:r>
    </w:p>
    <w:p w:rsidR="00AD77BB" w:rsidRDefault="00AD77BB">
      <w:pPr>
        <w:shd w:val="clear" w:color="auto" w:fill="FFFFFF" w:themeFill="background1"/>
        <w:spacing w:after="0" w:line="360" w:lineRule="auto"/>
        <w:ind w:left="720"/>
        <w:textAlignment w:val="baseline"/>
        <w:rPr>
          <w:rFonts w:ascii="Calibri" w:eastAsia="Times New Roman" w:hAnsi="Calibri" w:cs="Times New Roman"/>
          <w:b/>
          <w:color w:val="333333"/>
          <w:sz w:val="20"/>
          <w:szCs w:val="20"/>
        </w:rPr>
      </w:pP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sz w:val="20"/>
          <w:szCs w:val="20"/>
        </w:rPr>
        <w:tab/>
      </w:r>
      <w:r>
        <w:rPr>
          <w:rFonts w:ascii="Calibri" w:hAnsi="Calibri"/>
          <w:caps/>
          <w:color w:val="FFFFFF"/>
          <w:spacing w:val="30"/>
          <w:sz w:val="23"/>
          <w:szCs w:val="23"/>
        </w:rPr>
        <w:t>LARGE DATA SET EXERCISES</w:t>
      </w:r>
    </w:p>
    <w:p w:rsidR="00AD77BB" w:rsidRDefault="00B45BA0">
      <w:pPr>
        <w:pStyle w:val="para"/>
        <w:numPr>
          <w:ilvl w:val="0"/>
          <w:numId w:val="290"/>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Large Data Set 1 lists the SAT scores and GPAs of 1,000 students. Compute the coefficient of determination and interpret its value in the context of SAT scores and GPAs.</w:t>
      </w:r>
    </w:p>
    <w:p w:rsidR="00AD77BB" w:rsidRDefault="00B45BA0">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2689C6"/>
          <w:sz w:val="20"/>
          <w:szCs w:val="20"/>
        </w:rPr>
        <w:t>http://www.1.xls</w:t>
      </w:r>
    </w:p>
    <w:p w:rsidR="00AD77BB" w:rsidRDefault="00B45BA0">
      <w:pPr>
        <w:pStyle w:val="para"/>
        <w:numPr>
          <w:ilvl w:val="0"/>
          <w:numId w:val="290"/>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Large Data Set 12 lists the golf scores on one round of golf for 75 golfers first using their own original clubs, then using clubs of a new, experimental design (after two months of familiarization with the new clubs). Compute the coefficient of determination and interpret its value in the context of golf scores with the two kinds of golf clubs.</w:t>
      </w:r>
    </w:p>
    <w:p w:rsidR="00AD77BB" w:rsidRDefault="00B45BA0">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2689C6"/>
          <w:sz w:val="20"/>
          <w:szCs w:val="20"/>
        </w:rPr>
        <w:t>http://www.12.xls</w:t>
      </w:r>
    </w:p>
    <w:p w:rsidR="00AD77BB" w:rsidRDefault="00B45BA0">
      <w:pPr>
        <w:pStyle w:val="para"/>
        <w:numPr>
          <w:ilvl w:val="0"/>
          <w:numId w:val="290"/>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Large Data Set 13 records the number of bidders and sales price of a particular type of antique grandfather clock at 60 auctions. Compute the coefficient of determination and interpret its value in the context of the number of bidders at an auction and the price of this type of antique grandfather clock.</w:t>
      </w:r>
    </w:p>
    <w:p w:rsidR="00AD77BB" w:rsidRDefault="00B45BA0">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2689C6"/>
          <w:sz w:val="20"/>
          <w:szCs w:val="20"/>
        </w:rPr>
        <w:t>http://www.13.xls</w:t>
      </w:r>
    </w:p>
    <w:p w:rsidR="00AD77BB" w:rsidRDefault="00B45BA0">
      <w:pPr>
        <w:pStyle w:val="Heading2"/>
        <w:shd w:val="clear" w:color="auto" w:fill="FFFFFF"/>
        <w:spacing w:before="0" w:line="439" w:lineRule="atLeast"/>
        <w:textAlignment w:val="baseline"/>
        <w:rPr>
          <w:rFonts w:ascii="Calibri" w:hAnsi="Calibri"/>
          <w:color w:val="333333"/>
        </w:rPr>
      </w:pPr>
      <w:r>
        <w:rPr>
          <w:noProof/>
        </w:rPr>
        <w:lastRenderedPageBreak/>
        <w:drawing>
          <wp:anchor distT="0" distB="0" distL="114300" distR="114300" simplePos="0" relativeHeight="251673600" behindDoc="0" locked="0" layoutInCell="1" allowOverlap="1" wp14:anchorId="4C3DBCC5" wp14:editId="777FB24C">
            <wp:simplePos x="0" y="0"/>
            <wp:positionH relativeFrom="column">
              <wp:align>left</wp:align>
            </wp:positionH>
            <wp:positionV relativeFrom="paragraph">
              <wp:align>top</wp:align>
            </wp:positionV>
            <wp:extent cx="5305425" cy="6315710"/>
            <wp:effectExtent l="0" t="0" r="9525" b="8890"/>
            <wp:wrapSquare wrapText="bothSides"/>
            <wp:docPr id="41"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305425" cy="631571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Times New Roman"/>
          <w:sz w:val="20"/>
          <w:szCs w:val="20"/>
        </w:rPr>
        <w:br w:type="textWrapping" w:clear="all"/>
      </w:r>
      <w:r>
        <w:rPr>
          <w:rStyle w:val="title-prefix"/>
          <w:rFonts w:ascii="Calibri" w:hAnsi="Calibri"/>
          <w:color w:val="333333"/>
          <w:sz w:val="33"/>
          <w:szCs w:val="33"/>
        </w:rPr>
        <w:t>10.7</w:t>
      </w:r>
      <w:r>
        <w:rPr>
          <w:rStyle w:val="apple-converted-space"/>
          <w:rFonts w:ascii="Calibri" w:hAnsi="Calibri"/>
          <w:color w:val="333333"/>
        </w:rPr>
        <w:t> </w:t>
      </w:r>
      <w:r>
        <w:rPr>
          <w:rFonts w:ascii="Calibri" w:hAnsi="Calibri"/>
          <w:color w:val="333333"/>
        </w:rPr>
        <w:t>Estimation and Prediction</w:t>
      </w:r>
    </w:p>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AD77BB" w:rsidRDefault="00B45BA0">
      <w:pPr>
        <w:numPr>
          <w:ilvl w:val="0"/>
          <w:numId w:val="291"/>
        </w:numPr>
        <w:shd w:val="clear" w:color="auto" w:fill="EAE9DC"/>
        <w:spacing w:after="0" w:line="360" w:lineRule="auto"/>
        <w:ind w:left="360" w:right="375"/>
        <w:textAlignment w:val="baseline"/>
        <w:rPr>
          <w:rFonts w:ascii="Calibri" w:hAnsi="Calibri"/>
          <w:color w:val="333333"/>
          <w:sz w:val="20"/>
          <w:szCs w:val="20"/>
        </w:rPr>
      </w:pPr>
      <w:r>
        <w:rPr>
          <w:rFonts w:ascii="Calibri" w:hAnsi="Calibri"/>
          <w:color w:val="333333"/>
          <w:sz w:val="20"/>
          <w:szCs w:val="20"/>
        </w:rPr>
        <w:t>To learn the distinction between estimation and prediction.</w:t>
      </w:r>
    </w:p>
    <w:p w:rsidR="00AD77BB" w:rsidRDefault="00B45BA0">
      <w:pPr>
        <w:numPr>
          <w:ilvl w:val="0"/>
          <w:numId w:val="291"/>
        </w:numPr>
        <w:shd w:val="clear" w:color="auto" w:fill="EAE9DC"/>
        <w:spacing w:after="0" w:line="360" w:lineRule="auto"/>
        <w:ind w:left="360" w:right="375"/>
        <w:textAlignment w:val="baseline"/>
        <w:rPr>
          <w:rFonts w:ascii="Calibri" w:hAnsi="Calibri"/>
          <w:color w:val="333333"/>
          <w:sz w:val="20"/>
          <w:szCs w:val="20"/>
        </w:rPr>
      </w:pPr>
      <w:r>
        <w:rPr>
          <w:rFonts w:ascii="Calibri" w:hAnsi="Calibri"/>
          <w:color w:val="333333"/>
          <w:sz w:val="20"/>
          <w:szCs w:val="20"/>
        </w:rPr>
        <w:t>To learn the distinction between a confidence interval and a prediction interval.</w:t>
      </w:r>
    </w:p>
    <w:p w:rsidR="00AD77BB" w:rsidRDefault="00B45BA0">
      <w:pPr>
        <w:numPr>
          <w:ilvl w:val="0"/>
          <w:numId w:val="291"/>
        </w:numPr>
        <w:shd w:val="clear" w:color="auto" w:fill="EAE9DC"/>
        <w:spacing w:after="0" w:line="360" w:lineRule="auto"/>
        <w:ind w:left="360" w:right="375"/>
        <w:textAlignment w:val="baseline"/>
        <w:rPr>
          <w:rFonts w:ascii="Calibri" w:hAnsi="Calibri"/>
          <w:color w:val="333333"/>
          <w:sz w:val="20"/>
          <w:szCs w:val="20"/>
        </w:rPr>
      </w:pPr>
      <w:r>
        <w:rPr>
          <w:rFonts w:ascii="Calibri" w:hAnsi="Calibri"/>
          <w:color w:val="333333"/>
          <w:sz w:val="20"/>
          <w:szCs w:val="20"/>
        </w:rPr>
        <w:t>To learn how to implement formulas for computing confidence intervals and prediction intervals.</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lastRenderedPageBreak/>
        <w:t>Consider the following pairs of problems, in the context of</w:t>
      </w:r>
      <w:r>
        <w:rPr>
          <w:rStyle w:val="apple-converted-space"/>
          <w:rFonts w:ascii="Georgia" w:hAnsi="Georgia"/>
          <w:color w:val="333333"/>
          <w:sz w:val="21"/>
          <w:szCs w:val="21"/>
        </w:rPr>
        <w:t> </w:t>
      </w:r>
      <w:r>
        <w:rPr>
          <w:rFonts w:ascii="Georgia" w:hAnsi="Georgia"/>
          <w:color w:val="2689C6"/>
          <w:sz w:val="21"/>
          <w:szCs w:val="21"/>
        </w:rPr>
        <w:t>Note 10.19 "Example 3"</w:t>
      </w:r>
      <w:r>
        <w:rPr>
          <w:rStyle w:val="apple-converted-space"/>
          <w:rFonts w:ascii="Georgia" w:hAnsi="Georgia"/>
          <w:color w:val="333333"/>
          <w:sz w:val="21"/>
          <w:szCs w:val="21"/>
        </w:rPr>
        <w:t> </w:t>
      </w:r>
      <w:r>
        <w:rPr>
          <w:rFonts w:ascii="Georgia" w:hAnsi="Georgia"/>
          <w:color w:val="333333"/>
          <w:sz w:val="21"/>
          <w:szCs w:val="21"/>
        </w:rPr>
        <w:t>in</w:t>
      </w:r>
      <w:r>
        <w:rPr>
          <w:rStyle w:val="apple-converted-space"/>
          <w:rFonts w:ascii="Georgia" w:hAnsi="Georgia"/>
          <w:color w:val="333333"/>
          <w:sz w:val="21"/>
          <w:szCs w:val="21"/>
        </w:rPr>
        <w:t> </w:t>
      </w:r>
      <w:r>
        <w:rPr>
          <w:rFonts w:ascii="Georgia" w:hAnsi="Georgia"/>
          <w:color w:val="2689C6"/>
          <w:sz w:val="21"/>
          <w:szCs w:val="21"/>
        </w:rPr>
        <w:t>Section 10.4 "The Least Squares Regression Line"</w:t>
      </w:r>
      <w:r>
        <w:rPr>
          <w:rFonts w:ascii="Georgia" w:hAnsi="Georgia"/>
          <w:color w:val="333333"/>
          <w:sz w:val="21"/>
          <w:szCs w:val="21"/>
        </w:rPr>
        <w:t>, the automobile age and value example.</w:t>
      </w:r>
    </w:p>
    <w:p w:rsidR="00AD77BB" w:rsidRDefault="00B45BA0">
      <w:pPr>
        <w:pStyle w:val="para"/>
        <w:numPr>
          <w:ilvl w:val="0"/>
          <w:numId w:val="292"/>
        </w:numPr>
        <w:shd w:val="clear" w:color="auto" w:fill="FFFFFF"/>
        <w:spacing w:before="0" w:beforeAutospacing="0" w:after="0" w:afterAutospacing="0" w:line="360" w:lineRule="auto"/>
        <w:ind w:left="360"/>
        <w:textAlignment w:val="baseline"/>
        <w:rPr>
          <w:rFonts w:ascii="Georgia" w:hAnsi="Georgia"/>
          <w:color w:val="333333"/>
          <w:sz w:val="20"/>
          <w:szCs w:val="20"/>
        </w:rPr>
      </w:pPr>
      <w:r>
        <w:rPr>
          <w:rFonts w:ascii="Georgia" w:hAnsi="Georgia"/>
          <w:color w:val="333333"/>
          <w:sz w:val="20"/>
          <w:szCs w:val="20"/>
        </w:rPr>
        <w:t> </w:t>
      </w:r>
    </w:p>
    <w:p w:rsidR="00AD77BB" w:rsidRDefault="00B45BA0">
      <w:pPr>
        <w:numPr>
          <w:ilvl w:val="2"/>
          <w:numId w:val="292"/>
        </w:numPr>
        <w:shd w:val="clear" w:color="auto" w:fill="FFFFFF"/>
        <w:spacing w:after="0" w:line="360" w:lineRule="auto"/>
        <w:textAlignment w:val="baseline"/>
        <w:rPr>
          <w:rFonts w:ascii="Georgia" w:hAnsi="Georgia"/>
          <w:color w:val="333333"/>
          <w:sz w:val="20"/>
          <w:szCs w:val="20"/>
        </w:rPr>
      </w:pPr>
      <w:r>
        <w:rPr>
          <w:rFonts w:ascii="Georgia" w:hAnsi="Georgia"/>
          <w:color w:val="333333"/>
          <w:sz w:val="20"/>
          <w:szCs w:val="20"/>
        </w:rPr>
        <w:t>Estimate the average value of all four-year-old automobiles of this make and model.</w:t>
      </w:r>
    </w:p>
    <w:p w:rsidR="00AD77BB" w:rsidRDefault="00B45BA0">
      <w:pPr>
        <w:numPr>
          <w:ilvl w:val="2"/>
          <w:numId w:val="292"/>
        </w:numPr>
        <w:shd w:val="clear" w:color="auto" w:fill="FFFFFF"/>
        <w:spacing w:after="0" w:line="360" w:lineRule="auto"/>
        <w:textAlignment w:val="baseline"/>
        <w:rPr>
          <w:rFonts w:ascii="Georgia" w:hAnsi="Georgia"/>
          <w:color w:val="333333"/>
          <w:sz w:val="20"/>
          <w:szCs w:val="20"/>
        </w:rPr>
      </w:pPr>
      <w:r>
        <w:rPr>
          <w:rFonts w:ascii="Georgia" w:hAnsi="Georgia"/>
          <w:color w:val="333333"/>
          <w:sz w:val="20"/>
          <w:szCs w:val="20"/>
        </w:rPr>
        <w:t>Construct a 95% confidence interval for the average value of all four-year-old automobiles of this make and model.</w:t>
      </w:r>
    </w:p>
    <w:p w:rsidR="00AD77BB" w:rsidRDefault="00B45BA0">
      <w:pPr>
        <w:pStyle w:val="para"/>
        <w:numPr>
          <w:ilvl w:val="0"/>
          <w:numId w:val="292"/>
        </w:numPr>
        <w:shd w:val="clear" w:color="auto" w:fill="FFFFFF"/>
        <w:spacing w:before="0" w:beforeAutospacing="0" w:after="0" w:afterAutospacing="0" w:line="360" w:lineRule="auto"/>
        <w:ind w:left="360"/>
        <w:textAlignment w:val="baseline"/>
        <w:rPr>
          <w:rFonts w:ascii="Georgia" w:hAnsi="Georgia"/>
          <w:color w:val="333333"/>
          <w:sz w:val="20"/>
          <w:szCs w:val="20"/>
        </w:rPr>
      </w:pPr>
      <w:r>
        <w:rPr>
          <w:rFonts w:ascii="Georgia" w:hAnsi="Georgia"/>
          <w:color w:val="333333"/>
          <w:sz w:val="20"/>
          <w:szCs w:val="20"/>
        </w:rPr>
        <w:t> </w:t>
      </w:r>
      <w:r>
        <w:rPr>
          <w:rFonts w:ascii="Georgia" w:hAnsi="Georgia"/>
          <w:color w:val="333333"/>
          <w:sz w:val="20"/>
          <w:szCs w:val="20"/>
        </w:rPr>
        <w:tab/>
      </w:r>
    </w:p>
    <w:p w:rsidR="00AD77BB" w:rsidRDefault="00B45BA0">
      <w:pPr>
        <w:numPr>
          <w:ilvl w:val="2"/>
          <w:numId w:val="292"/>
        </w:numPr>
        <w:shd w:val="clear" w:color="auto" w:fill="FFFFFF"/>
        <w:spacing w:after="0" w:line="360" w:lineRule="auto"/>
        <w:textAlignment w:val="baseline"/>
        <w:rPr>
          <w:rFonts w:ascii="Georgia" w:hAnsi="Georgia"/>
          <w:color w:val="333333"/>
          <w:sz w:val="20"/>
          <w:szCs w:val="20"/>
        </w:rPr>
      </w:pPr>
      <w:r>
        <w:rPr>
          <w:rFonts w:ascii="Georgia" w:hAnsi="Georgia"/>
          <w:color w:val="333333"/>
          <w:sz w:val="20"/>
          <w:szCs w:val="20"/>
        </w:rPr>
        <w:t>Shylock intends to buy a four-year-old automobile of this make and model next week. Predict the value of the first such automobile that he encounters.</w:t>
      </w:r>
    </w:p>
    <w:p w:rsidR="00AD77BB" w:rsidRDefault="00B45BA0">
      <w:pPr>
        <w:numPr>
          <w:ilvl w:val="2"/>
          <w:numId w:val="292"/>
        </w:numPr>
        <w:shd w:val="clear" w:color="auto" w:fill="FFFFFF"/>
        <w:spacing w:after="0" w:line="360" w:lineRule="auto"/>
        <w:textAlignment w:val="baseline"/>
        <w:rPr>
          <w:rFonts w:ascii="Georgia" w:hAnsi="Georgia"/>
          <w:color w:val="333333"/>
          <w:sz w:val="20"/>
          <w:szCs w:val="20"/>
        </w:rPr>
      </w:pPr>
      <w:r>
        <w:rPr>
          <w:rFonts w:ascii="Georgia" w:hAnsi="Georgia"/>
          <w:color w:val="333333"/>
          <w:sz w:val="20"/>
          <w:szCs w:val="20"/>
        </w:rPr>
        <w:t>Construct a 95% confidence interval for the value of the first such automobile that he encounters.</w:t>
      </w:r>
    </w:p>
    <w:p w:rsidR="00AD77BB" w:rsidRDefault="00AD77BB">
      <w:pPr>
        <w:pStyle w:val="para"/>
        <w:shd w:val="clear" w:color="auto" w:fill="FFFFFF"/>
        <w:spacing w:before="0" w:beforeAutospacing="0" w:after="0" w:afterAutospacing="0" w:line="360" w:lineRule="auto"/>
        <w:ind w:left="720"/>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ind w:left="720"/>
        <w:textAlignment w:val="baseline"/>
        <w:rPr>
          <w:rFonts w:ascii="Georgia" w:hAnsi="Georgia"/>
          <w:color w:val="333333"/>
          <w:sz w:val="21"/>
          <w:szCs w:val="21"/>
        </w:rPr>
      </w:pPr>
      <w:r>
        <w:rPr>
          <w:rFonts w:ascii="Georgia" w:hAnsi="Georgia"/>
          <w:color w:val="333333"/>
          <w:sz w:val="21"/>
          <w:szCs w:val="21"/>
        </w:rPr>
        <w:t>The method of solution and answer to the first question in each pair, (1a) and (2a), are the same. When we set</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equal to 4 in the least squares regression equation</w:t>
      </w:r>
      <w:r>
        <w:rPr>
          <w:rStyle w:val="apple-converted-space"/>
          <w:rFonts w:ascii="Georgia" w:hAnsi="Georgia"/>
          <w:color w:val="333333"/>
          <w:sz w:val="21"/>
          <w:szCs w:val="21"/>
        </w:rPr>
        <w:t> </w:t>
      </w:r>
      <w:r>
        <w:rPr>
          <w:rStyle w:val="mi"/>
          <w:rFonts w:ascii="MathJax_Math" w:hAnsi="MathJax_Math"/>
          <w:i/>
          <w:iCs/>
          <w:color w:val="333333"/>
          <w:sz w:val="20"/>
          <w:szCs w:val="20"/>
        </w:rPr>
        <w:t>y</w:t>
      </w:r>
      <w:r>
        <w:rPr>
          <w:rStyle w:val="mo"/>
          <w:rFonts w:ascii="MathJax_Main" w:hAnsi="MathJax_Main"/>
          <w:color w:val="333333"/>
          <w:sz w:val="20"/>
          <w:szCs w:val="20"/>
        </w:rPr>
        <w:t>ˆ=</w:t>
      </w:r>
      <w:r>
        <w:rPr>
          <w:rStyle w:val="mtext"/>
          <w:rFonts w:ascii="MathJax_Main" w:hAnsi="MathJax_Main"/>
          <w:color w:val="333333"/>
          <w:sz w:val="20"/>
          <w:szCs w:val="20"/>
        </w:rPr>
        <w:t>−</w:t>
      </w:r>
      <w:r>
        <w:rPr>
          <w:rStyle w:val="mn"/>
          <w:rFonts w:ascii="MathJax_Main" w:hAnsi="MathJax_Main"/>
          <w:color w:val="333333"/>
          <w:sz w:val="20"/>
          <w:szCs w:val="20"/>
        </w:rPr>
        <w:t>2.05</w:t>
      </w:r>
      <w:r>
        <w:rPr>
          <w:rStyle w:val="mi"/>
          <w:rFonts w:ascii="MathJax_Math" w:hAnsi="MathJax_Math"/>
          <w:i/>
          <w:iCs/>
          <w:color w:val="333333"/>
          <w:sz w:val="20"/>
          <w:szCs w:val="20"/>
        </w:rPr>
        <w:t>x</w:t>
      </w:r>
      <w:r>
        <w:rPr>
          <w:rStyle w:val="mo"/>
          <w:rFonts w:ascii="MathJax_Main" w:hAnsi="MathJax_Main"/>
          <w:color w:val="333333"/>
          <w:sz w:val="20"/>
          <w:szCs w:val="20"/>
        </w:rPr>
        <w:t>+</w:t>
      </w:r>
      <w:r>
        <w:rPr>
          <w:rStyle w:val="mn"/>
          <w:rFonts w:ascii="MathJax_Main" w:hAnsi="MathJax_Main"/>
          <w:color w:val="333333"/>
          <w:sz w:val="20"/>
          <w:szCs w:val="20"/>
        </w:rPr>
        <w:t>32.83</w:t>
      </w:r>
      <w:r>
        <w:rPr>
          <w:rStyle w:val="apple-converted-space"/>
          <w:rFonts w:ascii="Georgia" w:hAnsi="Georgia"/>
          <w:color w:val="333333"/>
          <w:sz w:val="21"/>
          <w:szCs w:val="21"/>
        </w:rPr>
        <w:t> </w:t>
      </w:r>
      <w:r>
        <w:rPr>
          <w:rFonts w:ascii="Georgia" w:hAnsi="Georgia"/>
          <w:color w:val="333333"/>
          <w:sz w:val="21"/>
          <w:szCs w:val="21"/>
        </w:rPr>
        <w:t>that was computed in part (c) of</w:t>
      </w:r>
      <w:r>
        <w:rPr>
          <w:rStyle w:val="apple-converted-space"/>
          <w:rFonts w:ascii="Georgia" w:hAnsi="Georgia"/>
          <w:color w:val="333333"/>
          <w:sz w:val="21"/>
          <w:szCs w:val="21"/>
        </w:rPr>
        <w:t> </w:t>
      </w:r>
      <w:r>
        <w:rPr>
          <w:rFonts w:ascii="Georgia" w:hAnsi="Georgia"/>
          <w:color w:val="2689C6"/>
          <w:sz w:val="21"/>
          <w:szCs w:val="21"/>
        </w:rPr>
        <w:t>Note 10.19 "Example 3"</w:t>
      </w:r>
      <w:r>
        <w:rPr>
          <w:rStyle w:val="apple-converted-space"/>
          <w:rFonts w:ascii="Georgia" w:hAnsi="Georgia"/>
          <w:color w:val="333333"/>
          <w:sz w:val="21"/>
          <w:szCs w:val="21"/>
        </w:rPr>
        <w:t> </w:t>
      </w:r>
      <w:r>
        <w:rPr>
          <w:rFonts w:ascii="Georgia" w:hAnsi="Georgia"/>
          <w:color w:val="333333"/>
          <w:sz w:val="21"/>
          <w:szCs w:val="21"/>
        </w:rPr>
        <w:t>in</w:t>
      </w:r>
      <w:r>
        <w:rPr>
          <w:rStyle w:val="apple-converted-space"/>
          <w:rFonts w:ascii="Georgia" w:hAnsi="Georgia"/>
          <w:color w:val="333333"/>
          <w:sz w:val="21"/>
          <w:szCs w:val="21"/>
        </w:rPr>
        <w:t> </w:t>
      </w:r>
      <w:r>
        <w:rPr>
          <w:rFonts w:ascii="Georgia" w:hAnsi="Georgia"/>
          <w:color w:val="2689C6"/>
          <w:sz w:val="21"/>
          <w:szCs w:val="21"/>
        </w:rPr>
        <w:t>Section 10.4 "The Least Squares Regression Line"</w:t>
      </w:r>
      <w:r>
        <w:rPr>
          <w:rFonts w:ascii="Georgia" w:hAnsi="Georgia"/>
          <w:color w:val="333333"/>
          <w:sz w:val="21"/>
          <w:szCs w:val="21"/>
        </w:rPr>
        <w:t>, the number returned,</w:t>
      </w:r>
    </w:p>
    <w:p w:rsidR="00AD77BB" w:rsidRDefault="00B45BA0">
      <w:pPr>
        <w:pStyle w:val="ListParagraph"/>
        <w:spacing w:before="240" w:after="240" w:line="360" w:lineRule="auto"/>
        <w:jc w:val="center"/>
        <w:textAlignment w:val="baseline"/>
        <w:rPr>
          <w:rFonts w:ascii="Calibri" w:hAnsi="Calibri"/>
          <w:color w:val="555555"/>
          <w:sz w:val="23"/>
          <w:szCs w:val="23"/>
          <w:shd w:val="clear" w:color="auto" w:fill="FFFFFF"/>
        </w:rPr>
      </w:pPr>
      <w:r>
        <w:rPr>
          <w:rStyle w:val="mi"/>
          <w:rFonts w:ascii="MathJax_Math" w:hAnsi="MathJax_Math"/>
          <w:i/>
          <w:iCs/>
          <w:color w:val="555555"/>
          <w:sz w:val="20"/>
          <w:szCs w:val="20"/>
          <w:shd w:val="clear" w:color="auto" w:fill="FFFFFF"/>
        </w:rPr>
        <w:t>y</w:t>
      </w:r>
      <w:r>
        <w:rPr>
          <w:rStyle w:val="mo"/>
          <w:rFonts w:ascii="MathJax_Main" w:hAnsi="MathJax_Main"/>
          <w:color w:val="555555"/>
          <w:sz w:val="20"/>
          <w:szCs w:val="20"/>
          <w:shd w:val="clear" w:color="auto" w:fill="FFFFFF"/>
        </w:rPr>
        <w:t>ˆ=</w:t>
      </w:r>
      <w:r>
        <w:rPr>
          <w:rStyle w:val="mtext"/>
          <w:rFonts w:ascii="MathJax_Main" w:hAnsi="MathJax_Main"/>
          <w:color w:val="555555"/>
          <w:sz w:val="20"/>
          <w:szCs w:val="20"/>
          <w:shd w:val="clear" w:color="auto" w:fill="FFFFFF"/>
        </w:rPr>
        <w:t>−</w:t>
      </w:r>
      <w:r>
        <w:rPr>
          <w:rStyle w:val="mn"/>
          <w:rFonts w:ascii="MathJax_Main" w:hAnsi="MathJax_Main"/>
          <w:color w:val="555555"/>
          <w:sz w:val="20"/>
          <w:szCs w:val="20"/>
          <w:shd w:val="clear" w:color="auto" w:fill="FFFFFF"/>
        </w:rPr>
        <w:t>2.05</w:t>
      </w:r>
      <w:r>
        <w:rPr>
          <w:rStyle w:val="mo"/>
          <w:rFonts w:ascii="MathJax_Main" w:hAnsi="MathJax_Main"/>
          <w:color w:val="555555"/>
          <w:sz w:val="20"/>
          <w:szCs w:val="20"/>
          <w:shd w:val="clear" w:color="auto" w:fill="FFFFFF"/>
        </w:rPr>
        <w:t>(</w:t>
      </w:r>
      <w:r>
        <w:rPr>
          <w:rStyle w:val="mn"/>
          <w:rFonts w:ascii="MathJax_Main" w:hAnsi="MathJax_Main"/>
          <w:color w:val="555555"/>
          <w:sz w:val="20"/>
          <w:szCs w:val="20"/>
          <w:shd w:val="clear" w:color="auto" w:fill="FFFFFF"/>
        </w:rPr>
        <w:t>4</w:t>
      </w:r>
      <w:r>
        <w:rPr>
          <w:rStyle w:val="mo"/>
          <w:rFonts w:ascii="MathJax_Main" w:hAnsi="MathJax_Main"/>
          <w:color w:val="555555"/>
          <w:sz w:val="20"/>
          <w:szCs w:val="20"/>
          <w:shd w:val="clear" w:color="auto" w:fill="FFFFFF"/>
        </w:rPr>
        <w:t>)+</w:t>
      </w:r>
      <w:r>
        <w:rPr>
          <w:rStyle w:val="mn"/>
          <w:rFonts w:ascii="MathJax_Main" w:hAnsi="MathJax_Main"/>
          <w:color w:val="555555"/>
          <w:sz w:val="20"/>
          <w:szCs w:val="20"/>
          <w:shd w:val="clear" w:color="auto" w:fill="FFFFFF"/>
        </w:rPr>
        <w:t>32.83</w:t>
      </w:r>
      <w:r>
        <w:rPr>
          <w:rStyle w:val="mo"/>
          <w:rFonts w:ascii="MathJax_Main" w:hAnsi="MathJax_Main"/>
          <w:color w:val="555555"/>
          <w:sz w:val="20"/>
          <w:szCs w:val="20"/>
          <w:shd w:val="clear" w:color="auto" w:fill="FFFFFF"/>
        </w:rPr>
        <w:t>=</w:t>
      </w:r>
      <w:r>
        <w:rPr>
          <w:rStyle w:val="mn"/>
          <w:rFonts w:ascii="MathJax_Main" w:hAnsi="MathJax_Main"/>
          <w:color w:val="555555"/>
          <w:sz w:val="20"/>
          <w:szCs w:val="20"/>
          <w:shd w:val="clear" w:color="auto" w:fill="FFFFFF"/>
        </w:rPr>
        <w:t>24.63</w:t>
      </w:r>
    </w:p>
    <w:p w:rsidR="00AD77BB" w:rsidRDefault="00B45BA0">
      <w:pPr>
        <w:pStyle w:val="para"/>
        <w:shd w:val="clear" w:color="auto" w:fill="FFFFFF"/>
        <w:spacing w:before="0" w:beforeAutospacing="0" w:after="0" w:afterAutospacing="0" w:line="360" w:lineRule="auto"/>
        <w:ind w:left="720"/>
        <w:textAlignment w:val="baseline"/>
        <w:rPr>
          <w:rFonts w:ascii="Georgia" w:hAnsi="Georgia"/>
          <w:color w:val="333333"/>
          <w:sz w:val="21"/>
          <w:szCs w:val="21"/>
        </w:rPr>
      </w:pPr>
      <w:r>
        <w:rPr>
          <w:rFonts w:ascii="Georgia" w:hAnsi="Georgia"/>
          <w:color w:val="333333"/>
          <w:sz w:val="21"/>
          <w:szCs w:val="21"/>
        </w:rPr>
        <w:t>which corresponds to value $24,630, is an estimate of precisely the number sought in question (1a): the mean</w:t>
      </w:r>
      <w:r>
        <w:rPr>
          <w:rStyle w:val="apple-converted-space"/>
          <w:rFonts w:ascii="Georgia" w:hAnsi="Georgia"/>
          <w:color w:val="333333"/>
          <w:sz w:val="21"/>
          <w:szCs w:val="21"/>
        </w:rPr>
        <w:t> </w:t>
      </w:r>
      <w:r>
        <w:rPr>
          <w:rStyle w:val="mi"/>
          <w:rFonts w:ascii="MathJax_Math" w:hAnsi="MathJax_Math"/>
          <w:i/>
          <w:iCs/>
          <w:color w:val="333333"/>
          <w:sz w:val="20"/>
          <w:szCs w:val="20"/>
        </w:rPr>
        <w:t>E</w:t>
      </w:r>
      <w:r>
        <w:rPr>
          <w:rStyle w:val="mo"/>
          <w:rFonts w:ascii="MathJax_Main" w:hAnsi="MathJax_Main"/>
          <w:color w:val="333333"/>
          <w:sz w:val="20"/>
          <w:szCs w:val="20"/>
        </w:rPr>
        <w:t>(</w:t>
      </w:r>
      <w:r>
        <w:rPr>
          <w:rStyle w:val="mi"/>
          <w:rFonts w:ascii="MathJax_Math" w:hAnsi="MathJax_Math"/>
          <w:i/>
          <w:iCs/>
          <w:color w:val="333333"/>
          <w:sz w:val="20"/>
          <w:szCs w:val="20"/>
        </w:rPr>
        <w:t>y</w:t>
      </w:r>
      <w:r>
        <w:rPr>
          <w:rStyle w:val="mo"/>
          <w:rFonts w:ascii="MathJax_Main" w:hAnsi="MathJax_Main"/>
          <w:color w:val="333333"/>
          <w:sz w:val="20"/>
          <w:szCs w:val="20"/>
        </w:rPr>
        <w:t>)</w:t>
      </w:r>
      <w:r>
        <w:rPr>
          <w:rStyle w:val="apple-converted-space"/>
          <w:rFonts w:ascii="Georgia" w:hAnsi="Georgia"/>
          <w:color w:val="333333"/>
          <w:sz w:val="21"/>
          <w:szCs w:val="21"/>
        </w:rPr>
        <w:t> </w:t>
      </w:r>
      <w:r>
        <w:rPr>
          <w:rFonts w:ascii="Georgia" w:hAnsi="Georgia"/>
          <w:color w:val="333333"/>
          <w:sz w:val="21"/>
          <w:szCs w:val="21"/>
        </w:rPr>
        <w:t>of all</w:t>
      </w:r>
      <w:r>
        <w:rPr>
          <w:rStyle w:val="apple-converted-space"/>
          <w:rFonts w:ascii="Georgia" w:hAnsi="Georgia"/>
          <w:color w:val="333333"/>
          <w:sz w:val="21"/>
          <w:szCs w:val="21"/>
        </w:rPr>
        <w:t> </w:t>
      </w:r>
      <w:r>
        <w:rPr>
          <w:rStyle w:val="Emphasis"/>
          <w:rFonts w:ascii="Georgia" w:hAnsi="Georgia"/>
          <w:color w:val="333333"/>
          <w:sz w:val="20"/>
          <w:szCs w:val="20"/>
        </w:rPr>
        <w:t>y</w:t>
      </w:r>
      <w:r>
        <w:rPr>
          <w:rStyle w:val="apple-converted-space"/>
          <w:rFonts w:ascii="Georgia" w:hAnsi="Georgia"/>
          <w:color w:val="333333"/>
          <w:sz w:val="21"/>
          <w:szCs w:val="21"/>
        </w:rPr>
        <w:t> </w:t>
      </w:r>
      <w:r>
        <w:rPr>
          <w:rFonts w:ascii="Georgia" w:hAnsi="Georgia"/>
          <w:color w:val="333333"/>
          <w:sz w:val="21"/>
          <w:szCs w:val="21"/>
        </w:rPr>
        <w:t>values when</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 4. Since nothing is known about the first four-year-old automobile of this make and model that Shylock will encounter, our best guess as to its value is the mean value</w:t>
      </w:r>
      <w:r>
        <w:rPr>
          <w:rStyle w:val="apple-converted-space"/>
          <w:rFonts w:ascii="Georgia" w:hAnsi="Georgia"/>
          <w:color w:val="333333"/>
          <w:sz w:val="21"/>
          <w:szCs w:val="21"/>
        </w:rPr>
        <w:t> </w:t>
      </w:r>
      <w:r>
        <w:rPr>
          <w:rStyle w:val="mi"/>
          <w:rFonts w:ascii="MathJax_Math" w:hAnsi="MathJax_Math"/>
          <w:i/>
          <w:iCs/>
          <w:color w:val="333333"/>
          <w:sz w:val="20"/>
          <w:szCs w:val="20"/>
        </w:rPr>
        <w:t>E</w:t>
      </w:r>
      <w:r>
        <w:rPr>
          <w:rStyle w:val="mo"/>
          <w:rFonts w:ascii="MathJax_Main" w:hAnsi="MathJax_Main"/>
          <w:color w:val="333333"/>
          <w:sz w:val="20"/>
          <w:szCs w:val="20"/>
        </w:rPr>
        <w:t>(</w:t>
      </w:r>
      <w:r>
        <w:rPr>
          <w:rStyle w:val="mi"/>
          <w:rFonts w:ascii="MathJax_Math" w:hAnsi="MathJax_Math"/>
          <w:i/>
          <w:iCs/>
          <w:color w:val="333333"/>
          <w:sz w:val="20"/>
          <w:szCs w:val="20"/>
        </w:rPr>
        <w:t>y</w:t>
      </w:r>
      <w:r>
        <w:rPr>
          <w:rStyle w:val="mo"/>
          <w:rFonts w:ascii="MathJax_Main" w:hAnsi="MathJax_Main"/>
          <w:color w:val="333333"/>
          <w:sz w:val="20"/>
          <w:szCs w:val="20"/>
        </w:rPr>
        <w:t>)</w:t>
      </w:r>
      <w:r>
        <w:rPr>
          <w:rStyle w:val="apple-converted-space"/>
          <w:rFonts w:ascii="Georgia" w:hAnsi="Georgia"/>
          <w:color w:val="333333"/>
          <w:sz w:val="21"/>
          <w:szCs w:val="21"/>
        </w:rPr>
        <w:t> </w:t>
      </w:r>
      <w:r>
        <w:rPr>
          <w:rFonts w:ascii="Georgia" w:hAnsi="Georgia"/>
          <w:color w:val="333333"/>
          <w:sz w:val="21"/>
          <w:szCs w:val="21"/>
        </w:rPr>
        <w:t>of all such automobiles, the number 24.63 or $24,630, computed in the same way.</w:t>
      </w:r>
    </w:p>
    <w:p w:rsidR="00AD77BB" w:rsidRDefault="00AD77BB">
      <w:pPr>
        <w:pStyle w:val="para"/>
        <w:shd w:val="clear" w:color="auto" w:fill="FFFFFF"/>
        <w:spacing w:before="0" w:beforeAutospacing="0" w:after="0" w:afterAutospacing="0" w:line="360" w:lineRule="auto"/>
        <w:ind w:left="720"/>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ind w:left="720"/>
        <w:textAlignment w:val="baseline"/>
        <w:rPr>
          <w:rFonts w:ascii="Georgia" w:hAnsi="Georgia"/>
          <w:color w:val="333333"/>
          <w:sz w:val="21"/>
          <w:szCs w:val="21"/>
        </w:rPr>
      </w:pPr>
      <w:r>
        <w:rPr>
          <w:rFonts w:ascii="Georgia" w:hAnsi="Georgia"/>
          <w:color w:val="333333"/>
          <w:sz w:val="21"/>
          <w:szCs w:val="21"/>
        </w:rPr>
        <w:t>The answers to the second part of each question differ. In question (1b) we are trying to estimate a population parameter: the mean of the all the</w:t>
      </w:r>
      <w:r>
        <w:rPr>
          <w:rStyle w:val="apple-converted-space"/>
          <w:rFonts w:ascii="Georgia" w:hAnsi="Georgia"/>
          <w:color w:val="333333"/>
          <w:sz w:val="21"/>
          <w:szCs w:val="21"/>
        </w:rPr>
        <w:t> </w:t>
      </w:r>
      <w:r>
        <w:rPr>
          <w:rStyle w:val="Emphasis"/>
          <w:rFonts w:ascii="Georgia" w:hAnsi="Georgia"/>
          <w:color w:val="333333"/>
          <w:sz w:val="20"/>
          <w:szCs w:val="20"/>
        </w:rPr>
        <w:t>y</w:t>
      </w:r>
      <w:r>
        <w:rPr>
          <w:rFonts w:ascii="Georgia" w:hAnsi="Georgia"/>
          <w:color w:val="333333"/>
          <w:sz w:val="21"/>
          <w:szCs w:val="21"/>
        </w:rPr>
        <w:t>-values in the sub-population picked out by the value</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 4, that is, the average value of all four-year-old automobiles. In question (2b), however, we are not trying to capture a fixed parameter, but the value of the random variable</w:t>
      </w:r>
      <w:r>
        <w:rPr>
          <w:rStyle w:val="apple-converted-space"/>
          <w:rFonts w:ascii="Georgia" w:hAnsi="Georgia"/>
          <w:color w:val="333333"/>
          <w:sz w:val="21"/>
          <w:szCs w:val="21"/>
        </w:rPr>
        <w:t> </w:t>
      </w:r>
      <w:r>
        <w:rPr>
          <w:rStyle w:val="Emphasis"/>
          <w:rFonts w:ascii="Georgia" w:hAnsi="Georgia"/>
          <w:color w:val="333333"/>
          <w:sz w:val="20"/>
          <w:szCs w:val="20"/>
        </w:rPr>
        <w:t>y</w:t>
      </w:r>
      <w:r>
        <w:rPr>
          <w:rStyle w:val="apple-converted-space"/>
          <w:rFonts w:ascii="Georgia" w:hAnsi="Georgia"/>
          <w:color w:val="333333"/>
          <w:sz w:val="21"/>
          <w:szCs w:val="21"/>
        </w:rPr>
        <w:t> </w:t>
      </w:r>
      <w:r>
        <w:rPr>
          <w:rFonts w:ascii="Georgia" w:hAnsi="Georgia"/>
          <w:color w:val="333333"/>
          <w:sz w:val="21"/>
          <w:szCs w:val="21"/>
        </w:rPr>
        <w:t>in one trial of an experiment: examine the first four-year-old car Shylock encounters. In the first case we seek to construct a confidence interval in the same sense that we have done before. In the second case the situation is different, and the interval constructed has a different name, prediction interval. In the second case we are trying to “predict” where a the value of a random variable will take its value.</w:t>
      </w:r>
    </w:p>
    <w:p w:rsidR="00AD77BB" w:rsidRDefault="00B45BA0">
      <w:pPr>
        <w:pStyle w:val="para"/>
        <w:shd w:val="clear" w:color="auto" w:fill="FFFFFF"/>
        <w:spacing w:before="0" w:beforeAutospacing="0" w:after="0" w:afterAutospacing="0" w:line="360" w:lineRule="auto"/>
        <w:ind w:left="720"/>
        <w:textAlignment w:val="baseline"/>
        <w:rPr>
          <w:rFonts w:ascii="Georgia" w:hAnsi="Georgia"/>
          <w:color w:val="333333"/>
          <w:sz w:val="21"/>
          <w:szCs w:val="21"/>
        </w:rPr>
      </w:pPr>
      <w:r>
        <w:rPr>
          <w:rFonts w:ascii="Georgia" w:hAnsi="Georgia"/>
          <w:noProof/>
          <w:color w:val="333333"/>
          <w:sz w:val="21"/>
          <w:szCs w:val="21"/>
        </w:rPr>
        <w:lastRenderedPageBreak/>
        <w:drawing>
          <wp:inline distT="0" distB="0" distL="0" distR="0" wp14:anchorId="78E80604" wp14:editId="783BC3C2">
            <wp:extent cx="5038725" cy="7124700"/>
            <wp:effectExtent l="0" t="0" r="9525" b="0"/>
            <wp:docPr id="41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038725" cy="7124700"/>
                    </a:xfrm>
                    <a:prstGeom prst="rect">
                      <a:avLst/>
                    </a:prstGeom>
                    <a:noFill/>
                    <a:ln>
                      <a:noFill/>
                    </a:ln>
                  </pic:spPr>
                </pic:pic>
              </a:graphicData>
            </a:graphic>
          </wp:inline>
        </w:drawing>
      </w:r>
    </w:p>
    <w:p w:rsidR="00AD77BB" w:rsidRDefault="00B45BA0">
      <w:pPr>
        <w:numPr>
          <w:ilvl w:val="0"/>
          <w:numId w:val="293"/>
        </w:numPr>
        <w:shd w:val="clear" w:color="auto" w:fill="F4F4F4"/>
        <w:spacing w:after="0" w:line="439" w:lineRule="atLeast"/>
        <w:textAlignment w:val="baseline"/>
        <w:rPr>
          <w:rFonts w:ascii="Georgia" w:hAnsi="Georgia"/>
          <w:color w:val="333333"/>
          <w:sz w:val="20"/>
          <w:szCs w:val="20"/>
        </w:rPr>
      </w:pPr>
      <w:r>
        <w:rPr>
          <w:rStyle w:val="Emphasis"/>
          <w:rFonts w:ascii="Georgia" w:hAnsi="Georgia"/>
          <w:color w:val="333333"/>
          <w:sz w:val="20"/>
          <w:szCs w:val="20"/>
        </w:rPr>
        <w:t>x</w:t>
      </w:r>
      <w:r>
        <w:rPr>
          <w:rStyle w:val="Emphasis"/>
          <w:rFonts w:ascii="Georgia" w:hAnsi="Georgia"/>
          <w:color w:val="333333"/>
          <w:sz w:val="15"/>
          <w:szCs w:val="15"/>
          <w:vertAlign w:val="subscript"/>
        </w:rPr>
        <w:t>p</w:t>
      </w:r>
      <w:r>
        <w:rPr>
          <w:rStyle w:val="apple-converted-space"/>
          <w:rFonts w:ascii="Georgia" w:hAnsi="Georgia"/>
          <w:color w:val="333333"/>
          <w:sz w:val="20"/>
          <w:szCs w:val="20"/>
        </w:rPr>
        <w:t> </w:t>
      </w:r>
      <w:r>
        <w:rPr>
          <w:rFonts w:ascii="Georgia" w:hAnsi="Georgia"/>
          <w:color w:val="333333"/>
          <w:sz w:val="20"/>
          <w:szCs w:val="20"/>
        </w:rPr>
        <w:t>is a particular value of</w:t>
      </w:r>
      <w:r>
        <w:rPr>
          <w:rStyle w:val="apple-converted-space"/>
          <w:rFonts w:ascii="Georgia" w:hAnsi="Georgia"/>
          <w:color w:val="333333"/>
          <w:sz w:val="20"/>
          <w:szCs w:val="20"/>
        </w:rPr>
        <w:t> </w:t>
      </w:r>
      <w:r>
        <w:rPr>
          <w:rStyle w:val="Emphasis"/>
          <w:rFonts w:ascii="Georgia" w:hAnsi="Georgia"/>
          <w:color w:val="333333"/>
          <w:sz w:val="20"/>
          <w:szCs w:val="20"/>
        </w:rPr>
        <w:t>x</w:t>
      </w:r>
      <w:r>
        <w:rPr>
          <w:rStyle w:val="apple-converted-space"/>
          <w:rFonts w:ascii="Georgia" w:hAnsi="Georgia"/>
          <w:color w:val="333333"/>
          <w:sz w:val="20"/>
          <w:szCs w:val="20"/>
        </w:rPr>
        <w:t> </w:t>
      </w:r>
      <w:r>
        <w:rPr>
          <w:rFonts w:ascii="Georgia" w:hAnsi="Georgia"/>
          <w:color w:val="333333"/>
          <w:sz w:val="20"/>
          <w:szCs w:val="20"/>
        </w:rPr>
        <w:t>that lies in the range of</w:t>
      </w:r>
      <w:r>
        <w:rPr>
          <w:rStyle w:val="apple-converted-space"/>
          <w:rFonts w:ascii="Georgia" w:hAnsi="Georgia"/>
          <w:color w:val="333333"/>
          <w:sz w:val="20"/>
          <w:szCs w:val="20"/>
        </w:rPr>
        <w:t> </w:t>
      </w:r>
      <w:r>
        <w:rPr>
          <w:rStyle w:val="Emphasis"/>
          <w:rFonts w:ascii="Georgia" w:hAnsi="Georgia"/>
          <w:color w:val="333333"/>
          <w:sz w:val="20"/>
          <w:szCs w:val="20"/>
        </w:rPr>
        <w:t>x</w:t>
      </w:r>
      <w:r>
        <w:rPr>
          <w:rFonts w:ascii="Georgia" w:hAnsi="Georgia"/>
          <w:color w:val="333333"/>
          <w:sz w:val="20"/>
          <w:szCs w:val="20"/>
        </w:rPr>
        <w:t>-values in the data set used to construct the least squares regression line;</w:t>
      </w:r>
    </w:p>
    <w:p w:rsidR="00AD77BB" w:rsidRDefault="00B45BA0">
      <w:pPr>
        <w:numPr>
          <w:ilvl w:val="0"/>
          <w:numId w:val="293"/>
        </w:numPr>
        <w:shd w:val="clear" w:color="auto" w:fill="F4F4F4"/>
        <w:spacing w:after="0" w:line="439" w:lineRule="atLeast"/>
        <w:ind w:left="504" w:hanging="504"/>
        <w:textAlignment w:val="baseline"/>
        <w:rPr>
          <w:rFonts w:ascii="Georgia" w:hAnsi="Georgia"/>
          <w:color w:val="333333"/>
          <w:sz w:val="20"/>
          <w:szCs w:val="20"/>
        </w:rPr>
      </w:pPr>
      <w:r>
        <w:rPr>
          <w:rStyle w:val="mi"/>
          <w:rFonts w:ascii="MathJax_Math" w:hAnsi="MathJax_Math"/>
          <w:i/>
          <w:iCs/>
          <w:color w:val="333333"/>
          <w:sz w:val="20"/>
          <w:szCs w:val="20"/>
        </w:rPr>
        <w:lastRenderedPageBreak/>
        <w:t>y</w:t>
      </w:r>
      <w:r>
        <w:rPr>
          <w:rStyle w:val="mo"/>
          <w:rFonts w:ascii="MathJax_Main" w:hAnsi="MathJax_Main"/>
          <w:color w:val="333333"/>
          <w:sz w:val="20"/>
          <w:szCs w:val="20"/>
        </w:rPr>
        <w:t>ˆ</w:t>
      </w:r>
      <w:r>
        <w:rPr>
          <w:rStyle w:val="mi"/>
          <w:rFonts w:ascii="MathJax_Math" w:hAnsi="MathJax_Math"/>
          <w:i/>
          <w:iCs/>
          <w:color w:val="333333"/>
          <w:sz w:val="15"/>
          <w:szCs w:val="15"/>
        </w:rPr>
        <w:t>p</w:t>
      </w:r>
      <w:r>
        <w:rPr>
          <w:rStyle w:val="apple-converted-space"/>
          <w:rFonts w:ascii="Georgia" w:hAnsi="Georgia"/>
          <w:color w:val="333333"/>
          <w:sz w:val="20"/>
          <w:szCs w:val="20"/>
        </w:rPr>
        <w:t> </w:t>
      </w:r>
      <w:r>
        <w:rPr>
          <w:rFonts w:ascii="Georgia" w:hAnsi="Georgia"/>
          <w:color w:val="333333"/>
          <w:sz w:val="20"/>
          <w:szCs w:val="20"/>
        </w:rPr>
        <w:t>is the numerical value obtained when the least square regression equation is evaluated at</w:t>
      </w:r>
      <w:r>
        <w:rPr>
          <w:rStyle w:val="apple-converted-space"/>
          <w:rFonts w:ascii="Georgia" w:hAnsi="Georgia"/>
          <w:color w:val="333333"/>
          <w:sz w:val="20"/>
          <w:szCs w:val="20"/>
        </w:rPr>
        <w:t> </w:t>
      </w:r>
      <w:r>
        <w:rPr>
          <w:rStyle w:val="mi"/>
          <w:rFonts w:ascii="MathJax_Math" w:hAnsi="MathJax_Math"/>
          <w:i/>
          <w:iCs/>
          <w:color w:val="333333"/>
          <w:sz w:val="20"/>
          <w:szCs w:val="20"/>
        </w:rPr>
        <w:t>x</w:t>
      </w:r>
      <w:r>
        <w:rPr>
          <w:rStyle w:val="mo"/>
          <w:rFonts w:ascii="MathJax_Main" w:hAnsi="MathJax_Main"/>
          <w:color w:val="333333"/>
          <w:sz w:val="20"/>
          <w:szCs w:val="20"/>
        </w:rPr>
        <w:t>=</w:t>
      </w:r>
      <w:r>
        <w:rPr>
          <w:rStyle w:val="mi"/>
          <w:rFonts w:ascii="MathJax_Math" w:hAnsi="MathJax_Math"/>
          <w:i/>
          <w:iCs/>
          <w:color w:val="333333"/>
          <w:sz w:val="20"/>
          <w:szCs w:val="20"/>
        </w:rPr>
        <w:t>x</w:t>
      </w:r>
      <w:r>
        <w:rPr>
          <w:rStyle w:val="mi"/>
          <w:rFonts w:ascii="MathJax_Math" w:hAnsi="MathJax_Math"/>
          <w:i/>
          <w:iCs/>
          <w:color w:val="333333"/>
          <w:sz w:val="15"/>
          <w:szCs w:val="15"/>
        </w:rPr>
        <w:t>p</w:t>
      </w:r>
      <w:r>
        <w:rPr>
          <w:rFonts w:ascii="Georgia" w:hAnsi="Georgia"/>
          <w:color w:val="333333"/>
          <w:sz w:val="20"/>
          <w:szCs w:val="20"/>
        </w:rPr>
        <w:t>; and</w:t>
      </w:r>
    </w:p>
    <w:p w:rsidR="00AD77BB" w:rsidRDefault="00B45BA0">
      <w:pPr>
        <w:numPr>
          <w:ilvl w:val="0"/>
          <w:numId w:val="293"/>
        </w:numPr>
        <w:shd w:val="clear" w:color="auto" w:fill="F4F4F4"/>
        <w:spacing w:after="0" w:line="439" w:lineRule="atLeast"/>
        <w:ind w:left="504" w:hanging="504"/>
        <w:textAlignment w:val="baseline"/>
        <w:rPr>
          <w:rFonts w:ascii="Georgia" w:hAnsi="Georgia"/>
          <w:color w:val="333333"/>
          <w:sz w:val="20"/>
          <w:szCs w:val="20"/>
        </w:rPr>
      </w:pPr>
      <w:r>
        <w:rPr>
          <w:rFonts w:ascii="Georgia" w:hAnsi="Georgia"/>
          <w:color w:val="333333"/>
          <w:sz w:val="20"/>
          <w:szCs w:val="20"/>
        </w:rPr>
        <w:t>the number of degrees of freedom for</w:t>
      </w:r>
      <w:r>
        <w:rPr>
          <w:rStyle w:val="apple-converted-space"/>
          <w:rFonts w:ascii="Georgia" w:hAnsi="Georgia"/>
          <w:color w:val="333333"/>
          <w:sz w:val="20"/>
          <w:szCs w:val="20"/>
        </w:rPr>
        <w:t> </w:t>
      </w:r>
      <w:r>
        <w:rPr>
          <w:rStyle w:val="mi"/>
          <w:rFonts w:ascii="MathJax_Math" w:hAnsi="MathJax_Math"/>
          <w:i/>
          <w:iCs/>
          <w:color w:val="333333"/>
          <w:sz w:val="20"/>
          <w:szCs w:val="20"/>
        </w:rPr>
        <w:t>t</w:t>
      </w:r>
      <w:r>
        <w:rPr>
          <w:rStyle w:val="mi"/>
          <w:rFonts w:ascii="MathJax_Math" w:hAnsi="MathJax_Math"/>
          <w:i/>
          <w:iCs/>
          <w:color w:val="333333"/>
          <w:sz w:val="15"/>
          <w:szCs w:val="15"/>
        </w:rPr>
        <w:t>α</w:t>
      </w:r>
      <w:r>
        <w:rPr>
          <w:rStyle w:val="mo"/>
          <w:rFonts w:ascii="MathJax_Size1" w:hAnsi="MathJax_Size1"/>
          <w:color w:val="333333"/>
          <w:sz w:val="15"/>
          <w:szCs w:val="15"/>
        </w:rPr>
        <w:t>/</w:t>
      </w:r>
      <w:r>
        <w:rPr>
          <w:rStyle w:val="mn"/>
          <w:rFonts w:ascii="MathJax_Main" w:hAnsi="MathJax_Main"/>
          <w:color w:val="333333"/>
          <w:sz w:val="15"/>
          <w:szCs w:val="15"/>
        </w:rPr>
        <w:t>2</w:t>
      </w:r>
      <w:r>
        <w:rPr>
          <w:rStyle w:val="apple-converted-space"/>
          <w:rFonts w:ascii="Georgia" w:hAnsi="Georgia"/>
          <w:color w:val="333333"/>
          <w:sz w:val="20"/>
          <w:szCs w:val="20"/>
        </w:rPr>
        <w:t> </w:t>
      </w:r>
      <w:r>
        <w:rPr>
          <w:rFonts w:ascii="Georgia" w:hAnsi="Georgia"/>
          <w:color w:val="333333"/>
          <w:sz w:val="20"/>
          <w:szCs w:val="20"/>
        </w:rPr>
        <w:t>is</w:t>
      </w:r>
      <w:r>
        <w:rPr>
          <w:rStyle w:val="apple-converted-space"/>
          <w:rFonts w:ascii="Georgia" w:hAnsi="Georgia"/>
          <w:color w:val="333333"/>
          <w:sz w:val="20"/>
          <w:szCs w:val="20"/>
        </w:rPr>
        <w:t> </w:t>
      </w:r>
      <w:r>
        <w:rPr>
          <w:rStyle w:val="mi"/>
          <w:rFonts w:ascii="MathJax_Math" w:hAnsi="MathJax_Math"/>
          <w:i/>
          <w:iCs/>
          <w:color w:val="333333"/>
          <w:sz w:val="20"/>
          <w:szCs w:val="20"/>
        </w:rPr>
        <w:t>df</w:t>
      </w:r>
      <w:r>
        <w:rPr>
          <w:rStyle w:val="mo"/>
          <w:rFonts w:ascii="MathJax_Main" w:hAnsi="MathJax_Main"/>
          <w:color w:val="333333"/>
          <w:sz w:val="20"/>
          <w:szCs w:val="20"/>
        </w:rPr>
        <w:t>=</w:t>
      </w:r>
      <w:r>
        <w:rPr>
          <w:rStyle w:val="mi"/>
          <w:rFonts w:ascii="MathJax_Math" w:hAnsi="MathJax_Math"/>
          <w:i/>
          <w:iCs/>
          <w:color w:val="333333"/>
          <w:sz w:val="20"/>
          <w:szCs w:val="20"/>
        </w:rPr>
        <w:t>n</w:t>
      </w:r>
      <w:r>
        <w:rPr>
          <w:rStyle w:val="mtext"/>
          <w:rFonts w:ascii="MathJax_Main" w:hAnsi="MathJax_Main"/>
          <w:color w:val="333333"/>
          <w:sz w:val="20"/>
          <w:szCs w:val="20"/>
        </w:rPr>
        <w:t>−</w:t>
      </w:r>
      <w:r>
        <w:rPr>
          <w:rStyle w:val="mn"/>
          <w:rFonts w:ascii="MathJax_Main" w:hAnsi="MathJax_Main"/>
          <w:color w:val="333333"/>
          <w:sz w:val="20"/>
          <w:szCs w:val="20"/>
        </w:rPr>
        <w:t>2</w:t>
      </w:r>
      <w:r>
        <w:rPr>
          <w:rStyle w:val="mo"/>
          <w:rFonts w:ascii="MathJax_Main" w:hAnsi="MathJax_Main"/>
          <w:color w:val="333333"/>
          <w:sz w:val="20"/>
          <w:szCs w:val="20"/>
        </w:rPr>
        <w:t>.</w:t>
      </w:r>
    </w:p>
    <w:p w:rsidR="00AD77BB" w:rsidRDefault="00B45BA0">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The assumptions listed in</w:t>
      </w:r>
      <w:r>
        <w:rPr>
          <w:rStyle w:val="apple-converted-space"/>
          <w:rFonts w:ascii="Georgia" w:hAnsi="Georgia"/>
          <w:color w:val="333333"/>
          <w:sz w:val="20"/>
          <w:szCs w:val="20"/>
        </w:rPr>
        <w:t> </w:t>
      </w:r>
      <w:r>
        <w:rPr>
          <w:rFonts w:ascii="Georgia" w:hAnsi="Georgia"/>
          <w:color w:val="2689C6"/>
          <w:sz w:val="20"/>
          <w:szCs w:val="20"/>
        </w:rPr>
        <w:t>Section 10.3 "Modelling Linear Relationships with Randomness Present"</w:t>
      </w:r>
      <w:r>
        <w:rPr>
          <w:rStyle w:val="apple-converted-space"/>
          <w:rFonts w:ascii="Georgia" w:hAnsi="Georgia"/>
          <w:color w:val="333333"/>
          <w:sz w:val="20"/>
          <w:szCs w:val="20"/>
        </w:rPr>
        <w:t> </w:t>
      </w:r>
      <w:r>
        <w:rPr>
          <w:rFonts w:ascii="Georgia" w:hAnsi="Georgia"/>
          <w:color w:val="333333"/>
          <w:sz w:val="20"/>
          <w:szCs w:val="20"/>
        </w:rPr>
        <w:t>must hold.</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EXAMPLE 12</w:t>
      </w:r>
    </w:p>
    <w:p w:rsidR="00AD77BB" w:rsidRDefault="00B45BA0">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Using the sample data of</w:t>
      </w:r>
      <w:r>
        <w:rPr>
          <w:rStyle w:val="apple-converted-space"/>
          <w:rFonts w:ascii="Calibri" w:hAnsi="Calibri"/>
          <w:color w:val="333333"/>
          <w:sz w:val="20"/>
          <w:szCs w:val="20"/>
        </w:rPr>
        <w:t> </w:t>
      </w:r>
      <w:r>
        <w:rPr>
          <w:rFonts w:ascii="Calibri" w:hAnsi="Calibri"/>
          <w:color w:val="2689C6"/>
          <w:sz w:val="20"/>
          <w:szCs w:val="20"/>
        </w:rPr>
        <w:t>Note 10.19 "Example 3"</w:t>
      </w:r>
      <w:r>
        <w:rPr>
          <w:rStyle w:val="apple-converted-space"/>
          <w:rFonts w:ascii="Calibri" w:hAnsi="Calibri"/>
          <w:color w:val="333333"/>
          <w:sz w:val="20"/>
          <w:szCs w:val="20"/>
        </w:rPr>
        <w:t> </w:t>
      </w:r>
      <w:r>
        <w:rPr>
          <w:rFonts w:ascii="Calibri" w:hAnsi="Calibri"/>
          <w:color w:val="333333"/>
          <w:sz w:val="20"/>
          <w:szCs w:val="20"/>
        </w:rPr>
        <w:t>in</w:t>
      </w:r>
      <w:r>
        <w:rPr>
          <w:rStyle w:val="apple-converted-space"/>
          <w:rFonts w:ascii="Calibri" w:hAnsi="Calibri"/>
          <w:color w:val="333333"/>
          <w:sz w:val="20"/>
          <w:szCs w:val="20"/>
        </w:rPr>
        <w:t> </w:t>
      </w:r>
      <w:r>
        <w:rPr>
          <w:rFonts w:ascii="Calibri" w:hAnsi="Calibri"/>
          <w:color w:val="2689C6"/>
          <w:sz w:val="20"/>
          <w:szCs w:val="20"/>
        </w:rPr>
        <w:t>Section 10.4 "The Least Squares Regression Line"</w:t>
      </w:r>
      <w:r>
        <w:rPr>
          <w:rFonts w:ascii="Calibri" w:hAnsi="Calibri"/>
          <w:color w:val="333333"/>
          <w:sz w:val="20"/>
          <w:szCs w:val="20"/>
        </w:rPr>
        <w:t>, recorded in</w:t>
      </w:r>
      <w:r>
        <w:rPr>
          <w:rStyle w:val="apple-converted-space"/>
          <w:rFonts w:ascii="Calibri" w:hAnsi="Calibri"/>
          <w:color w:val="333333"/>
          <w:sz w:val="20"/>
          <w:szCs w:val="20"/>
        </w:rPr>
        <w:t> </w:t>
      </w:r>
      <w:r>
        <w:rPr>
          <w:rFonts w:ascii="Calibri" w:hAnsi="Calibri"/>
          <w:color w:val="2689C6"/>
          <w:sz w:val="20"/>
          <w:szCs w:val="20"/>
        </w:rPr>
        <w:t>Table 10.3 "Data on Age and Value of Used Automobiles of a Specific Make and Model"</w:t>
      </w:r>
      <w:r>
        <w:rPr>
          <w:rFonts w:ascii="Calibri" w:hAnsi="Calibri"/>
          <w:color w:val="333333"/>
          <w:sz w:val="20"/>
          <w:szCs w:val="20"/>
        </w:rPr>
        <w:t>, construct a 95% confidence interval for the average value of all three-and-one-half-year-old automobiles of this make and model.</w:t>
      </w:r>
    </w:p>
    <w:p w:rsidR="00AD77BB" w:rsidRDefault="00B45BA0">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Solution:</w:t>
      </w:r>
    </w:p>
    <w:p w:rsidR="00AD77BB" w:rsidRDefault="00AD77BB">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rPr>
      </w:pPr>
    </w:p>
    <w:p w:rsidR="00AD77BB" w:rsidRDefault="00B45BA0">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rPr>
      </w:pPr>
      <w:r>
        <w:rPr>
          <w:rFonts w:ascii="Calibri" w:hAnsi="Calibri"/>
          <w:color w:val="333333"/>
          <w:sz w:val="20"/>
          <w:szCs w:val="20"/>
        </w:rPr>
        <w:t>Solving this problem is merely a matter of finding the values of</w:t>
      </w:r>
      <w:r>
        <w:rPr>
          <w:rStyle w:val="apple-converted-space"/>
          <w:rFonts w:ascii="Calibri" w:hAnsi="Calibri"/>
          <w:color w:val="333333"/>
          <w:sz w:val="20"/>
          <w:szCs w:val="20"/>
        </w:rPr>
        <w:t> </w:t>
      </w:r>
      <w:r>
        <w:rPr>
          <w:rStyle w:val="mi"/>
          <w:rFonts w:ascii="MathJax_Math" w:hAnsi="MathJax_Math"/>
          <w:b/>
          <w:i/>
          <w:iCs/>
          <w:color w:val="333333"/>
          <w:sz w:val="17"/>
          <w:szCs w:val="17"/>
        </w:rPr>
        <w:t>y</w:t>
      </w:r>
      <w:r>
        <w:rPr>
          <w:rStyle w:val="mo"/>
          <w:rFonts w:ascii="MathJax_Main" w:hAnsi="MathJax_Main"/>
          <w:b/>
          <w:color w:val="333333"/>
          <w:sz w:val="17"/>
          <w:szCs w:val="17"/>
        </w:rPr>
        <w:t>ˆ</w:t>
      </w:r>
      <w:r>
        <w:rPr>
          <w:rStyle w:val="mi"/>
          <w:rFonts w:ascii="MathJax_Math" w:hAnsi="MathJax_Math"/>
          <w:b/>
          <w:i/>
          <w:iCs/>
          <w:color w:val="333333"/>
          <w:sz w:val="12"/>
          <w:szCs w:val="12"/>
        </w:rPr>
        <w:t>p</w:t>
      </w:r>
      <w:r>
        <w:rPr>
          <w:rFonts w:ascii="Calibri" w:hAnsi="Calibri"/>
          <w:color w:val="333333"/>
          <w:sz w:val="20"/>
          <w:szCs w:val="20"/>
        </w:rPr>
        <w:t>,</w:t>
      </w:r>
      <w:r>
        <w:rPr>
          <w:rStyle w:val="apple-converted-space"/>
          <w:rFonts w:ascii="Calibri" w:hAnsi="Calibri"/>
          <w:color w:val="333333"/>
          <w:sz w:val="20"/>
          <w:szCs w:val="20"/>
        </w:rPr>
        <w:t> </w:t>
      </w:r>
      <w:r>
        <w:rPr>
          <w:rStyle w:val="mi"/>
          <w:rFonts w:ascii="MathJax_Math" w:hAnsi="MathJax_Math"/>
          <w:i/>
          <w:iCs/>
          <w:color w:val="333333"/>
          <w:sz w:val="17"/>
          <w:szCs w:val="17"/>
        </w:rPr>
        <w:t>α</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mi"/>
          <w:rFonts w:ascii="MathJax_Math" w:hAnsi="MathJax_Math"/>
          <w:b/>
          <w:i/>
          <w:iCs/>
          <w:color w:val="333333"/>
          <w:sz w:val="17"/>
          <w:szCs w:val="17"/>
        </w:rPr>
        <w:t>t</w:t>
      </w:r>
      <w:r>
        <w:rPr>
          <w:rStyle w:val="mi"/>
          <w:rFonts w:ascii="MathJax_Math" w:hAnsi="MathJax_Math"/>
          <w:b/>
          <w:i/>
          <w:iCs/>
          <w:color w:val="333333"/>
          <w:sz w:val="12"/>
          <w:szCs w:val="12"/>
        </w:rPr>
        <w:t>α</w:t>
      </w:r>
      <w:r>
        <w:rPr>
          <w:rStyle w:val="mo"/>
          <w:rFonts w:ascii="MathJax_Size1" w:hAnsi="MathJax_Size1"/>
          <w:b/>
          <w:color w:val="333333"/>
          <w:sz w:val="12"/>
          <w:szCs w:val="12"/>
        </w:rPr>
        <w:t>/</w:t>
      </w:r>
      <w:r>
        <w:rPr>
          <w:rStyle w:val="mn"/>
          <w:rFonts w:ascii="MathJax_Main" w:hAnsi="MathJax_Main"/>
          <w:b/>
          <w:color w:val="333333"/>
          <w:sz w:val="12"/>
          <w:szCs w:val="12"/>
        </w:rPr>
        <w:t>2</w:t>
      </w:r>
      <w:r>
        <w:rPr>
          <w:rFonts w:ascii="Calibri" w:hAnsi="Calibri"/>
          <w:b/>
          <w:color w:val="333333"/>
          <w:sz w:val="20"/>
          <w:szCs w:val="20"/>
        </w:rPr>
        <w:t>,</w:t>
      </w:r>
      <w:r>
        <w:rPr>
          <w:rStyle w:val="apple-converted-space"/>
          <w:rFonts w:ascii="Calibri" w:hAnsi="Calibri"/>
          <w:b/>
          <w:color w:val="333333"/>
          <w:sz w:val="20"/>
          <w:szCs w:val="20"/>
        </w:rPr>
        <w:t> </w:t>
      </w:r>
      <w:r>
        <w:rPr>
          <w:rStyle w:val="mi"/>
          <w:rFonts w:ascii="MathJax_Math" w:hAnsi="MathJax_Math"/>
          <w:b/>
          <w:i/>
          <w:iCs/>
          <w:color w:val="333333"/>
          <w:sz w:val="17"/>
          <w:szCs w:val="17"/>
        </w:rPr>
        <w:t>s</w:t>
      </w:r>
      <w:r>
        <w:rPr>
          <w:rStyle w:val="mi"/>
          <w:rFonts w:ascii="MathJax_Math" w:hAnsi="MathJax_Math"/>
          <w:b/>
          <w:i/>
          <w:iCs/>
          <w:color w:val="333333"/>
          <w:sz w:val="12"/>
          <w:szCs w:val="12"/>
        </w:rPr>
        <w:t>ε</w:t>
      </w:r>
      <w:r>
        <w:rPr>
          <w:rFonts w:ascii="Calibri" w:hAnsi="Calibri"/>
          <w:b/>
          <w:color w:val="333333"/>
          <w:sz w:val="20"/>
          <w:szCs w:val="20"/>
        </w:rPr>
        <w:t>,</w:t>
      </w:r>
      <w:r>
        <w:rPr>
          <w:rStyle w:val="apple-converted-space"/>
          <w:rFonts w:ascii="Calibri" w:hAnsi="Calibri"/>
          <w:b/>
          <w:color w:val="333333"/>
          <w:sz w:val="20"/>
          <w:szCs w:val="20"/>
        </w:rPr>
        <w:t> </w:t>
      </w:r>
      <w:r>
        <w:rPr>
          <w:rStyle w:val="mi"/>
          <w:rFonts w:ascii="MathJax_Math" w:hAnsi="MathJax_Math"/>
          <w:b/>
          <w:i/>
          <w:iCs/>
          <w:color w:val="333333"/>
          <w:sz w:val="17"/>
          <w:szCs w:val="17"/>
        </w:rPr>
        <w:t>x</w:t>
      </w:r>
      <w:r>
        <w:rPr>
          <w:rStyle w:val="mo"/>
          <w:rFonts w:ascii="MathJax_Main" w:hAnsi="MathJax_Main"/>
          <w:b/>
          <w:color w:val="333333"/>
          <w:sz w:val="17"/>
          <w:szCs w:val="17"/>
        </w:rPr>
        <w:t>−</w:t>
      </w:r>
      <w:r>
        <w:rPr>
          <w:rFonts w:ascii="Calibri" w:hAnsi="Calibri"/>
          <w:color w:val="333333"/>
          <w:sz w:val="20"/>
          <w:szCs w:val="20"/>
        </w:rPr>
        <w:t>, and</w:t>
      </w:r>
      <w:r>
        <w:rPr>
          <w:rStyle w:val="apple-converted-space"/>
          <w:rFonts w:ascii="Calibri" w:hAnsi="Calibri"/>
          <w:b/>
          <w:color w:val="333333"/>
          <w:sz w:val="20"/>
          <w:szCs w:val="20"/>
        </w:rPr>
        <w:t> </w:t>
      </w:r>
      <w:r>
        <w:rPr>
          <w:rStyle w:val="mi"/>
          <w:rFonts w:ascii="MathJax_Math" w:hAnsi="MathJax_Math"/>
          <w:b/>
          <w:i/>
          <w:iCs/>
          <w:color w:val="333333"/>
          <w:sz w:val="17"/>
          <w:szCs w:val="17"/>
        </w:rPr>
        <w:t>SS</w:t>
      </w:r>
      <w:r>
        <w:rPr>
          <w:rStyle w:val="mi"/>
          <w:rFonts w:ascii="MathJax_Math" w:hAnsi="MathJax_Math"/>
          <w:b/>
          <w:i/>
          <w:iCs/>
          <w:color w:val="333333"/>
          <w:sz w:val="12"/>
          <w:szCs w:val="12"/>
        </w:rPr>
        <w:t>xx</w:t>
      </w:r>
      <w:r>
        <w:rPr>
          <w:rStyle w:val="apple-converted-space"/>
          <w:rFonts w:ascii="Calibri" w:hAnsi="Calibri"/>
          <w:color w:val="333333"/>
          <w:sz w:val="20"/>
          <w:szCs w:val="20"/>
        </w:rPr>
        <w:t> </w:t>
      </w:r>
      <w:r>
        <w:rPr>
          <w:rFonts w:ascii="Calibri" w:hAnsi="Calibri"/>
          <w:color w:val="333333"/>
          <w:sz w:val="20"/>
          <w:szCs w:val="20"/>
        </w:rPr>
        <w:t>and inserting them into the confidence interval formula given just above. Most of these quantities are already known. From</w:t>
      </w:r>
      <w:r>
        <w:rPr>
          <w:rStyle w:val="apple-converted-space"/>
          <w:rFonts w:ascii="Calibri" w:hAnsi="Calibri"/>
          <w:color w:val="333333"/>
          <w:sz w:val="20"/>
          <w:szCs w:val="20"/>
        </w:rPr>
        <w:t> </w:t>
      </w:r>
      <w:r>
        <w:rPr>
          <w:rFonts w:ascii="Calibri" w:hAnsi="Calibri"/>
          <w:color w:val="2689C6"/>
          <w:sz w:val="20"/>
          <w:szCs w:val="20"/>
        </w:rPr>
        <w:t>Note 10.19 "Example 3"</w:t>
      </w:r>
      <w:r>
        <w:rPr>
          <w:rStyle w:val="apple-converted-space"/>
          <w:rFonts w:ascii="Calibri" w:hAnsi="Calibri"/>
          <w:color w:val="333333"/>
          <w:sz w:val="20"/>
          <w:szCs w:val="20"/>
        </w:rPr>
        <w:t> </w:t>
      </w:r>
      <w:r>
        <w:rPr>
          <w:rFonts w:ascii="Calibri" w:hAnsi="Calibri"/>
          <w:color w:val="333333"/>
          <w:sz w:val="20"/>
          <w:szCs w:val="20"/>
        </w:rPr>
        <w:t>in</w:t>
      </w:r>
      <w:r>
        <w:rPr>
          <w:rStyle w:val="apple-converted-space"/>
          <w:rFonts w:ascii="Calibri" w:hAnsi="Calibri"/>
          <w:color w:val="333333"/>
          <w:sz w:val="20"/>
          <w:szCs w:val="20"/>
        </w:rPr>
        <w:t> </w:t>
      </w:r>
      <w:r>
        <w:rPr>
          <w:rFonts w:ascii="Calibri" w:hAnsi="Calibri"/>
          <w:color w:val="2689C6"/>
          <w:sz w:val="20"/>
          <w:szCs w:val="20"/>
        </w:rPr>
        <w:t>Section 10.4 "The Least Squares Regression Line"</w:t>
      </w:r>
      <w:r>
        <w:rPr>
          <w:rFonts w:ascii="Calibri" w:hAnsi="Calibri"/>
          <w:color w:val="333333"/>
          <w:sz w:val="20"/>
          <w:szCs w:val="20"/>
        </w:rPr>
        <w:t>,</w:t>
      </w:r>
      <w:r>
        <w:rPr>
          <w:rStyle w:val="apple-converted-space"/>
          <w:rFonts w:ascii="Calibri" w:hAnsi="Calibri"/>
          <w:color w:val="333333"/>
          <w:sz w:val="20"/>
          <w:szCs w:val="20"/>
        </w:rPr>
        <w:t> </w:t>
      </w:r>
      <w:r>
        <w:rPr>
          <w:rStyle w:val="mi"/>
          <w:rFonts w:ascii="MathJax_Math" w:hAnsi="MathJax_Math"/>
          <w:b/>
          <w:i/>
          <w:iCs/>
          <w:color w:val="333333"/>
          <w:sz w:val="17"/>
          <w:szCs w:val="17"/>
        </w:rPr>
        <w:t>SS</w:t>
      </w:r>
      <w:r>
        <w:rPr>
          <w:rStyle w:val="mi"/>
          <w:rFonts w:ascii="MathJax_Math" w:hAnsi="MathJax_Math"/>
          <w:b/>
          <w:i/>
          <w:iCs/>
          <w:color w:val="333333"/>
          <w:sz w:val="12"/>
          <w:szCs w:val="12"/>
        </w:rPr>
        <w:t>xx</w:t>
      </w:r>
      <w:r>
        <w:rPr>
          <w:rStyle w:val="mo"/>
          <w:rFonts w:ascii="MathJax_Main" w:hAnsi="MathJax_Main"/>
          <w:b/>
          <w:color w:val="333333"/>
          <w:sz w:val="17"/>
          <w:szCs w:val="17"/>
        </w:rPr>
        <w:t>=</w:t>
      </w:r>
      <w:r>
        <w:rPr>
          <w:rStyle w:val="mn"/>
          <w:rFonts w:ascii="MathJax_Main" w:hAnsi="MathJax_Main"/>
          <w:b/>
          <w:color w:val="333333"/>
          <w:sz w:val="17"/>
          <w:szCs w:val="17"/>
        </w:rPr>
        <w:t>14</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mi"/>
          <w:rFonts w:ascii="MathJax_Math" w:hAnsi="MathJax_Math"/>
          <w:b/>
          <w:i/>
          <w:iCs/>
          <w:color w:val="333333"/>
          <w:sz w:val="17"/>
          <w:szCs w:val="17"/>
        </w:rPr>
        <w:t>x</w:t>
      </w:r>
      <w:r>
        <w:rPr>
          <w:rStyle w:val="mo"/>
          <w:rFonts w:ascii="MathJax_Main" w:hAnsi="MathJax_Main"/>
          <w:b/>
          <w:color w:val="333333"/>
          <w:sz w:val="17"/>
          <w:szCs w:val="17"/>
        </w:rPr>
        <w:t>−=</w:t>
      </w:r>
      <w:r>
        <w:rPr>
          <w:rStyle w:val="mn"/>
          <w:rFonts w:ascii="MathJax_Main" w:hAnsi="MathJax_Main"/>
          <w:b/>
          <w:color w:val="333333"/>
          <w:sz w:val="17"/>
          <w:szCs w:val="17"/>
        </w:rPr>
        <w:t>4</w:t>
      </w:r>
      <w:r>
        <w:rPr>
          <w:rStyle w:val="mo"/>
          <w:rFonts w:ascii="MathJax_Main" w:hAnsi="MathJax_Main"/>
          <w:color w:val="333333"/>
          <w:sz w:val="17"/>
          <w:szCs w:val="17"/>
        </w:rPr>
        <w:t>.</w:t>
      </w:r>
      <w:r>
        <w:rPr>
          <w:rStyle w:val="apple-converted-space"/>
          <w:rFonts w:ascii="Calibri" w:hAnsi="Calibri"/>
          <w:color w:val="333333"/>
          <w:sz w:val="20"/>
          <w:szCs w:val="20"/>
        </w:rPr>
        <w:t> </w:t>
      </w:r>
      <w:r>
        <w:rPr>
          <w:rFonts w:ascii="Calibri" w:hAnsi="Calibri"/>
          <w:color w:val="333333"/>
          <w:sz w:val="20"/>
          <w:szCs w:val="20"/>
        </w:rPr>
        <w:t>From</w:t>
      </w:r>
      <w:r>
        <w:rPr>
          <w:rStyle w:val="apple-converted-space"/>
          <w:rFonts w:ascii="Calibri" w:hAnsi="Calibri"/>
          <w:color w:val="333333"/>
          <w:sz w:val="20"/>
          <w:szCs w:val="20"/>
        </w:rPr>
        <w:t> </w:t>
      </w:r>
      <w:r>
        <w:rPr>
          <w:rFonts w:ascii="Calibri" w:hAnsi="Calibri"/>
          <w:color w:val="2689C6"/>
          <w:sz w:val="20"/>
          <w:szCs w:val="20"/>
        </w:rPr>
        <w:t>Note 10.31 "Example 7"</w:t>
      </w:r>
      <w:r>
        <w:rPr>
          <w:rStyle w:val="apple-converted-space"/>
          <w:rFonts w:ascii="Calibri" w:hAnsi="Calibri"/>
          <w:color w:val="333333"/>
          <w:sz w:val="20"/>
          <w:szCs w:val="20"/>
        </w:rPr>
        <w:t> </w:t>
      </w:r>
      <w:r>
        <w:rPr>
          <w:rFonts w:ascii="Calibri" w:hAnsi="Calibri"/>
          <w:color w:val="333333"/>
          <w:sz w:val="20"/>
          <w:szCs w:val="20"/>
        </w:rPr>
        <w:t>in</w:t>
      </w:r>
      <w:r>
        <w:rPr>
          <w:rFonts w:ascii="Calibri" w:hAnsi="Calibri"/>
          <w:color w:val="2689C6"/>
          <w:sz w:val="20"/>
          <w:szCs w:val="20"/>
        </w:rPr>
        <w:t>Section 10.5 "Statistical Inferences About "</w:t>
      </w:r>
      <w:r>
        <w:rPr>
          <w:rFonts w:ascii="Calibri" w:hAnsi="Calibri"/>
          <w:color w:val="333333"/>
          <w:sz w:val="20"/>
          <w:szCs w:val="20"/>
        </w:rPr>
        <w:t>,</w:t>
      </w:r>
      <w:r>
        <w:rPr>
          <w:rStyle w:val="apple-converted-space"/>
          <w:rFonts w:ascii="Calibri" w:hAnsi="Calibri"/>
          <w:color w:val="333333"/>
          <w:sz w:val="20"/>
          <w:szCs w:val="20"/>
        </w:rPr>
        <w:t> </w:t>
      </w:r>
      <w:r>
        <w:rPr>
          <w:rStyle w:val="mi"/>
          <w:rFonts w:ascii="MathJax_Math" w:hAnsi="MathJax_Math"/>
          <w:b/>
          <w:i/>
          <w:iCs/>
          <w:color w:val="333333"/>
          <w:sz w:val="17"/>
          <w:szCs w:val="17"/>
        </w:rPr>
        <w:t>s</w:t>
      </w:r>
      <w:r>
        <w:rPr>
          <w:rStyle w:val="mi"/>
          <w:rFonts w:ascii="MathJax_Math" w:hAnsi="MathJax_Math"/>
          <w:b/>
          <w:i/>
          <w:iCs/>
          <w:color w:val="333333"/>
          <w:sz w:val="12"/>
          <w:szCs w:val="12"/>
        </w:rPr>
        <w:t>ε</w:t>
      </w:r>
      <w:r>
        <w:rPr>
          <w:rStyle w:val="mo"/>
          <w:rFonts w:ascii="MathJax_Main" w:hAnsi="MathJax_Main"/>
          <w:b/>
          <w:color w:val="333333"/>
          <w:sz w:val="17"/>
          <w:szCs w:val="17"/>
        </w:rPr>
        <w:t>=</w:t>
      </w:r>
      <w:r>
        <w:rPr>
          <w:rStyle w:val="mn"/>
          <w:rFonts w:ascii="MathJax_Main" w:hAnsi="MathJax_Main"/>
          <w:b/>
          <w:color w:val="333333"/>
          <w:sz w:val="17"/>
          <w:szCs w:val="17"/>
        </w:rPr>
        <w:t>1.902169814</w:t>
      </w:r>
      <w:r>
        <w:rPr>
          <w:rStyle w:val="mo"/>
          <w:rFonts w:ascii="MathJax_Main" w:hAnsi="MathJax_Main"/>
          <w:b/>
          <w:color w:val="333333"/>
          <w:sz w:val="17"/>
          <w:szCs w:val="17"/>
        </w:rPr>
        <w:t>.</w:t>
      </w:r>
    </w:p>
    <w:p w:rsidR="00AD77BB" w:rsidRDefault="00AD77BB">
      <w:pPr>
        <w:pStyle w:val="para"/>
        <w:shd w:val="clear" w:color="auto" w:fill="FFFFFF"/>
        <w:spacing w:before="0" w:beforeAutospacing="0" w:after="0" w:afterAutospacing="0" w:line="360" w:lineRule="auto"/>
        <w:ind w:left="720"/>
        <w:textAlignment w:val="baseline"/>
        <w:rPr>
          <w:rFonts w:ascii="Georgia" w:hAnsi="Georgia"/>
          <w:color w:val="333333"/>
          <w:sz w:val="21"/>
          <w:szCs w:val="21"/>
        </w:rPr>
      </w:pPr>
    </w:p>
    <w:p w:rsidR="00AD77BB" w:rsidRDefault="00B45BA0">
      <w:pPr>
        <w:tabs>
          <w:tab w:val="left" w:pos="5547"/>
        </w:tabs>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27D1D081" wp14:editId="3738B569">
            <wp:extent cx="5334000" cy="6705600"/>
            <wp:effectExtent l="0" t="0" r="0" b="0"/>
            <wp:docPr id="42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334000" cy="6705600"/>
                    </a:xfrm>
                    <a:prstGeom prst="rect">
                      <a:avLst/>
                    </a:prstGeom>
                    <a:noFill/>
                    <a:ln>
                      <a:noFill/>
                    </a:ln>
                  </pic:spPr>
                </pic:pic>
              </a:graphicData>
            </a:graphic>
          </wp:inline>
        </w:drawing>
      </w:r>
    </w:p>
    <w:p w:rsidR="00AD77BB" w:rsidRDefault="00AD77BB">
      <w:pPr>
        <w:tabs>
          <w:tab w:val="left" w:pos="5547"/>
        </w:tabs>
        <w:rPr>
          <w:rFonts w:ascii="Calibri" w:eastAsia="Times New Roman" w:hAnsi="Calibri" w:cs="Times New Roman"/>
          <w:sz w:val="20"/>
          <w:szCs w:val="20"/>
        </w:rPr>
      </w:pPr>
    </w:p>
    <w:p w:rsidR="00AD77BB" w:rsidRDefault="00B45BA0">
      <w:pPr>
        <w:tabs>
          <w:tab w:val="left" w:pos="5547"/>
        </w:tabs>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1594611A" wp14:editId="785DE1C2">
            <wp:extent cx="5286375" cy="5038725"/>
            <wp:effectExtent l="0" t="0" r="9525" b="9525"/>
            <wp:docPr id="42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286375" cy="5038725"/>
                    </a:xfrm>
                    <a:prstGeom prst="rect">
                      <a:avLst/>
                    </a:prstGeom>
                    <a:noFill/>
                    <a:ln>
                      <a:noFill/>
                    </a:ln>
                  </pic:spPr>
                </pic:pic>
              </a:graphicData>
            </a:graphic>
          </wp:inline>
        </w:drawing>
      </w:r>
    </w:p>
    <w:p w:rsidR="00AD77BB" w:rsidRDefault="00B45BA0">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rsidR="00AD77BB" w:rsidRDefault="00B45BA0">
      <w:pPr>
        <w:numPr>
          <w:ilvl w:val="0"/>
          <w:numId w:val="294"/>
        </w:numPr>
        <w:shd w:val="clear" w:color="auto" w:fill="ECF9EA"/>
        <w:spacing w:after="0" w:line="360" w:lineRule="auto"/>
        <w:ind w:left="360" w:right="375"/>
        <w:textAlignment w:val="baseline"/>
        <w:rPr>
          <w:rFonts w:ascii="Calibri" w:hAnsi="Calibri"/>
          <w:color w:val="333333"/>
          <w:sz w:val="20"/>
          <w:szCs w:val="20"/>
        </w:rPr>
      </w:pPr>
      <w:r>
        <w:rPr>
          <w:rFonts w:ascii="Calibri" w:hAnsi="Calibri"/>
          <w:color w:val="333333"/>
          <w:sz w:val="20"/>
          <w:szCs w:val="20"/>
        </w:rPr>
        <w:t>A confidence interval is used to estimate the mean value of</w:t>
      </w:r>
      <w:r>
        <w:rPr>
          <w:rStyle w:val="apple-converted-space"/>
          <w:rFonts w:ascii="Calibri" w:hAnsi="Calibri"/>
          <w:color w:val="333333"/>
          <w:sz w:val="20"/>
          <w:szCs w:val="20"/>
        </w:rPr>
        <w:t> </w:t>
      </w:r>
      <w:r>
        <w:rPr>
          <w:rStyle w:val="Emphasis"/>
          <w:rFonts w:ascii="Calibri" w:hAnsi="Calibri"/>
          <w:color w:val="333333"/>
          <w:sz w:val="20"/>
          <w:szCs w:val="20"/>
        </w:rPr>
        <w:t>y</w:t>
      </w:r>
      <w:r>
        <w:rPr>
          <w:rStyle w:val="apple-converted-space"/>
          <w:rFonts w:ascii="Calibri" w:hAnsi="Calibri"/>
          <w:color w:val="333333"/>
          <w:sz w:val="20"/>
          <w:szCs w:val="20"/>
        </w:rPr>
        <w:t> </w:t>
      </w:r>
      <w:r>
        <w:rPr>
          <w:rFonts w:ascii="Calibri" w:hAnsi="Calibri"/>
          <w:color w:val="333333"/>
          <w:sz w:val="20"/>
          <w:szCs w:val="20"/>
        </w:rPr>
        <w:t>in the sub-population determined by the condition that</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have some specific value</w:t>
      </w:r>
      <w:r>
        <w:rPr>
          <w:rStyle w:val="apple-converted-space"/>
          <w:rFonts w:ascii="Calibri" w:hAnsi="Calibri"/>
          <w:color w:val="333333"/>
          <w:sz w:val="20"/>
          <w:szCs w:val="20"/>
        </w:rPr>
        <w:t> </w:t>
      </w:r>
      <w:r>
        <w:rPr>
          <w:rStyle w:val="Emphasis"/>
          <w:rFonts w:ascii="Calibri" w:hAnsi="Calibri"/>
          <w:color w:val="333333"/>
          <w:sz w:val="20"/>
          <w:szCs w:val="20"/>
        </w:rPr>
        <w:t>x</w:t>
      </w:r>
      <w:r>
        <w:rPr>
          <w:rStyle w:val="Emphasis"/>
          <w:rFonts w:ascii="Calibri" w:hAnsi="Calibri"/>
          <w:color w:val="333333"/>
          <w:sz w:val="15"/>
          <w:szCs w:val="15"/>
          <w:vertAlign w:val="subscript"/>
        </w:rPr>
        <w:t>p</w:t>
      </w:r>
      <w:r>
        <w:rPr>
          <w:rFonts w:ascii="Calibri" w:hAnsi="Calibri"/>
          <w:color w:val="333333"/>
          <w:sz w:val="20"/>
          <w:szCs w:val="20"/>
        </w:rPr>
        <w:t>.</w:t>
      </w:r>
    </w:p>
    <w:p w:rsidR="00AD77BB" w:rsidRDefault="00B45BA0">
      <w:pPr>
        <w:numPr>
          <w:ilvl w:val="0"/>
          <w:numId w:val="294"/>
        </w:numPr>
        <w:shd w:val="clear" w:color="auto" w:fill="ECF9EA"/>
        <w:spacing w:after="0" w:line="360" w:lineRule="auto"/>
        <w:ind w:left="360" w:right="375"/>
        <w:textAlignment w:val="baseline"/>
        <w:rPr>
          <w:rFonts w:ascii="Calibri" w:hAnsi="Calibri"/>
          <w:color w:val="333333"/>
          <w:sz w:val="20"/>
          <w:szCs w:val="20"/>
        </w:rPr>
      </w:pPr>
      <w:r>
        <w:rPr>
          <w:rFonts w:ascii="Calibri" w:hAnsi="Calibri"/>
          <w:color w:val="333333"/>
          <w:sz w:val="20"/>
          <w:szCs w:val="20"/>
        </w:rPr>
        <w:t>The prediction interval is used to predict the value that the random variable</w:t>
      </w:r>
      <w:r>
        <w:rPr>
          <w:rStyle w:val="apple-converted-space"/>
          <w:rFonts w:ascii="Calibri" w:hAnsi="Calibri"/>
          <w:color w:val="333333"/>
          <w:sz w:val="20"/>
          <w:szCs w:val="20"/>
        </w:rPr>
        <w:t> </w:t>
      </w:r>
      <w:r>
        <w:rPr>
          <w:rStyle w:val="Emphasis"/>
          <w:rFonts w:ascii="Calibri" w:hAnsi="Calibri"/>
          <w:color w:val="333333"/>
          <w:sz w:val="20"/>
          <w:szCs w:val="20"/>
        </w:rPr>
        <w:t>y</w:t>
      </w:r>
      <w:r>
        <w:rPr>
          <w:rStyle w:val="apple-converted-space"/>
          <w:rFonts w:ascii="Calibri" w:hAnsi="Calibri"/>
          <w:color w:val="333333"/>
          <w:sz w:val="20"/>
          <w:szCs w:val="20"/>
        </w:rPr>
        <w:t> </w:t>
      </w:r>
      <w:r>
        <w:rPr>
          <w:rFonts w:ascii="Calibri" w:hAnsi="Calibri"/>
          <w:color w:val="333333"/>
          <w:sz w:val="20"/>
          <w:szCs w:val="20"/>
        </w:rPr>
        <w:t>will take when</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has some specific value</w:t>
      </w:r>
      <w:r>
        <w:rPr>
          <w:rStyle w:val="apple-converted-space"/>
          <w:rFonts w:ascii="Calibri" w:hAnsi="Calibri"/>
          <w:color w:val="333333"/>
          <w:sz w:val="20"/>
          <w:szCs w:val="20"/>
        </w:rPr>
        <w:t> </w:t>
      </w:r>
      <w:r>
        <w:rPr>
          <w:rStyle w:val="Emphasis"/>
          <w:rFonts w:ascii="Calibri" w:hAnsi="Calibri"/>
          <w:color w:val="333333"/>
          <w:sz w:val="20"/>
          <w:szCs w:val="20"/>
        </w:rPr>
        <w:t>x</w:t>
      </w:r>
      <w:r>
        <w:rPr>
          <w:rStyle w:val="Emphasis"/>
          <w:rFonts w:ascii="Calibri" w:hAnsi="Calibri"/>
          <w:color w:val="333333"/>
          <w:sz w:val="15"/>
          <w:szCs w:val="15"/>
          <w:vertAlign w:val="subscript"/>
        </w:rPr>
        <w:t>p</w:t>
      </w:r>
      <w:r>
        <w:rPr>
          <w:rFonts w:ascii="Calibri" w:hAnsi="Calibri"/>
          <w:color w:val="333333"/>
          <w:sz w:val="20"/>
          <w:szCs w:val="20"/>
        </w:rPr>
        <w:t>.</w:t>
      </w:r>
    </w:p>
    <w:p w:rsidR="00AD77BB" w:rsidRDefault="00B45BA0">
      <w:pPr>
        <w:pStyle w:val="Heading3"/>
        <w:shd w:val="clear" w:color="auto" w:fill="08629A"/>
        <w:spacing w:before="0" w:beforeAutospacing="0" w:after="150" w:afterAutospacing="0" w:line="360" w:lineRule="auto"/>
        <w:jc w:val="center"/>
        <w:textAlignment w:val="baseline"/>
        <w:rPr>
          <w:rFonts w:ascii="Calibri" w:hAnsi="Calibri"/>
          <w:caps/>
          <w:color w:val="FFFFFF"/>
          <w:spacing w:val="30"/>
          <w:sz w:val="25"/>
          <w:szCs w:val="25"/>
        </w:rPr>
      </w:pPr>
      <w:r>
        <w:rPr>
          <w:rFonts w:ascii="Calibri" w:hAnsi="Calibri"/>
          <w:caps/>
          <w:color w:val="FFFFFF"/>
          <w:spacing w:val="30"/>
          <w:sz w:val="25"/>
          <w:szCs w:val="25"/>
        </w:rPr>
        <w:t>EXERCISES</w:t>
      </w:r>
    </w:p>
    <w:p w:rsidR="00AD77BB" w:rsidRDefault="00B45BA0">
      <w:pPr>
        <w:pStyle w:val="Heading3"/>
        <w:shd w:val="clear" w:color="auto" w:fill="08629A"/>
        <w:spacing w:before="0" w:beforeAutospacing="0" w:after="150" w:afterAutospacing="0" w:line="360" w:lineRule="auto"/>
        <w:jc w:val="center"/>
        <w:textAlignment w:val="baseline"/>
        <w:rPr>
          <w:rFonts w:ascii="Calibri" w:hAnsi="Calibri"/>
          <w:caps/>
          <w:color w:val="FFFFFF"/>
          <w:spacing w:val="30"/>
          <w:sz w:val="22"/>
          <w:szCs w:val="22"/>
        </w:rPr>
      </w:pPr>
      <w:r>
        <w:rPr>
          <w:rFonts w:ascii="Calibri" w:hAnsi="Calibri"/>
          <w:caps/>
          <w:color w:val="FFFFFF"/>
          <w:spacing w:val="30"/>
          <w:sz w:val="22"/>
          <w:szCs w:val="22"/>
        </w:rPr>
        <w:t>BASIC</w:t>
      </w:r>
    </w:p>
    <w:p w:rsidR="00AD77BB" w:rsidRDefault="00B45BA0">
      <w:pPr>
        <w:pStyle w:val="para"/>
        <w:shd w:val="clear" w:color="auto" w:fill="E3EFF7"/>
        <w:spacing w:before="150" w:beforeAutospacing="0" w:after="0" w:afterAutospacing="0" w:line="360" w:lineRule="auto"/>
        <w:ind w:left="300" w:right="375"/>
        <w:textAlignment w:val="baseline"/>
        <w:rPr>
          <w:rFonts w:ascii="Calibri" w:hAnsi="Calibri"/>
          <w:color w:val="333333"/>
          <w:sz w:val="20"/>
          <w:szCs w:val="20"/>
        </w:rPr>
      </w:pPr>
      <w:r>
        <w:rPr>
          <w:rFonts w:ascii="Calibri" w:hAnsi="Calibri"/>
          <w:color w:val="333333"/>
          <w:sz w:val="20"/>
          <w:szCs w:val="20"/>
        </w:rPr>
        <w:t>For the Basic and Application exercises in this section use the computations that were done for the exercises with the same number in previous sections.</w:t>
      </w:r>
    </w:p>
    <w:p w:rsidR="00AD77BB" w:rsidRDefault="00B45BA0">
      <w:pPr>
        <w:pStyle w:val="para"/>
        <w:numPr>
          <w:ilvl w:val="0"/>
          <w:numId w:val="295"/>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1 of</w:t>
      </w:r>
      <w:r>
        <w:rPr>
          <w:rStyle w:val="apple-converted-space"/>
          <w:rFonts w:ascii="Calibri" w:hAnsi="Calibri"/>
          <w:color w:val="333333"/>
          <w:sz w:val="20"/>
          <w:szCs w:val="20"/>
        </w:rPr>
        <w:t> </w:t>
      </w:r>
      <w:r>
        <w:rPr>
          <w:rFonts w:ascii="Calibri" w:eastAsiaTheme="majorEastAsia" w:hAnsi="Calibri"/>
          <w:color w:val="2689C6"/>
          <w:sz w:val="20"/>
          <w:szCs w:val="20"/>
        </w:rPr>
        <w:t>Section 10.2 "The Linear Correlation Coefficient"</w:t>
      </w:r>
    </w:p>
    <w:p w:rsidR="00AD77BB" w:rsidRDefault="00B45BA0">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lastRenderedPageBreak/>
        <w:t>Give a point estimate for the mean value of</w:t>
      </w:r>
      <w:r>
        <w:rPr>
          <w:rStyle w:val="apple-converted-space"/>
          <w:rFonts w:ascii="Calibri" w:hAnsi="Calibri"/>
          <w:color w:val="333333"/>
          <w:sz w:val="20"/>
          <w:szCs w:val="20"/>
        </w:rPr>
        <w:t> </w:t>
      </w:r>
      <w:r>
        <w:rPr>
          <w:rStyle w:val="Emphasis"/>
          <w:rFonts w:ascii="Calibri" w:hAnsi="Calibri"/>
          <w:color w:val="333333"/>
          <w:sz w:val="20"/>
          <w:szCs w:val="20"/>
        </w:rPr>
        <w:t>y</w:t>
      </w:r>
      <w:r>
        <w:rPr>
          <w:rStyle w:val="apple-converted-space"/>
          <w:rFonts w:ascii="Calibri" w:hAnsi="Calibri"/>
          <w:color w:val="333333"/>
          <w:sz w:val="20"/>
          <w:szCs w:val="20"/>
        </w:rPr>
        <w:t> </w:t>
      </w:r>
      <w:r>
        <w:rPr>
          <w:rFonts w:ascii="Calibri" w:hAnsi="Calibri"/>
          <w:color w:val="333333"/>
          <w:sz w:val="20"/>
          <w:szCs w:val="20"/>
        </w:rPr>
        <w:t>in the sub-population determined by the condition</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4.</w:t>
      </w:r>
    </w:p>
    <w:p w:rsidR="00AD77BB" w:rsidRDefault="00B45BA0">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Construct the 90% confidence interval for that mean value.</w:t>
      </w:r>
    </w:p>
    <w:p w:rsidR="00AD77BB" w:rsidRDefault="00B45BA0">
      <w:pPr>
        <w:pStyle w:val="para"/>
        <w:numPr>
          <w:ilvl w:val="0"/>
          <w:numId w:val="295"/>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2 of</w:t>
      </w:r>
      <w:r>
        <w:rPr>
          <w:rStyle w:val="apple-converted-space"/>
          <w:rFonts w:ascii="Calibri" w:hAnsi="Calibri"/>
          <w:color w:val="333333"/>
          <w:sz w:val="20"/>
          <w:szCs w:val="20"/>
        </w:rPr>
        <w:t> </w:t>
      </w:r>
      <w:r>
        <w:rPr>
          <w:rFonts w:ascii="Calibri" w:eastAsiaTheme="majorEastAsia" w:hAnsi="Calibri"/>
          <w:color w:val="2689C6"/>
          <w:sz w:val="20"/>
          <w:szCs w:val="20"/>
        </w:rPr>
        <w:t>Section 10.2 "The Linear Correlation Coefficient"</w:t>
      </w:r>
    </w:p>
    <w:p w:rsidR="00AD77BB" w:rsidRDefault="00B45BA0">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mean value of</w:t>
      </w:r>
      <w:r>
        <w:rPr>
          <w:rStyle w:val="apple-converted-space"/>
          <w:rFonts w:ascii="Calibri" w:hAnsi="Calibri"/>
          <w:color w:val="333333"/>
          <w:sz w:val="20"/>
          <w:szCs w:val="20"/>
        </w:rPr>
        <w:t> </w:t>
      </w:r>
      <w:r>
        <w:rPr>
          <w:rStyle w:val="Emphasis"/>
          <w:rFonts w:ascii="Calibri" w:hAnsi="Calibri"/>
          <w:color w:val="333333"/>
          <w:sz w:val="20"/>
          <w:szCs w:val="20"/>
        </w:rPr>
        <w:t>y</w:t>
      </w:r>
      <w:r>
        <w:rPr>
          <w:rStyle w:val="apple-converted-space"/>
          <w:rFonts w:ascii="Calibri" w:hAnsi="Calibri"/>
          <w:color w:val="333333"/>
          <w:sz w:val="20"/>
          <w:szCs w:val="20"/>
        </w:rPr>
        <w:t> </w:t>
      </w:r>
      <w:r>
        <w:rPr>
          <w:rFonts w:ascii="Calibri" w:hAnsi="Calibri"/>
          <w:color w:val="333333"/>
          <w:sz w:val="20"/>
          <w:szCs w:val="20"/>
        </w:rPr>
        <w:t>in the sub-population determined by the condition</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4.</w:t>
      </w:r>
    </w:p>
    <w:p w:rsidR="00AD77BB" w:rsidRDefault="00B45BA0">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Construct the 90% confidence interval for that mean value.</w:t>
      </w:r>
    </w:p>
    <w:p w:rsidR="00AD77BB" w:rsidRDefault="00B45BA0">
      <w:pPr>
        <w:pStyle w:val="para"/>
        <w:numPr>
          <w:ilvl w:val="0"/>
          <w:numId w:val="295"/>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3 of</w:t>
      </w:r>
      <w:r>
        <w:rPr>
          <w:rStyle w:val="apple-converted-space"/>
          <w:rFonts w:ascii="Calibri" w:hAnsi="Calibri"/>
          <w:color w:val="333333"/>
          <w:sz w:val="20"/>
          <w:szCs w:val="20"/>
        </w:rPr>
        <w:t> </w:t>
      </w:r>
      <w:r>
        <w:rPr>
          <w:rFonts w:ascii="Calibri" w:eastAsiaTheme="majorEastAsia" w:hAnsi="Calibri"/>
          <w:color w:val="2689C6"/>
          <w:sz w:val="20"/>
          <w:szCs w:val="20"/>
        </w:rPr>
        <w:t>Section 10.2 "The Linear Correlation Coefficient"</w:t>
      </w:r>
    </w:p>
    <w:p w:rsidR="00AD77BB" w:rsidRDefault="00B45BA0">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mean value of</w:t>
      </w:r>
      <w:r>
        <w:rPr>
          <w:rStyle w:val="apple-converted-space"/>
          <w:rFonts w:ascii="Calibri" w:hAnsi="Calibri"/>
          <w:color w:val="333333"/>
          <w:sz w:val="20"/>
          <w:szCs w:val="20"/>
        </w:rPr>
        <w:t> </w:t>
      </w:r>
      <w:r>
        <w:rPr>
          <w:rStyle w:val="Emphasis"/>
          <w:rFonts w:ascii="Calibri" w:hAnsi="Calibri"/>
          <w:color w:val="333333"/>
          <w:sz w:val="20"/>
          <w:szCs w:val="20"/>
        </w:rPr>
        <w:t>y</w:t>
      </w:r>
      <w:r>
        <w:rPr>
          <w:rStyle w:val="apple-converted-space"/>
          <w:rFonts w:ascii="Calibri" w:hAnsi="Calibri"/>
          <w:color w:val="333333"/>
          <w:sz w:val="20"/>
          <w:szCs w:val="20"/>
        </w:rPr>
        <w:t> </w:t>
      </w:r>
      <w:r>
        <w:rPr>
          <w:rFonts w:ascii="Calibri" w:hAnsi="Calibri"/>
          <w:color w:val="333333"/>
          <w:sz w:val="20"/>
          <w:szCs w:val="20"/>
        </w:rPr>
        <w:t>in the sub-population determined by the condition</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7.</w:t>
      </w:r>
    </w:p>
    <w:p w:rsidR="00AD77BB" w:rsidRDefault="00B45BA0">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Construct the 95% confidence interval for that mean value.</w:t>
      </w:r>
    </w:p>
    <w:p w:rsidR="00AD77BB" w:rsidRDefault="00B45BA0">
      <w:pPr>
        <w:pStyle w:val="para"/>
        <w:numPr>
          <w:ilvl w:val="0"/>
          <w:numId w:val="295"/>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4 of</w:t>
      </w:r>
      <w:r>
        <w:rPr>
          <w:rStyle w:val="apple-converted-space"/>
          <w:rFonts w:ascii="Calibri" w:hAnsi="Calibri"/>
          <w:color w:val="333333"/>
          <w:sz w:val="20"/>
          <w:szCs w:val="20"/>
        </w:rPr>
        <w:t> </w:t>
      </w:r>
      <w:r>
        <w:rPr>
          <w:rFonts w:ascii="Calibri" w:eastAsiaTheme="majorEastAsia" w:hAnsi="Calibri"/>
          <w:color w:val="2689C6"/>
          <w:sz w:val="20"/>
          <w:szCs w:val="20"/>
        </w:rPr>
        <w:t>Section 10.2 "The Linear Correlation Coefficient"</w:t>
      </w:r>
    </w:p>
    <w:p w:rsidR="00AD77BB" w:rsidRDefault="00B45BA0">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mean value of</w:t>
      </w:r>
      <w:r>
        <w:rPr>
          <w:rStyle w:val="apple-converted-space"/>
          <w:rFonts w:ascii="Calibri" w:hAnsi="Calibri"/>
          <w:color w:val="333333"/>
          <w:sz w:val="20"/>
          <w:szCs w:val="20"/>
        </w:rPr>
        <w:t> </w:t>
      </w:r>
      <w:r>
        <w:rPr>
          <w:rStyle w:val="Emphasis"/>
          <w:rFonts w:ascii="Calibri" w:hAnsi="Calibri"/>
          <w:color w:val="333333"/>
          <w:sz w:val="20"/>
          <w:szCs w:val="20"/>
        </w:rPr>
        <w:t>y</w:t>
      </w:r>
      <w:r>
        <w:rPr>
          <w:rStyle w:val="apple-converted-space"/>
          <w:rFonts w:ascii="Calibri" w:hAnsi="Calibri"/>
          <w:color w:val="333333"/>
          <w:sz w:val="20"/>
          <w:szCs w:val="20"/>
        </w:rPr>
        <w:t> </w:t>
      </w:r>
      <w:r>
        <w:rPr>
          <w:rFonts w:ascii="Calibri" w:hAnsi="Calibri"/>
          <w:color w:val="333333"/>
          <w:sz w:val="20"/>
          <w:szCs w:val="20"/>
        </w:rPr>
        <w:t>in the sub-population determined by the condition</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2.</w:t>
      </w:r>
    </w:p>
    <w:p w:rsidR="00AD77BB" w:rsidRDefault="00B45BA0">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Construct the 80% confidence interval for that mean value.</w:t>
      </w:r>
    </w:p>
    <w:p w:rsidR="00AD77BB" w:rsidRDefault="00B45BA0">
      <w:pPr>
        <w:pStyle w:val="para"/>
        <w:numPr>
          <w:ilvl w:val="0"/>
          <w:numId w:val="295"/>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5 of</w:t>
      </w:r>
      <w:r>
        <w:rPr>
          <w:rStyle w:val="apple-converted-space"/>
          <w:rFonts w:ascii="Calibri" w:hAnsi="Calibri"/>
          <w:color w:val="333333"/>
          <w:sz w:val="20"/>
          <w:szCs w:val="20"/>
        </w:rPr>
        <w:t> </w:t>
      </w:r>
      <w:r>
        <w:rPr>
          <w:rFonts w:ascii="Calibri" w:eastAsiaTheme="majorEastAsia" w:hAnsi="Calibri"/>
          <w:color w:val="2689C6"/>
          <w:sz w:val="20"/>
          <w:szCs w:val="20"/>
        </w:rPr>
        <w:t>Section 10.2 "The Linear Correlation Coefficient"</w:t>
      </w:r>
    </w:p>
    <w:p w:rsidR="00AD77BB" w:rsidRDefault="00B45BA0">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mean value of</w:t>
      </w:r>
      <w:r>
        <w:rPr>
          <w:rStyle w:val="apple-converted-space"/>
          <w:rFonts w:ascii="Calibri" w:hAnsi="Calibri"/>
          <w:color w:val="333333"/>
          <w:sz w:val="20"/>
          <w:szCs w:val="20"/>
        </w:rPr>
        <w:t> </w:t>
      </w:r>
      <w:r>
        <w:rPr>
          <w:rStyle w:val="Emphasis"/>
          <w:rFonts w:ascii="Calibri" w:hAnsi="Calibri"/>
          <w:color w:val="333333"/>
          <w:sz w:val="20"/>
          <w:szCs w:val="20"/>
        </w:rPr>
        <w:t>y</w:t>
      </w:r>
      <w:r>
        <w:rPr>
          <w:rStyle w:val="apple-converted-space"/>
          <w:rFonts w:ascii="Calibri" w:hAnsi="Calibri"/>
          <w:color w:val="333333"/>
          <w:sz w:val="20"/>
          <w:szCs w:val="20"/>
        </w:rPr>
        <w:t> </w:t>
      </w:r>
      <w:r>
        <w:rPr>
          <w:rFonts w:ascii="Calibri" w:hAnsi="Calibri"/>
          <w:color w:val="333333"/>
          <w:sz w:val="20"/>
          <w:szCs w:val="20"/>
        </w:rPr>
        <w:t>in the sub-population determined by the condition</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1.</w:t>
      </w:r>
    </w:p>
    <w:p w:rsidR="00AD77BB" w:rsidRDefault="00B45BA0">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Construct the 80% confidence interval for that mean value.</w:t>
      </w:r>
    </w:p>
    <w:p w:rsidR="00AD77BB" w:rsidRDefault="00B45BA0">
      <w:pPr>
        <w:pStyle w:val="para"/>
        <w:numPr>
          <w:ilvl w:val="0"/>
          <w:numId w:val="295"/>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6 of</w:t>
      </w:r>
      <w:r>
        <w:rPr>
          <w:rStyle w:val="apple-converted-space"/>
          <w:rFonts w:ascii="Calibri" w:hAnsi="Calibri"/>
          <w:color w:val="333333"/>
          <w:sz w:val="20"/>
          <w:szCs w:val="20"/>
        </w:rPr>
        <w:t> </w:t>
      </w:r>
      <w:r>
        <w:rPr>
          <w:rFonts w:ascii="Calibri" w:eastAsiaTheme="majorEastAsia" w:hAnsi="Calibri"/>
          <w:color w:val="2689C6"/>
          <w:sz w:val="20"/>
          <w:szCs w:val="20"/>
        </w:rPr>
        <w:t>Section 10.2 "The Linear Correlation Coefficient"</w:t>
      </w:r>
    </w:p>
    <w:p w:rsidR="00AD77BB" w:rsidRDefault="00B45BA0">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mean value of</w:t>
      </w:r>
      <w:r>
        <w:rPr>
          <w:rStyle w:val="apple-converted-space"/>
          <w:rFonts w:ascii="Calibri" w:hAnsi="Calibri"/>
          <w:color w:val="333333"/>
          <w:sz w:val="20"/>
          <w:szCs w:val="20"/>
        </w:rPr>
        <w:t> </w:t>
      </w:r>
      <w:r>
        <w:rPr>
          <w:rStyle w:val="Emphasis"/>
          <w:rFonts w:ascii="Calibri" w:hAnsi="Calibri"/>
          <w:color w:val="333333"/>
          <w:sz w:val="20"/>
          <w:szCs w:val="20"/>
        </w:rPr>
        <w:t>y</w:t>
      </w:r>
      <w:r>
        <w:rPr>
          <w:rStyle w:val="apple-converted-space"/>
          <w:rFonts w:ascii="Calibri" w:hAnsi="Calibri"/>
          <w:color w:val="333333"/>
          <w:sz w:val="20"/>
          <w:szCs w:val="20"/>
        </w:rPr>
        <w:t> </w:t>
      </w:r>
      <w:r>
        <w:rPr>
          <w:rFonts w:ascii="Calibri" w:hAnsi="Calibri"/>
          <w:color w:val="333333"/>
          <w:sz w:val="20"/>
          <w:szCs w:val="20"/>
        </w:rPr>
        <w:t>in the sub-population determined by the condition</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5.</w:t>
      </w:r>
    </w:p>
    <w:p w:rsidR="00AD77BB" w:rsidRDefault="00B45BA0">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Construct the 95% confidence interval for that mean value.</w:t>
      </w:r>
    </w:p>
    <w:p w:rsidR="00AD77BB" w:rsidRDefault="00B45BA0">
      <w:pPr>
        <w:pStyle w:val="para"/>
        <w:numPr>
          <w:ilvl w:val="0"/>
          <w:numId w:val="295"/>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7 of</w:t>
      </w:r>
      <w:r>
        <w:rPr>
          <w:rStyle w:val="apple-converted-space"/>
          <w:rFonts w:ascii="Calibri" w:hAnsi="Calibri"/>
          <w:color w:val="333333"/>
          <w:sz w:val="20"/>
          <w:szCs w:val="20"/>
        </w:rPr>
        <w:t> </w:t>
      </w:r>
      <w:r>
        <w:rPr>
          <w:rFonts w:ascii="Calibri" w:eastAsiaTheme="majorEastAsia" w:hAnsi="Calibri"/>
          <w:color w:val="2689C6"/>
          <w:sz w:val="20"/>
          <w:szCs w:val="20"/>
        </w:rPr>
        <w:t>Section 10.2 "The Linear Correlation Coefficient"</w:t>
      </w:r>
    </w:p>
    <w:p w:rsidR="00AD77BB" w:rsidRDefault="00B45BA0">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mean value of</w:t>
      </w:r>
      <w:r>
        <w:rPr>
          <w:rStyle w:val="apple-converted-space"/>
          <w:rFonts w:ascii="Calibri" w:hAnsi="Calibri"/>
          <w:color w:val="333333"/>
          <w:sz w:val="20"/>
          <w:szCs w:val="20"/>
        </w:rPr>
        <w:t> </w:t>
      </w:r>
      <w:r>
        <w:rPr>
          <w:rStyle w:val="Emphasis"/>
          <w:rFonts w:ascii="Calibri" w:hAnsi="Calibri"/>
          <w:color w:val="333333"/>
          <w:sz w:val="20"/>
          <w:szCs w:val="20"/>
        </w:rPr>
        <w:t>y</w:t>
      </w:r>
      <w:r>
        <w:rPr>
          <w:rStyle w:val="apple-converted-space"/>
          <w:rFonts w:ascii="Calibri" w:hAnsi="Calibri"/>
          <w:color w:val="333333"/>
          <w:sz w:val="20"/>
          <w:szCs w:val="20"/>
        </w:rPr>
        <w:t> </w:t>
      </w:r>
      <w:r>
        <w:rPr>
          <w:rFonts w:ascii="Calibri" w:hAnsi="Calibri"/>
          <w:color w:val="333333"/>
          <w:sz w:val="20"/>
          <w:szCs w:val="20"/>
        </w:rPr>
        <w:t>in the sub-population determined by the condition</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6.</w:t>
      </w:r>
    </w:p>
    <w:p w:rsidR="00AD77BB" w:rsidRDefault="00B45BA0">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Construct the 99% confidence interval for that mean value.</w:t>
      </w:r>
    </w:p>
    <w:p w:rsidR="00AD77BB" w:rsidRDefault="00B45BA0">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Is it valid to make the same estimates for</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12? Explain.</w:t>
      </w:r>
    </w:p>
    <w:p w:rsidR="00AD77BB" w:rsidRDefault="00B45BA0">
      <w:pPr>
        <w:pStyle w:val="para"/>
        <w:numPr>
          <w:ilvl w:val="0"/>
          <w:numId w:val="295"/>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8 of</w:t>
      </w:r>
      <w:r>
        <w:rPr>
          <w:rStyle w:val="apple-converted-space"/>
          <w:rFonts w:ascii="Calibri" w:hAnsi="Calibri"/>
          <w:color w:val="333333"/>
          <w:sz w:val="20"/>
          <w:szCs w:val="20"/>
        </w:rPr>
        <w:t> </w:t>
      </w:r>
      <w:r>
        <w:rPr>
          <w:rFonts w:ascii="Calibri" w:eastAsiaTheme="majorEastAsia" w:hAnsi="Calibri"/>
          <w:color w:val="2689C6"/>
          <w:sz w:val="20"/>
          <w:szCs w:val="20"/>
        </w:rPr>
        <w:t>Section 10.2 "The Linear Correlation Coefficient"</w:t>
      </w:r>
    </w:p>
    <w:p w:rsidR="00AD77BB" w:rsidRDefault="00B45BA0">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mean value of</w:t>
      </w:r>
      <w:r>
        <w:rPr>
          <w:rStyle w:val="apple-converted-space"/>
          <w:rFonts w:ascii="Calibri" w:hAnsi="Calibri"/>
          <w:color w:val="333333"/>
          <w:sz w:val="20"/>
          <w:szCs w:val="20"/>
        </w:rPr>
        <w:t> </w:t>
      </w:r>
      <w:r>
        <w:rPr>
          <w:rStyle w:val="Emphasis"/>
          <w:rFonts w:ascii="Calibri" w:hAnsi="Calibri"/>
          <w:color w:val="333333"/>
          <w:sz w:val="20"/>
          <w:szCs w:val="20"/>
        </w:rPr>
        <w:t>y</w:t>
      </w:r>
      <w:r>
        <w:rPr>
          <w:rStyle w:val="apple-converted-space"/>
          <w:rFonts w:ascii="Calibri" w:hAnsi="Calibri"/>
          <w:color w:val="333333"/>
          <w:sz w:val="20"/>
          <w:szCs w:val="20"/>
        </w:rPr>
        <w:t> </w:t>
      </w:r>
      <w:r>
        <w:rPr>
          <w:rFonts w:ascii="Calibri" w:hAnsi="Calibri"/>
          <w:color w:val="333333"/>
          <w:sz w:val="20"/>
          <w:szCs w:val="20"/>
        </w:rPr>
        <w:t>in the sub-population determined by the condition</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12.</w:t>
      </w:r>
    </w:p>
    <w:p w:rsidR="00AD77BB" w:rsidRDefault="00B45BA0">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Construct the 80% confidence interval for that mean value.</w:t>
      </w:r>
    </w:p>
    <w:p w:rsidR="00AD77BB" w:rsidRDefault="00B45BA0">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Is it valid to make the same estimates for</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0? Explain.</w:t>
      </w:r>
    </w:p>
    <w:p w:rsidR="00AD77BB" w:rsidRDefault="00B45BA0">
      <w:pPr>
        <w:pStyle w:val="para"/>
        <w:numPr>
          <w:ilvl w:val="0"/>
          <w:numId w:val="295"/>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9 of</w:t>
      </w:r>
      <w:r>
        <w:rPr>
          <w:rStyle w:val="apple-converted-space"/>
          <w:rFonts w:ascii="Calibri" w:hAnsi="Calibri"/>
          <w:color w:val="333333"/>
          <w:sz w:val="20"/>
          <w:szCs w:val="20"/>
        </w:rPr>
        <w:t> </w:t>
      </w:r>
      <w:r>
        <w:rPr>
          <w:rFonts w:ascii="Calibri" w:eastAsiaTheme="majorEastAsia" w:hAnsi="Calibri"/>
          <w:color w:val="2689C6"/>
          <w:sz w:val="20"/>
          <w:szCs w:val="20"/>
        </w:rPr>
        <w:t>Section 10.2 "The Linear Correlation Coefficient"</w:t>
      </w:r>
    </w:p>
    <w:p w:rsidR="00AD77BB" w:rsidRDefault="00B45BA0">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lastRenderedPageBreak/>
        <w:t>Give a point estimate for the mean value of</w:t>
      </w:r>
      <w:r>
        <w:rPr>
          <w:rStyle w:val="apple-converted-space"/>
          <w:rFonts w:ascii="Calibri" w:hAnsi="Calibri"/>
          <w:color w:val="333333"/>
          <w:sz w:val="20"/>
          <w:szCs w:val="20"/>
        </w:rPr>
        <w:t> </w:t>
      </w:r>
      <w:r>
        <w:rPr>
          <w:rStyle w:val="Emphasis"/>
          <w:rFonts w:ascii="Calibri" w:hAnsi="Calibri"/>
          <w:color w:val="333333"/>
          <w:sz w:val="20"/>
          <w:szCs w:val="20"/>
        </w:rPr>
        <w:t>y</w:t>
      </w:r>
      <w:r>
        <w:rPr>
          <w:rStyle w:val="apple-converted-space"/>
          <w:rFonts w:ascii="Calibri" w:hAnsi="Calibri"/>
          <w:color w:val="333333"/>
          <w:sz w:val="20"/>
          <w:szCs w:val="20"/>
        </w:rPr>
        <w:t> </w:t>
      </w:r>
      <w:r>
        <w:rPr>
          <w:rFonts w:ascii="Calibri" w:hAnsi="Calibri"/>
          <w:color w:val="333333"/>
          <w:sz w:val="20"/>
          <w:szCs w:val="20"/>
        </w:rPr>
        <w:t>in the sub-population determined by the condition</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0.</w:t>
      </w:r>
    </w:p>
    <w:p w:rsidR="00AD77BB" w:rsidRDefault="00B45BA0">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Construct the 90% confidence interval for that mean value.</w:t>
      </w:r>
    </w:p>
    <w:p w:rsidR="00AD77BB" w:rsidRDefault="00B45BA0">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Is it valid to make the same estimates for</w:t>
      </w:r>
      <w:r>
        <w:rPr>
          <w:rStyle w:val="apple-converted-space"/>
          <w:rFonts w:ascii="Calibri" w:hAnsi="Calibri"/>
          <w:color w:val="333333"/>
          <w:sz w:val="20"/>
          <w:szCs w:val="20"/>
        </w:rPr>
        <w:t> </w:t>
      </w:r>
      <w:r>
        <w:rPr>
          <w:rStyle w:val="mi"/>
          <w:rFonts w:ascii="MathJax_Math" w:hAnsi="MathJax_Math"/>
          <w:i/>
          <w:iCs/>
          <w:color w:val="333333"/>
          <w:sz w:val="17"/>
          <w:szCs w:val="17"/>
        </w:rPr>
        <w:t>x</w:t>
      </w:r>
      <w:r>
        <w:rPr>
          <w:rStyle w:val="mo"/>
          <w:rFonts w:ascii="MathJax_Main" w:hAnsi="MathJax_Main"/>
          <w:color w:val="333333"/>
          <w:sz w:val="17"/>
          <w:szCs w:val="17"/>
        </w:rPr>
        <w:t>=</w:t>
      </w:r>
      <w:r>
        <w:rPr>
          <w:rStyle w:val="mtext"/>
          <w:rFonts w:ascii="MathJax_Main" w:hAnsi="MathJax_Main"/>
          <w:color w:val="333333"/>
          <w:sz w:val="17"/>
          <w:szCs w:val="17"/>
        </w:rPr>
        <w:t>−</w:t>
      </w:r>
      <w:r>
        <w:rPr>
          <w:rStyle w:val="mn"/>
          <w:rFonts w:ascii="MathJax_Main" w:hAnsi="MathJax_Main"/>
          <w:color w:val="333333"/>
          <w:sz w:val="17"/>
          <w:szCs w:val="17"/>
        </w:rPr>
        <w:t>1</w:t>
      </w:r>
      <w:r>
        <w:rPr>
          <w:rFonts w:ascii="Calibri" w:hAnsi="Calibri"/>
          <w:color w:val="333333"/>
          <w:sz w:val="20"/>
          <w:szCs w:val="20"/>
        </w:rPr>
        <w:t>? Explain.</w:t>
      </w:r>
    </w:p>
    <w:p w:rsidR="00AD77BB" w:rsidRDefault="00B45BA0">
      <w:pPr>
        <w:pStyle w:val="para"/>
        <w:numPr>
          <w:ilvl w:val="0"/>
          <w:numId w:val="295"/>
        </w:numPr>
        <w:shd w:val="clear" w:color="auto" w:fill="E3EFF7"/>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For the sample data set of Exercise 9 of</w:t>
      </w:r>
      <w:r>
        <w:rPr>
          <w:rStyle w:val="apple-converted-space"/>
          <w:rFonts w:ascii="Calibri" w:hAnsi="Calibri"/>
          <w:color w:val="333333"/>
          <w:sz w:val="20"/>
          <w:szCs w:val="20"/>
        </w:rPr>
        <w:t> </w:t>
      </w:r>
      <w:r>
        <w:rPr>
          <w:rFonts w:ascii="Calibri" w:eastAsiaTheme="majorEastAsia" w:hAnsi="Calibri"/>
          <w:color w:val="2689C6"/>
          <w:sz w:val="20"/>
          <w:szCs w:val="20"/>
        </w:rPr>
        <w:t>Section 10.2 "The Linear Correlation Coefficient"</w:t>
      </w:r>
    </w:p>
    <w:p w:rsidR="00AD77BB" w:rsidRDefault="00B45BA0">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mean value of</w:t>
      </w:r>
      <w:r>
        <w:rPr>
          <w:rStyle w:val="apple-converted-space"/>
          <w:rFonts w:ascii="Calibri" w:hAnsi="Calibri"/>
          <w:color w:val="333333"/>
          <w:sz w:val="20"/>
          <w:szCs w:val="20"/>
        </w:rPr>
        <w:t> </w:t>
      </w:r>
      <w:r>
        <w:rPr>
          <w:rStyle w:val="Emphasis"/>
          <w:rFonts w:ascii="Calibri" w:hAnsi="Calibri"/>
          <w:color w:val="333333"/>
          <w:sz w:val="20"/>
          <w:szCs w:val="20"/>
        </w:rPr>
        <w:t>y</w:t>
      </w:r>
      <w:r>
        <w:rPr>
          <w:rStyle w:val="apple-converted-space"/>
          <w:rFonts w:ascii="Calibri" w:hAnsi="Calibri"/>
          <w:color w:val="333333"/>
          <w:sz w:val="20"/>
          <w:szCs w:val="20"/>
        </w:rPr>
        <w:t> </w:t>
      </w:r>
      <w:r>
        <w:rPr>
          <w:rFonts w:ascii="Calibri" w:hAnsi="Calibri"/>
          <w:color w:val="333333"/>
          <w:sz w:val="20"/>
          <w:szCs w:val="20"/>
        </w:rPr>
        <w:t>in the sub-population determined by the condition</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8.</w:t>
      </w:r>
    </w:p>
    <w:p w:rsidR="00AD77BB" w:rsidRDefault="00B45BA0">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Construct the 95% confidence interval for that mean value.</w:t>
      </w:r>
    </w:p>
    <w:p w:rsidR="00AD77BB" w:rsidRDefault="00B45BA0">
      <w:pPr>
        <w:numPr>
          <w:ilvl w:val="1"/>
          <w:numId w:val="295"/>
        </w:numPr>
        <w:shd w:val="clear" w:color="auto" w:fill="E3EFF7"/>
        <w:spacing w:after="0" w:line="360" w:lineRule="auto"/>
        <w:textAlignment w:val="baseline"/>
        <w:rPr>
          <w:rFonts w:ascii="Calibri" w:hAnsi="Calibri"/>
          <w:color w:val="333333"/>
          <w:sz w:val="20"/>
          <w:szCs w:val="20"/>
        </w:rPr>
      </w:pPr>
      <w:r>
        <w:rPr>
          <w:rFonts w:ascii="Calibri" w:hAnsi="Calibri"/>
          <w:color w:val="333333"/>
          <w:sz w:val="20"/>
          <w:szCs w:val="20"/>
        </w:rPr>
        <w:t>Is it valid to make the same estimates for</w:t>
      </w:r>
      <w:r>
        <w:rPr>
          <w:rStyle w:val="apple-converted-space"/>
          <w:rFonts w:ascii="Calibri" w:hAnsi="Calibri"/>
          <w:color w:val="333333"/>
          <w:sz w:val="20"/>
          <w:szCs w:val="20"/>
        </w:rPr>
        <w:t> </w:t>
      </w:r>
      <w:r>
        <w:rPr>
          <w:rStyle w:val="Emphasis"/>
          <w:rFonts w:ascii="Calibri" w:hAnsi="Calibri"/>
          <w:color w:val="333333"/>
          <w:sz w:val="20"/>
          <w:szCs w:val="20"/>
        </w:rPr>
        <w:t>x</w:t>
      </w:r>
      <w:r>
        <w:rPr>
          <w:rStyle w:val="apple-converted-space"/>
          <w:rFonts w:ascii="Calibri" w:hAnsi="Calibri"/>
          <w:color w:val="333333"/>
          <w:sz w:val="20"/>
          <w:szCs w:val="20"/>
        </w:rPr>
        <w:t> </w:t>
      </w:r>
      <w:r>
        <w:rPr>
          <w:rFonts w:ascii="Calibri" w:hAnsi="Calibri"/>
          <w:color w:val="333333"/>
          <w:sz w:val="20"/>
          <w:szCs w:val="20"/>
        </w:rPr>
        <w:t>= 0? Explain.</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APPLICATIONS</w:t>
      </w:r>
    </w:p>
    <w:p w:rsidR="00AD77BB" w:rsidRDefault="00B45BA0">
      <w:pPr>
        <w:pStyle w:val="para"/>
        <w:numPr>
          <w:ilvl w:val="0"/>
          <w:numId w:val="29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11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average number of words in the vocabulary of 18-month-old children.</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the 95% confidence interval for that mean value.</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Is it valid to make the same estimates for two-year-olds? Explain.</w:t>
      </w:r>
    </w:p>
    <w:p w:rsidR="00AD77BB" w:rsidRDefault="00B45BA0">
      <w:pPr>
        <w:pStyle w:val="para"/>
        <w:numPr>
          <w:ilvl w:val="0"/>
          <w:numId w:val="29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12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average braking distance of automobiles that weigh 3,250 pounds.</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the 80% confidence interval for that mean value.</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Is it valid to make the same estimates for 5,000-pound automobiles? Explain.</w:t>
      </w:r>
    </w:p>
    <w:p w:rsidR="00AD77BB" w:rsidRDefault="00B45BA0">
      <w:pPr>
        <w:pStyle w:val="para"/>
        <w:numPr>
          <w:ilvl w:val="0"/>
          <w:numId w:val="29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13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resting heart rate of a man who is 35 years old.</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One of the men in the sample is 35 years old, but his resting heart rate is not what you computed in part (a). Explain why this is not a contradiction.</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the 90% confidence interval for the mean resting heart rate of all 35-year-old men.</w:t>
      </w:r>
    </w:p>
    <w:p w:rsidR="00AD77BB" w:rsidRDefault="00B45BA0">
      <w:pPr>
        <w:pStyle w:val="para"/>
        <w:numPr>
          <w:ilvl w:val="0"/>
          <w:numId w:val="29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14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wave height when the wind speed is 13 miles per hour.</w:t>
      </w:r>
    </w:p>
    <w:p w:rsidR="00AD77BB" w:rsidRDefault="00B45BA0">
      <w:pPr>
        <w:pStyle w:val="ListParagraph"/>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 xml:space="preserve"> One of the wind speeds in the sample is 13 miles per hour, but the height of waves that day is not what you computed in part (a). Explain why this is not a contradiction.</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the 90% confidence interval for the mean wave height on days when the wind speed is 13 miles per hour.</w:t>
      </w:r>
    </w:p>
    <w:p w:rsidR="00AD77BB" w:rsidRDefault="00B45BA0">
      <w:pPr>
        <w:pStyle w:val="para"/>
        <w:numPr>
          <w:ilvl w:val="0"/>
          <w:numId w:val="29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15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The business owner intends to spend $2,500 on advertising next year. Give an estimate of next year’s revenue based on this fact.</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the 90% prediction interval for next year’s revenue, based on the intent to spend $2,500 on advertising.</w:t>
      </w:r>
    </w:p>
    <w:p w:rsidR="00AD77BB" w:rsidRDefault="00B45BA0">
      <w:pPr>
        <w:pStyle w:val="para"/>
        <w:numPr>
          <w:ilvl w:val="0"/>
          <w:numId w:val="29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lastRenderedPageBreak/>
        <w:t>For the data in Exercise 16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A two-year-old girl is 32.3 inches long. Predict her adult height.</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the 95% prediction interval for the girl’s adult height.</w:t>
      </w:r>
    </w:p>
    <w:p w:rsidR="00AD77BB" w:rsidRDefault="00B45BA0">
      <w:pPr>
        <w:pStyle w:val="para"/>
        <w:numPr>
          <w:ilvl w:val="0"/>
          <w:numId w:val="29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17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Lodovico has a 78.6 average in his physics class just before the final. Give a point estimate of what his final exam grade will be.</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Explain whether an interval estimate for this problem is a confidence interval or a prediction interval.</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Based on your answer to (b), construct an interval estimate for Lodovico’s final exam grade at the 90% level of confidence.</w:t>
      </w:r>
    </w:p>
    <w:p w:rsidR="00AD77BB" w:rsidRDefault="00B45BA0">
      <w:pPr>
        <w:pStyle w:val="para"/>
        <w:numPr>
          <w:ilvl w:val="0"/>
          <w:numId w:val="29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18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This year 86.2 million acres of corn were planted. Give a point estimate of the number of acres that will be harvested this year.</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Explain whether an interval estimate for this problem is a confidence interval or a prediction interval.</w:t>
      </w:r>
    </w:p>
    <w:p w:rsidR="00AD77BB" w:rsidRDefault="00B45BA0">
      <w:pPr>
        <w:pStyle w:val="ListParagraph"/>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 xml:space="preserve"> Based on your answer to (b), construct an interval estimate for the number of acres that will be harvested this year, at the 99% level of confidence.</w:t>
      </w:r>
    </w:p>
    <w:p w:rsidR="00AD77BB" w:rsidRDefault="00B45BA0">
      <w:pPr>
        <w:pStyle w:val="para"/>
        <w:numPr>
          <w:ilvl w:val="0"/>
          <w:numId w:val="29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19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Give a point estimate for the blood concentration of the active ingredient of this medication in a man who has consumed 1.5 ounces of the medication just recently.</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Gratiano just consumed 1.5 ounces of this medication 30 minutes ago. Construct a 95% prediction interval for the concentration of the active ingredient in his blood right now.</w:t>
      </w:r>
    </w:p>
    <w:p w:rsidR="00AD77BB" w:rsidRDefault="00B45BA0">
      <w:pPr>
        <w:pStyle w:val="para"/>
        <w:numPr>
          <w:ilvl w:val="0"/>
          <w:numId w:val="29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20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You measure the girth of a free-standing oak tree five feet off the ground and obtain the value 127 inches. How old do you estimate the tree to be?</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a 90% prediction interval for the age of this tree.</w:t>
      </w:r>
    </w:p>
    <w:p w:rsidR="00AD77BB" w:rsidRDefault="00B45BA0">
      <w:pPr>
        <w:pStyle w:val="para"/>
        <w:numPr>
          <w:ilvl w:val="0"/>
          <w:numId w:val="29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21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A test cylinder of concrete three days old fails at 1,750 psi. Predict what the 28-day strength of the concrete will be.</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a 99% prediction interval for the 28-day strength of this concrete.</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Based on your answer to (b), what would be the minimum 28-day strength you could expect this concrete to exhibit?</w:t>
      </w:r>
    </w:p>
    <w:p w:rsidR="00AD77BB" w:rsidRDefault="00B45BA0">
      <w:pPr>
        <w:pStyle w:val="para"/>
        <w:numPr>
          <w:ilvl w:val="0"/>
          <w:numId w:val="296"/>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For the data in Exercise 22 of</w:t>
      </w:r>
      <w:r>
        <w:rPr>
          <w:rStyle w:val="apple-converted-space"/>
          <w:rFonts w:ascii="Calibri" w:hAnsi="Calibri"/>
          <w:color w:val="333333"/>
          <w:sz w:val="20"/>
          <w:szCs w:val="20"/>
        </w:rPr>
        <w:t> </w:t>
      </w:r>
      <w:r>
        <w:rPr>
          <w:rFonts w:ascii="Calibri" w:hAnsi="Calibri"/>
          <w:color w:val="2689C6"/>
          <w:sz w:val="20"/>
          <w:szCs w:val="20"/>
        </w:rPr>
        <w:t>Section 10.2 "The Linear Correlation Coefficient"</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Tomorrow’s average temperature is forecast to be 53 degrees. Estimate the energy demand tomorrow.</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lastRenderedPageBreak/>
        <w:t>Construct a 99% prediction interval for the energy demand tomorrow.</w:t>
      </w:r>
    </w:p>
    <w:p w:rsidR="00AD77BB" w:rsidRDefault="00B45BA0">
      <w:pPr>
        <w:numPr>
          <w:ilvl w:val="1"/>
          <w:numId w:val="296"/>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Based on your answer to (b), what would be the minimum demand you could expect?</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LARGE DATA SET EXERCISES</w:t>
      </w:r>
    </w:p>
    <w:p w:rsidR="00AD77BB" w:rsidRDefault="00B45BA0">
      <w:pPr>
        <w:pStyle w:val="para"/>
        <w:numPr>
          <w:ilvl w:val="0"/>
          <w:numId w:val="29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Large Data Set 1 lists the SAT scores and GPAs of 1,000 students.</w:t>
      </w:r>
    </w:p>
    <w:p w:rsidR="00AD77BB" w:rsidRDefault="00B45BA0">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2689C6"/>
          <w:sz w:val="20"/>
          <w:szCs w:val="20"/>
        </w:rPr>
        <w:t>http://www.1.xls</w:t>
      </w:r>
    </w:p>
    <w:p w:rsidR="00AD77BB" w:rsidRDefault="00AD77BB">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rsidR="00AD77BB" w:rsidRDefault="00B45BA0">
      <w:pPr>
        <w:numPr>
          <w:ilvl w:val="1"/>
          <w:numId w:val="29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Give a point estimate of the mean GPA of all students who score 1350 on the SAT.</w:t>
      </w:r>
    </w:p>
    <w:p w:rsidR="00AD77BB" w:rsidRDefault="00B45BA0">
      <w:pPr>
        <w:numPr>
          <w:ilvl w:val="1"/>
          <w:numId w:val="29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Construct a 90% confidence interval for the mean GPA of all students who score 1350 on the SAT.</w:t>
      </w:r>
    </w:p>
    <w:p w:rsidR="00AD77BB" w:rsidRDefault="00B45BA0">
      <w:pPr>
        <w:pStyle w:val="para"/>
        <w:numPr>
          <w:ilvl w:val="0"/>
          <w:numId w:val="29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Large Data Set 12 lists the golf scores on one round of golf for 75 golfers first using their own original clubs, then using clubs of a new, experimental design (after two months of familiarization with the new clubs).</w:t>
      </w:r>
    </w:p>
    <w:p w:rsidR="00AD77BB" w:rsidRDefault="00B45BA0">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2689C6"/>
          <w:sz w:val="20"/>
          <w:szCs w:val="20"/>
        </w:rPr>
        <w:t>http://www.12.xls</w:t>
      </w:r>
    </w:p>
    <w:p w:rsidR="00AD77BB" w:rsidRDefault="00AD77BB">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rsidR="00AD77BB" w:rsidRDefault="00B45BA0">
      <w:pPr>
        <w:numPr>
          <w:ilvl w:val="1"/>
          <w:numId w:val="29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Thurio averages 72 strokes per round with his own clubs. Give a point estimate for his score on one round if he switches to the new clubs.</w:t>
      </w:r>
    </w:p>
    <w:p w:rsidR="00AD77BB" w:rsidRDefault="00B45BA0">
      <w:pPr>
        <w:numPr>
          <w:ilvl w:val="1"/>
          <w:numId w:val="29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Explain whether an interval estimate for this problem is a confidence interval or a prediction interval.</w:t>
      </w:r>
    </w:p>
    <w:p w:rsidR="00AD77BB" w:rsidRDefault="00B45BA0">
      <w:pPr>
        <w:numPr>
          <w:ilvl w:val="1"/>
          <w:numId w:val="29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Based on your answer to (b), construct an interval estimate for Thurio’s score on one round if he switches to the new clubs, at 90% confidence.</w:t>
      </w:r>
    </w:p>
    <w:p w:rsidR="00AD77BB" w:rsidRDefault="00B45BA0">
      <w:pPr>
        <w:pStyle w:val="para"/>
        <w:numPr>
          <w:ilvl w:val="0"/>
          <w:numId w:val="297"/>
        </w:numPr>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333333"/>
          <w:sz w:val="20"/>
          <w:szCs w:val="20"/>
        </w:rPr>
        <w:t>Large Data Set 13 records the number of bidders and sales price of a particular type of antique grandfather clock at 60 auctions.</w:t>
      </w:r>
    </w:p>
    <w:p w:rsidR="00AD77BB" w:rsidRDefault="00B45BA0">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2689C6"/>
          <w:sz w:val="20"/>
          <w:szCs w:val="20"/>
        </w:rPr>
        <w:t>http://www.13.xls</w:t>
      </w:r>
    </w:p>
    <w:p w:rsidR="00AD77BB" w:rsidRDefault="00AD77BB">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rsidR="00AD77BB" w:rsidRDefault="00B45BA0">
      <w:pPr>
        <w:numPr>
          <w:ilvl w:val="1"/>
          <w:numId w:val="29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There are seven likely bidders at the Verona auction today. Give a point estimate for the price of such a clock at today’s auction.</w:t>
      </w:r>
    </w:p>
    <w:p w:rsidR="00AD77BB" w:rsidRDefault="00B45BA0">
      <w:pPr>
        <w:numPr>
          <w:ilvl w:val="1"/>
          <w:numId w:val="29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Explain whether an interval estimate for this problem is a confidence interval or a prediction interval.</w:t>
      </w:r>
    </w:p>
    <w:p w:rsidR="00AD77BB" w:rsidRDefault="00B45BA0">
      <w:pPr>
        <w:numPr>
          <w:ilvl w:val="1"/>
          <w:numId w:val="297"/>
        </w:numPr>
        <w:shd w:val="clear" w:color="auto" w:fill="DAEEF3" w:themeFill="accent5" w:themeFillTint="33"/>
        <w:spacing w:after="0" w:line="360" w:lineRule="auto"/>
        <w:textAlignment w:val="baseline"/>
        <w:rPr>
          <w:rFonts w:ascii="Calibri" w:hAnsi="Calibri"/>
          <w:color w:val="333333"/>
          <w:sz w:val="20"/>
          <w:szCs w:val="20"/>
        </w:rPr>
      </w:pPr>
      <w:r>
        <w:rPr>
          <w:rFonts w:ascii="Calibri" w:hAnsi="Calibri"/>
          <w:color w:val="333333"/>
          <w:sz w:val="20"/>
          <w:szCs w:val="20"/>
        </w:rPr>
        <w:t>Based on your answer to (b), construct an interval estimate for the likely sale price of such a clock at today’s sale, at 95% confidence.</w:t>
      </w:r>
    </w:p>
    <w:p w:rsidR="00AD77BB" w:rsidRDefault="00B45BA0">
      <w:pPr>
        <w:tabs>
          <w:tab w:val="left" w:pos="5547"/>
        </w:tabs>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1E67C4B7" wp14:editId="0DF26857">
            <wp:extent cx="5305425" cy="6457950"/>
            <wp:effectExtent l="0" t="0" r="9525" b="0"/>
            <wp:docPr id="42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305425" cy="6457950"/>
                    </a:xfrm>
                    <a:prstGeom prst="rect">
                      <a:avLst/>
                    </a:prstGeom>
                    <a:noFill/>
                    <a:ln>
                      <a:noFill/>
                    </a:ln>
                  </pic:spPr>
                </pic:pic>
              </a:graphicData>
            </a:graphic>
          </wp:inline>
        </w:drawing>
      </w:r>
    </w:p>
    <w:p w:rsidR="00AD77BB" w:rsidRDefault="00B45BA0">
      <w:pPr>
        <w:tabs>
          <w:tab w:val="left" w:pos="5547"/>
        </w:tabs>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27998C80" wp14:editId="48AFDB7F">
            <wp:extent cx="5114925" cy="4181475"/>
            <wp:effectExtent l="0" t="0" r="9525" b="9525"/>
            <wp:docPr id="42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114925" cy="4181475"/>
                    </a:xfrm>
                    <a:prstGeom prst="rect">
                      <a:avLst/>
                    </a:prstGeom>
                    <a:noFill/>
                    <a:ln>
                      <a:noFill/>
                    </a:ln>
                  </pic:spPr>
                </pic:pic>
              </a:graphicData>
            </a:graphic>
          </wp:inline>
        </w:drawing>
      </w:r>
    </w:p>
    <w:p w:rsidR="00AD77BB" w:rsidRDefault="00B45B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3"/>
          <w:szCs w:val="33"/>
        </w:rPr>
        <w:t>10.8</w:t>
      </w:r>
      <w:r>
        <w:rPr>
          <w:rStyle w:val="apple-converted-space"/>
          <w:rFonts w:ascii="Calibri" w:hAnsi="Calibri"/>
          <w:color w:val="333333"/>
        </w:rPr>
        <w:t> </w:t>
      </w:r>
      <w:r>
        <w:rPr>
          <w:rFonts w:ascii="Calibri" w:hAnsi="Calibri"/>
          <w:color w:val="333333"/>
        </w:rPr>
        <w:t>A Complete Example</w:t>
      </w:r>
    </w:p>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AD77BB" w:rsidRDefault="00B45BA0">
      <w:pPr>
        <w:numPr>
          <w:ilvl w:val="0"/>
          <w:numId w:val="298"/>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To see a complete linear correlation and regression analysis, in a practical setting, as a cohesive whole.</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 the preceding sections numerous concepts were introduced and illustrated, but the analysis was broken into disjoint pieces by sections. In this section we will go through a complete example of the use of correlation and regression analysis of data from start to finish, touching on all the topics of this chapter in sequence.</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 general educators are convinced that, all other factors being equal, class attendance has a significant bearing on course performance. To investigate the relationship between attendance and performance, an education researcher selects for study a multiple section introductory statistics course at a large university. Instructors in the course agree to keep an accurate record of attendance throughout one semester. At the end of the semester 26 students are selected a random. For each student in the sample two measurements are taken:</w:t>
      </w:r>
      <w:r>
        <w:rPr>
          <w:rStyle w:val="apple-converted-space"/>
          <w:rFonts w:ascii="Georgia" w:hAnsi="Georgia"/>
          <w:color w:val="333333"/>
          <w:sz w:val="21"/>
          <w:szCs w:val="21"/>
        </w:rPr>
        <w:t> </w:t>
      </w:r>
      <w:r>
        <w:rPr>
          <w:rStyle w:val="Emphasis"/>
          <w:rFonts w:ascii="Georgia" w:hAnsi="Georgia"/>
          <w:color w:val="333333"/>
          <w:sz w:val="20"/>
          <w:szCs w:val="20"/>
        </w:rPr>
        <w:t>x</w:t>
      </w:r>
      <w:r>
        <w:rPr>
          <w:rFonts w:ascii="Georgia" w:hAnsi="Georgia"/>
          <w:color w:val="333333"/>
          <w:sz w:val="21"/>
          <w:szCs w:val="21"/>
        </w:rPr>
        <w:t xml:space="preserve">, the number of days the student was absent, </w:t>
      </w:r>
      <w:r>
        <w:rPr>
          <w:rFonts w:ascii="Georgia" w:hAnsi="Georgia"/>
          <w:color w:val="333333"/>
          <w:sz w:val="21"/>
          <w:szCs w:val="21"/>
        </w:rPr>
        <w:lastRenderedPageBreak/>
        <w:t>and</w:t>
      </w:r>
      <w:r>
        <w:rPr>
          <w:rStyle w:val="Emphasis"/>
          <w:rFonts w:ascii="Georgia" w:hAnsi="Georgia"/>
          <w:color w:val="333333"/>
          <w:sz w:val="20"/>
          <w:szCs w:val="20"/>
        </w:rPr>
        <w:t>y</w:t>
      </w:r>
      <w:r>
        <w:rPr>
          <w:rFonts w:ascii="Georgia" w:hAnsi="Georgia"/>
          <w:color w:val="333333"/>
          <w:sz w:val="21"/>
          <w:szCs w:val="21"/>
        </w:rPr>
        <w:t>, the student’s score on the common final exam in the course. The data are summarized in</w:t>
      </w:r>
      <w:r>
        <w:rPr>
          <w:rStyle w:val="apple-converted-space"/>
          <w:rFonts w:ascii="Georgia" w:hAnsi="Georgia"/>
          <w:color w:val="333333"/>
          <w:sz w:val="21"/>
          <w:szCs w:val="21"/>
        </w:rPr>
        <w:t> </w:t>
      </w:r>
      <w:r>
        <w:rPr>
          <w:rFonts w:ascii="Georgia" w:eastAsiaTheme="majorEastAsia" w:hAnsi="Georgia"/>
          <w:color w:val="2689C6"/>
          <w:sz w:val="21"/>
          <w:szCs w:val="21"/>
        </w:rPr>
        <w:t>Table 10.4 "Absence and Score Data"</w:t>
      </w:r>
      <w:r>
        <w:rPr>
          <w:rFonts w:ascii="Georgia" w:hAnsi="Georgia"/>
          <w:color w:val="333333"/>
          <w:sz w:val="21"/>
          <w:szCs w:val="21"/>
        </w:rPr>
        <w:t>.</w:t>
      </w:r>
    </w:p>
    <w:p w:rsidR="00AD77BB" w:rsidRDefault="00AD77BB">
      <w:pPr>
        <w:tabs>
          <w:tab w:val="left" w:pos="5547"/>
        </w:tabs>
        <w:rPr>
          <w:rFonts w:ascii="Calibri" w:eastAsia="Times New Roman" w:hAnsi="Calibri" w:cs="Times New Roman"/>
          <w:sz w:val="20"/>
          <w:szCs w:val="20"/>
        </w:rPr>
      </w:pPr>
    </w:p>
    <w:p w:rsidR="00AD77BB" w:rsidRDefault="00B45BA0">
      <w:pPr>
        <w:pStyle w:val="Title9"/>
        <w:shd w:val="clear" w:color="auto" w:fill="FFFFFF"/>
        <w:spacing w:before="0" w:beforeAutospacing="0" w:after="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10.4</w:t>
      </w:r>
      <w:r>
        <w:rPr>
          <w:rStyle w:val="apple-converted-space"/>
          <w:rFonts w:ascii="Georgia" w:hAnsi="Georgia"/>
          <w:color w:val="333333"/>
          <w:sz w:val="20"/>
          <w:szCs w:val="20"/>
        </w:rPr>
        <w:t> </w:t>
      </w:r>
      <w:r>
        <w:rPr>
          <w:rFonts w:ascii="Georgia" w:hAnsi="Georgia"/>
          <w:color w:val="333333"/>
          <w:sz w:val="20"/>
          <w:szCs w:val="20"/>
        </w:rPr>
        <w:t>Absence and Score Data</w:t>
      </w:r>
    </w:p>
    <w:tbl>
      <w:tblPr>
        <w:tblW w:w="0" w:type="auto"/>
        <w:tblCellMar>
          <w:left w:w="0" w:type="dxa"/>
          <w:right w:w="0" w:type="dxa"/>
        </w:tblCellMar>
        <w:tblLook w:val="04A0" w:firstRow="1" w:lastRow="0" w:firstColumn="1" w:lastColumn="0" w:noHBand="0" w:noVBand="1"/>
      </w:tblPr>
      <w:tblGrid>
        <w:gridCol w:w="931"/>
        <w:gridCol w:w="608"/>
        <w:gridCol w:w="931"/>
        <w:gridCol w:w="608"/>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jc w:val="center"/>
              <w:rPr>
                <w:b/>
                <w:bCs/>
                <w:color w:val="F48800"/>
                <w:sz w:val="20"/>
                <w:szCs w:val="20"/>
              </w:rPr>
            </w:pPr>
            <w:r>
              <w:rPr>
                <w:b/>
                <w:bCs/>
                <w:color w:val="F48800"/>
                <w:sz w:val="20"/>
                <w:szCs w:val="20"/>
              </w:rPr>
              <w:t>Absences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jc w:val="center"/>
              <w:rPr>
                <w:b/>
                <w:bCs/>
                <w:color w:val="F48800"/>
                <w:sz w:val="20"/>
                <w:szCs w:val="20"/>
              </w:rPr>
            </w:pPr>
            <w:r>
              <w:rPr>
                <w:b/>
                <w:bCs/>
                <w:color w:val="F48800"/>
                <w:sz w:val="20"/>
                <w:szCs w:val="20"/>
              </w:rPr>
              <w:t>Score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jc w:val="center"/>
              <w:rPr>
                <w:b/>
                <w:bCs/>
                <w:color w:val="F48800"/>
                <w:sz w:val="20"/>
                <w:szCs w:val="20"/>
              </w:rPr>
            </w:pPr>
            <w:r>
              <w:rPr>
                <w:b/>
                <w:bCs/>
                <w:color w:val="F48800"/>
                <w:sz w:val="20"/>
                <w:szCs w:val="20"/>
              </w:rPr>
              <w:t>Absences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jc w:val="center"/>
              <w:rPr>
                <w:b/>
                <w:bCs/>
                <w:color w:val="F48800"/>
                <w:sz w:val="20"/>
                <w:szCs w:val="20"/>
              </w:rPr>
            </w:pPr>
            <w:r>
              <w:rPr>
                <w:b/>
                <w:bCs/>
                <w:color w:val="F48800"/>
                <w:sz w:val="20"/>
                <w:szCs w:val="20"/>
              </w:rPr>
              <w:t>Score</w:t>
            </w:r>
          </w:p>
        </w:tc>
      </w:tr>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jc w:val="center"/>
              <w:rPr>
                <w:b/>
                <w:bCs/>
                <w:color w:val="F48800"/>
                <w:sz w:val="20"/>
                <w:szCs w:val="20"/>
              </w:rPr>
            </w:pPr>
            <w:r>
              <w:rPr>
                <w:rStyle w:val="Emphasis"/>
                <w:b/>
                <w:bCs/>
                <w:color w:val="F48800"/>
                <w:sz w:val="20"/>
                <w:szCs w:val="20"/>
              </w:rPr>
              <w:t>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jc w:val="center"/>
              <w:rPr>
                <w:b/>
                <w:bCs/>
                <w:color w:val="F48800"/>
                <w:sz w:val="20"/>
                <w:szCs w:val="20"/>
              </w:rPr>
            </w:pPr>
            <w:r>
              <w:rPr>
                <w:rStyle w:val="Emphasis"/>
                <w:b/>
                <w:bCs/>
                <w:color w:val="F48800"/>
                <w:sz w:val="20"/>
                <w:szCs w:val="20"/>
              </w:rPr>
              <w: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jc w:val="center"/>
              <w:rPr>
                <w:b/>
                <w:bCs/>
                <w:color w:val="F48800"/>
                <w:sz w:val="20"/>
                <w:szCs w:val="20"/>
              </w:rPr>
            </w:pPr>
            <w:r>
              <w:rPr>
                <w:rStyle w:val="Emphasis"/>
                <w:b/>
                <w:bCs/>
                <w:color w:val="F48800"/>
                <w:sz w:val="20"/>
                <w:szCs w:val="20"/>
              </w:rPr>
              <w:t>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jc w:val="center"/>
              <w:rPr>
                <w:b/>
                <w:bCs/>
                <w:color w:val="F48800"/>
                <w:sz w:val="20"/>
                <w:szCs w:val="20"/>
              </w:rPr>
            </w:pPr>
            <w:r>
              <w:rPr>
                <w:rStyle w:val="Emphasis"/>
                <w:b/>
                <w:bCs/>
                <w:color w:val="F48800"/>
                <w:sz w:val="20"/>
                <w:szCs w:val="20"/>
              </w:rPr>
              <w:t>y</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41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63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88</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98</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99</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89</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96</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90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90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68</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84</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80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jc w:val="center"/>
              <w:rPr>
                <w:sz w:val="20"/>
                <w:szCs w:val="20"/>
              </w:rPr>
            </w:pPr>
            <w:r>
              <w:rPr>
                <w:sz w:val="20"/>
                <w:szCs w:val="20"/>
              </w:rPr>
              <w:t>78</w:t>
            </w:r>
          </w:p>
        </w:tc>
      </w:tr>
    </w:tbl>
    <w:p w:rsidR="00AD77BB" w:rsidRDefault="00B45BA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 scatter plot of the data is given in</w:t>
      </w:r>
      <w:r>
        <w:rPr>
          <w:rStyle w:val="apple-converted-space"/>
          <w:rFonts w:ascii="Georgia" w:hAnsi="Georgia"/>
          <w:color w:val="333333"/>
          <w:sz w:val="21"/>
          <w:szCs w:val="21"/>
        </w:rPr>
        <w:t> </w:t>
      </w:r>
      <w:r>
        <w:rPr>
          <w:rFonts w:ascii="Georgia" w:hAnsi="Georgia"/>
          <w:color w:val="2689C6"/>
          <w:sz w:val="21"/>
          <w:szCs w:val="21"/>
        </w:rPr>
        <w:t>Figure 10.13 "Plot of the Absence and Exam Score Pairs"</w:t>
      </w:r>
      <w:r>
        <w:rPr>
          <w:rFonts w:ascii="Georgia" w:hAnsi="Georgia"/>
          <w:color w:val="333333"/>
          <w:sz w:val="21"/>
          <w:szCs w:val="21"/>
        </w:rPr>
        <w:t>. There is a downward trend in the plot which indicates that on average students with more absences tend to do worse on the final examination.</w:t>
      </w:r>
    </w:p>
    <w:p w:rsidR="00AD77BB" w:rsidRDefault="00B45BA0">
      <w:pPr>
        <w:pStyle w:val="Title9"/>
        <w:shd w:val="clear" w:color="auto" w:fill="FFFFFF"/>
        <w:spacing w:before="0" w:beforeAutospacing="0" w:after="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lastRenderedPageBreak/>
        <w:t>Figure 10.13</w:t>
      </w:r>
      <w:r>
        <w:rPr>
          <w:rStyle w:val="apple-converted-space"/>
          <w:rFonts w:ascii="Georgia" w:hAnsi="Georgia"/>
          <w:i/>
          <w:iCs/>
          <w:color w:val="BB9966"/>
          <w:sz w:val="22"/>
          <w:szCs w:val="22"/>
        </w:rPr>
        <w:t> </w:t>
      </w:r>
      <w:r>
        <w:rPr>
          <w:rFonts w:ascii="Georgia" w:hAnsi="Georgia"/>
          <w:i/>
          <w:iCs/>
          <w:color w:val="BB9966"/>
          <w:sz w:val="22"/>
          <w:szCs w:val="22"/>
        </w:rPr>
        <w:t>Plot of the Absence and Exam Score Pairs</w:t>
      </w:r>
    </w:p>
    <w:p w:rsidR="00AD77BB" w:rsidRDefault="00B45BA0">
      <w:pPr>
        <w:shd w:val="clear" w:color="auto" w:fill="FFFFFF"/>
        <w:spacing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14:anchorId="1D847E8A" wp14:editId="7EF74115">
            <wp:extent cx="3886200" cy="3038475"/>
            <wp:effectExtent l="0" t="0" r="0" b="9525"/>
            <wp:docPr id="424" name="Picture 444" descr="http://images.flatworldknowledge.com/shafer/shafer-fig10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http://images.flatworldknowledge.com/shafer/shafer-fig10_013.jp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886200" cy="3038475"/>
                    </a:xfrm>
                    <a:prstGeom prst="rect">
                      <a:avLst/>
                    </a:prstGeom>
                    <a:noFill/>
                    <a:ln>
                      <a:noFill/>
                    </a:ln>
                  </pic:spPr>
                </pic:pic>
              </a:graphicData>
            </a:graphic>
          </wp:inline>
        </w:drawing>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trend observed in</w:t>
      </w:r>
      <w:r>
        <w:rPr>
          <w:rStyle w:val="apple-converted-space"/>
          <w:rFonts w:ascii="Georgia" w:hAnsi="Georgia"/>
          <w:color w:val="333333"/>
          <w:sz w:val="21"/>
          <w:szCs w:val="21"/>
        </w:rPr>
        <w:t> </w:t>
      </w:r>
      <w:r>
        <w:rPr>
          <w:rFonts w:ascii="Georgia" w:hAnsi="Georgia"/>
          <w:color w:val="2689C6"/>
          <w:sz w:val="21"/>
          <w:szCs w:val="21"/>
        </w:rPr>
        <w:t>Figure 10.13 "Plot of the Absence and Exam Score Pairs"</w:t>
      </w:r>
      <w:r>
        <w:rPr>
          <w:rStyle w:val="apple-converted-space"/>
          <w:rFonts w:ascii="Georgia" w:hAnsi="Georgia"/>
          <w:color w:val="333333"/>
          <w:sz w:val="21"/>
          <w:szCs w:val="21"/>
        </w:rPr>
        <w:t> </w:t>
      </w:r>
      <w:r>
        <w:rPr>
          <w:rFonts w:ascii="Georgia" w:hAnsi="Georgia"/>
          <w:color w:val="333333"/>
          <w:sz w:val="21"/>
          <w:szCs w:val="21"/>
        </w:rPr>
        <w:t>as well as the fairly constant width of the apparent band of points in the plot makes it reasonable to assume a relationship between</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rPr>
        <w:t>y</w:t>
      </w:r>
      <w:r>
        <w:rPr>
          <w:rStyle w:val="apple-converted-space"/>
          <w:rFonts w:ascii="Georgia" w:hAnsi="Georgia"/>
          <w:color w:val="333333"/>
          <w:sz w:val="21"/>
          <w:szCs w:val="21"/>
        </w:rPr>
        <w:t> </w:t>
      </w:r>
      <w:r>
        <w:rPr>
          <w:rFonts w:ascii="Georgia" w:hAnsi="Georgia"/>
          <w:color w:val="333333"/>
          <w:sz w:val="21"/>
          <w:szCs w:val="21"/>
        </w:rPr>
        <w:t>of the form</w:t>
      </w:r>
    </w:p>
    <w:p w:rsidR="00AD77BB" w:rsidRDefault="00B45BA0">
      <w:pPr>
        <w:spacing w:line="360" w:lineRule="auto"/>
        <w:jc w:val="center"/>
        <w:textAlignment w:val="baseline"/>
        <w:rPr>
          <w:rFonts w:ascii="Calibri" w:hAnsi="Calibri"/>
          <w:b/>
          <w:color w:val="555555"/>
          <w:sz w:val="23"/>
          <w:szCs w:val="23"/>
          <w:shd w:val="clear" w:color="auto" w:fill="FFFFFF"/>
        </w:rPr>
      </w:pPr>
      <w:r>
        <w:rPr>
          <w:rStyle w:val="mi"/>
          <w:rFonts w:ascii="MathJax_Math" w:hAnsi="MathJax_Math"/>
          <w:b/>
          <w:i/>
          <w:iCs/>
          <w:color w:val="555555"/>
          <w:sz w:val="20"/>
          <w:szCs w:val="20"/>
          <w:shd w:val="clear" w:color="auto" w:fill="FFFFFF"/>
        </w:rPr>
        <w:t>y</w:t>
      </w:r>
      <w:r>
        <w:rPr>
          <w:rStyle w:val="mo"/>
          <w:rFonts w:ascii="MathJax_Main" w:hAnsi="MathJax_Main"/>
          <w:b/>
          <w:color w:val="555555"/>
          <w:sz w:val="20"/>
          <w:szCs w:val="20"/>
          <w:shd w:val="clear" w:color="auto" w:fill="FFFFFF"/>
        </w:rPr>
        <w:t>=</w:t>
      </w:r>
      <w:r>
        <w:rPr>
          <w:rStyle w:val="mi"/>
          <w:rFonts w:ascii="MathJax_Math" w:hAnsi="MathJax_Math"/>
          <w:b/>
          <w:i/>
          <w:iCs/>
          <w:color w:val="555555"/>
          <w:sz w:val="20"/>
          <w:szCs w:val="20"/>
          <w:shd w:val="clear" w:color="auto" w:fill="FFFFFF"/>
        </w:rPr>
        <w:t>β</w:t>
      </w:r>
      <w:r>
        <w:rPr>
          <w:rStyle w:val="mn"/>
          <w:rFonts w:ascii="MathJax_Main" w:hAnsi="MathJax_Main"/>
          <w:b/>
          <w:color w:val="555555"/>
          <w:sz w:val="15"/>
          <w:szCs w:val="15"/>
          <w:shd w:val="clear" w:color="auto" w:fill="FFFFFF"/>
        </w:rPr>
        <w:t>1</w:t>
      </w:r>
      <w:r>
        <w:rPr>
          <w:rStyle w:val="mi"/>
          <w:rFonts w:ascii="MathJax_Math" w:hAnsi="MathJax_Math"/>
          <w:b/>
          <w:i/>
          <w:iCs/>
          <w:color w:val="555555"/>
          <w:sz w:val="20"/>
          <w:szCs w:val="20"/>
          <w:shd w:val="clear" w:color="auto" w:fill="FFFFFF"/>
        </w:rPr>
        <w:t>x</w:t>
      </w:r>
      <w:r>
        <w:rPr>
          <w:rStyle w:val="mo"/>
          <w:rFonts w:ascii="MathJax_Main" w:hAnsi="MathJax_Main"/>
          <w:b/>
          <w:color w:val="555555"/>
          <w:sz w:val="20"/>
          <w:szCs w:val="20"/>
          <w:shd w:val="clear" w:color="auto" w:fill="FFFFFF"/>
        </w:rPr>
        <w:t>+</w:t>
      </w:r>
      <w:r>
        <w:rPr>
          <w:rStyle w:val="mi"/>
          <w:rFonts w:ascii="MathJax_Math" w:hAnsi="MathJax_Math"/>
          <w:b/>
          <w:i/>
          <w:iCs/>
          <w:color w:val="555555"/>
          <w:sz w:val="20"/>
          <w:szCs w:val="20"/>
          <w:shd w:val="clear" w:color="auto" w:fill="FFFFFF"/>
        </w:rPr>
        <w:t>β</w:t>
      </w:r>
      <w:r>
        <w:rPr>
          <w:rStyle w:val="mn"/>
          <w:rFonts w:ascii="MathJax_Main" w:hAnsi="MathJax_Main"/>
          <w:b/>
          <w:color w:val="555555"/>
          <w:sz w:val="15"/>
          <w:szCs w:val="15"/>
          <w:shd w:val="clear" w:color="auto" w:fill="FFFFFF"/>
        </w:rPr>
        <w:t>0</w:t>
      </w:r>
      <w:r>
        <w:rPr>
          <w:rStyle w:val="mo"/>
          <w:rFonts w:ascii="MathJax_Main" w:hAnsi="MathJax_Main"/>
          <w:b/>
          <w:color w:val="555555"/>
          <w:sz w:val="20"/>
          <w:szCs w:val="20"/>
          <w:shd w:val="clear" w:color="auto" w:fill="FFFFFF"/>
        </w:rPr>
        <w:t>+</w:t>
      </w:r>
      <w:r>
        <w:rPr>
          <w:rStyle w:val="mi"/>
          <w:rFonts w:ascii="MathJax_Math" w:hAnsi="MathJax_Math"/>
          <w:b/>
          <w:i/>
          <w:iCs/>
          <w:color w:val="555555"/>
          <w:sz w:val="20"/>
          <w:szCs w:val="20"/>
          <w:shd w:val="clear" w:color="auto" w:fill="FFFFFF"/>
        </w:rPr>
        <w:t>ε</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where</w:t>
      </w:r>
      <w:r>
        <w:rPr>
          <w:rStyle w:val="apple-converted-space"/>
          <w:rFonts w:ascii="Georgia" w:hAnsi="Georgia"/>
          <w:color w:val="333333"/>
          <w:sz w:val="21"/>
          <w:szCs w:val="21"/>
        </w:rPr>
        <w:t> </w:t>
      </w:r>
      <w:r>
        <w:rPr>
          <w:rStyle w:val="mi"/>
          <w:rFonts w:ascii="MathJax_Math" w:hAnsi="MathJax_Math"/>
          <w:i/>
          <w:iCs/>
          <w:color w:val="333333"/>
          <w:sz w:val="20"/>
          <w:szCs w:val="20"/>
        </w:rPr>
        <w:t>β</w:t>
      </w:r>
      <w:r>
        <w:rPr>
          <w:rStyle w:val="mn"/>
          <w:rFonts w:ascii="MathJax_Main" w:hAnsi="MathJax_Main"/>
          <w:color w:val="333333"/>
          <w:sz w:val="15"/>
          <w:szCs w:val="15"/>
        </w:rPr>
        <w:t>1</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mi"/>
          <w:rFonts w:ascii="MathJax_Math" w:hAnsi="MathJax_Math"/>
          <w:i/>
          <w:iCs/>
          <w:color w:val="333333"/>
          <w:sz w:val="20"/>
          <w:szCs w:val="20"/>
        </w:rPr>
        <w:t>β</w:t>
      </w:r>
      <w:r>
        <w:rPr>
          <w:rStyle w:val="mn"/>
          <w:rFonts w:ascii="MathJax_Main" w:hAnsi="MathJax_Main"/>
          <w:color w:val="333333"/>
          <w:sz w:val="15"/>
          <w:szCs w:val="15"/>
        </w:rPr>
        <w:t>0</w:t>
      </w:r>
      <w:r>
        <w:rPr>
          <w:rStyle w:val="apple-converted-space"/>
          <w:rFonts w:ascii="Georgia" w:hAnsi="Georgia"/>
          <w:color w:val="333333"/>
          <w:sz w:val="21"/>
          <w:szCs w:val="21"/>
        </w:rPr>
        <w:t> </w:t>
      </w:r>
      <w:r>
        <w:rPr>
          <w:rFonts w:ascii="Georgia" w:hAnsi="Georgia"/>
          <w:color w:val="333333"/>
          <w:sz w:val="21"/>
          <w:szCs w:val="21"/>
        </w:rPr>
        <w:t>are unknown parameters and</w:t>
      </w:r>
      <w:r>
        <w:rPr>
          <w:rStyle w:val="apple-converted-space"/>
          <w:rFonts w:ascii="Georgia" w:hAnsi="Georgia"/>
          <w:color w:val="333333"/>
          <w:sz w:val="21"/>
          <w:szCs w:val="21"/>
        </w:rPr>
        <w:t> </w:t>
      </w:r>
      <w:r>
        <w:rPr>
          <w:rStyle w:val="Emphasis"/>
          <w:rFonts w:ascii="Georgia" w:hAnsi="Georgia"/>
          <w:color w:val="333333"/>
          <w:sz w:val="20"/>
          <w:szCs w:val="20"/>
        </w:rPr>
        <w:t>ε</w:t>
      </w:r>
      <w:r>
        <w:rPr>
          <w:rStyle w:val="apple-converted-space"/>
          <w:rFonts w:ascii="Georgia" w:hAnsi="Georgia"/>
          <w:color w:val="333333"/>
          <w:sz w:val="21"/>
          <w:szCs w:val="21"/>
        </w:rPr>
        <w:t> </w:t>
      </w:r>
      <w:r>
        <w:rPr>
          <w:rFonts w:ascii="Georgia" w:hAnsi="Georgia"/>
          <w:color w:val="333333"/>
          <w:sz w:val="21"/>
          <w:szCs w:val="21"/>
        </w:rPr>
        <w:t>is a normal random variable with mean zero and unknown standard deviation</w:t>
      </w:r>
      <w:r>
        <w:rPr>
          <w:rStyle w:val="apple-converted-space"/>
          <w:rFonts w:ascii="Georgia" w:hAnsi="Georgia"/>
          <w:color w:val="333333"/>
          <w:sz w:val="21"/>
          <w:szCs w:val="21"/>
        </w:rPr>
        <w:t> </w:t>
      </w:r>
      <w:r>
        <w:rPr>
          <w:rStyle w:val="Emphasis"/>
          <w:rFonts w:ascii="Georgia" w:hAnsi="Georgia"/>
          <w:color w:val="333333"/>
          <w:sz w:val="20"/>
          <w:szCs w:val="20"/>
        </w:rPr>
        <w:t>σ</w:t>
      </w:r>
      <w:r>
        <w:rPr>
          <w:rFonts w:ascii="Georgia" w:hAnsi="Georgia"/>
          <w:color w:val="333333"/>
          <w:sz w:val="21"/>
          <w:szCs w:val="21"/>
        </w:rPr>
        <w:t>. Note carefully that this model is being proposed for the population of all students taking this course, not just those taking it this semester, and certainly not just those in the sample. The numbers</w:t>
      </w:r>
      <w:r>
        <w:rPr>
          <w:rStyle w:val="apple-converted-space"/>
          <w:rFonts w:ascii="Georgia" w:hAnsi="Georgia"/>
          <w:color w:val="333333"/>
          <w:sz w:val="21"/>
          <w:szCs w:val="21"/>
        </w:rPr>
        <w:t> </w:t>
      </w:r>
      <w:r>
        <w:rPr>
          <w:rStyle w:val="mi"/>
          <w:rFonts w:ascii="MathJax_Math" w:hAnsi="MathJax_Math"/>
          <w:i/>
          <w:iCs/>
          <w:color w:val="333333"/>
          <w:sz w:val="20"/>
          <w:szCs w:val="20"/>
        </w:rPr>
        <w:t>β</w:t>
      </w:r>
      <w:r>
        <w:rPr>
          <w:rStyle w:val="mn"/>
          <w:rFonts w:ascii="MathJax_Main" w:hAnsi="MathJax_Main"/>
          <w:color w:val="333333"/>
          <w:sz w:val="15"/>
          <w:szCs w:val="15"/>
        </w:rPr>
        <w:t>1</w:t>
      </w:r>
      <w:r>
        <w:rPr>
          <w:rFonts w:ascii="Georgia" w:hAnsi="Georgia"/>
          <w:color w:val="333333"/>
          <w:sz w:val="21"/>
          <w:szCs w:val="21"/>
        </w:rPr>
        <w:t>,</w:t>
      </w:r>
      <w:r>
        <w:rPr>
          <w:rStyle w:val="apple-converted-space"/>
          <w:rFonts w:ascii="Georgia" w:hAnsi="Georgia"/>
          <w:color w:val="333333"/>
          <w:sz w:val="21"/>
          <w:szCs w:val="21"/>
        </w:rPr>
        <w:t> </w:t>
      </w:r>
      <w:r>
        <w:rPr>
          <w:rStyle w:val="mi"/>
          <w:rFonts w:ascii="MathJax_Math" w:hAnsi="MathJax_Math"/>
          <w:i/>
          <w:iCs/>
          <w:color w:val="333333"/>
          <w:sz w:val="20"/>
          <w:szCs w:val="20"/>
        </w:rPr>
        <w:t>β</w:t>
      </w:r>
      <w:r>
        <w:rPr>
          <w:rStyle w:val="mn"/>
          <w:rFonts w:ascii="MathJax_Main" w:hAnsi="MathJax_Main"/>
          <w:color w:val="333333"/>
          <w:sz w:val="15"/>
          <w:szCs w:val="15"/>
        </w:rPr>
        <w:t>0</w:t>
      </w:r>
      <w:r>
        <w:rPr>
          <w:rFonts w:ascii="Georgia" w:hAnsi="Georgia"/>
          <w:color w:val="333333"/>
          <w:sz w:val="21"/>
          <w:szCs w:val="21"/>
        </w:rPr>
        <w:t>, and</w:t>
      </w:r>
      <w:r>
        <w:rPr>
          <w:rStyle w:val="apple-converted-space"/>
          <w:rFonts w:ascii="Georgia" w:hAnsi="Georgia"/>
          <w:color w:val="333333"/>
          <w:sz w:val="21"/>
          <w:szCs w:val="21"/>
        </w:rPr>
        <w:t> </w:t>
      </w:r>
      <w:r>
        <w:rPr>
          <w:rStyle w:val="Emphasis"/>
          <w:rFonts w:ascii="Georgia" w:hAnsi="Georgia"/>
          <w:color w:val="333333"/>
          <w:sz w:val="20"/>
          <w:szCs w:val="20"/>
        </w:rPr>
        <w:t>σ</w:t>
      </w:r>
      <w:r>
        <w:rPr>
          <w:rStyle w:val="apple-converted-space"/>
          <w:rFonts w:ascii="Georgia" w:hAnsi="Georgia"/>
          <w:color w:val="333333"/>
          <w:sz w:val="21"/>
          <w:szCs w:val="21"/>
        </w:rPr>
        <w:t> </w:t>
      </w:r>
      <w:r>
        <w:rPr>
          <w:rFonts w:ascii="Georgia" w:hAnsi="Georgia"/>
          <w:color w:val="333333"/>
          <w:sz w:val="21"/>
          <w:szCs w:val="21"/>
        </w:rPr>
        <w:t>are parameters relating to this large population.</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First we perform preliminary computations that will be needed later. The data are processed in</w:t>
      </w:r>
      <w:r>
        <w:rPr>
          <w:rStyle w:val="apple-converted-space"/>
          <w:rFonts w:ascii="Georgia" w:hAnsi="Georgia"/>
          <w:color w:val="333333"/>
          <w:sz w:val="21"/>
          <w:szCs w:val="21"/>
        </w:rPr>
        <w:t> </w:t>
      </w:r>
      <w:r>
        <w:rPr>
          <w:rFonts w:ascii="Georgia" w:hAnsi="Georgia"/>
          <w:color w:val="2689C6"/>
          <w:sz w:val="21"/>
          <w:szCs w:val="21"/>
        </w:rPr>
        <w:t>Table 10.5 "Processed Absence and Score Data"</w:t>
      </w:r>
      <w:r>
        <w:rPr>
          <w:rFonts w:ascii="Georgia" w:hAnsi="Georgia"/>
          <w:color w:val="333333"/>
          <w:sz w:val="21"/>
          <w:szCs w:val="21"/>
        </w:rPr>
        <w:t>.</w:t>
      </w:r>
    </w:p>
    <w:p w:rsidR="00AD77BB" w:rsidRDefault="00B45BA0">
      <w:pPr>
        <w:tabs>
          <w:tab w:val="left" w:pos="5547"/>
        </w:tabs>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6E88B15F" wp14:editId="0D097530">
            <wp:extent cx="5057775" cy="5438775"/>
            <wp:effectExtent l="0" t="0" r="9525" b="9525"/>
            <wp:docPr id="42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057775" cy="5438775"/>
                    </a:xfrm>
                    <a:prstGeom prst="rect">
                      <a:avLst/>
                    </a:prstGeom>
                    <a:noFill/>
                    <a:ln>
                      <a:noFill/>
                    </a:ln>
                  </pic:spPr>
                </pic:pic>
              </a:graphicData>
            </a:graphic>
          </wp:inline>
        </w:drawing>
      </w:r>
    </w:p>
    <w:p w:rsidR="00AD77BB" w:rsidRDefault="00B45BA0">
      <w:pPr>
        <w:tabs>
          <w:tab w:val="left" w:pos="5547"/>
        </w:tabs>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3EE166AA" wp14:editId="682C5262">
            <wp:extent cx="5133975" cy="6229350"/>
            <wp:effectExtent l="0" t="0" r="9525" b="0"/>
            <wp:docPr id="42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133975" cy="6229350"/>
                    </a:xfrm>
                    <a:prstGeom prst="rect">
                      <a:avLst/>
                    </a:prstGeom>
                    <a:noFill/>
                    <a:ln>
                      <a:noFill/>
                    </a:ln>
                  </pic:spPr>
                </pic:pic>
              </a:graphicData>
            </a:graphic>
          </wp:inline>
        </w:drawing>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statistic </w:t>
      </w:r>
      <w:r>
        <w:rPr>
          <w:rFonts w:ascii="MathJax_Math" w:eastAsia="Times New Roman" w:hAnsi="MathJax_Math" w:cs="Times New Roman"/>
          <w:i/>
          <w:iCs/>
          <w:color w:val="333333"/>
          <w:sz w:val="20"/>
          <w:szCs w:val="20"/>
        </w:rPr>
        <w:t>s</w:t>
      </w:r>
      <w:r>
        <w:rPr>
          <w:rFonts w:ascii="MathJax_Math" w:eastAsia="Times New Roman" w:hAnsi="MathJax_Math" w:cs="Times New Roman"/>
          <w:i/>
          <w:iCs/>
          <w:color w:val="333333"/>
          <w:sz w:val="15"/>
          <w:szCs w:val="15"/>
        </w:rPr>
        <w:t>ε</w:t>
      </w:r>
      <w:r>
        <w:rPr>
          <w:rFonts w:ascii="Georgia" w:eastAsia="Times New Roman" w:hAnsi="Georgia" w:cs="Times New Roman"/>
          <w:color w:val="333333"/>
          <w:sz w:val="21"/>
          <w:szCs w:val="21"/>
        </w:rPr>
        <w:t> estimates the standard deviation </w:t>
      </w:r>
      <w:r>
        <w:rPr>
          <w:rFonts w:ascii="Georgia" w:eastAsia="Times New Roman" w:hAnsi="Georgia" w:cs="Times New Roman"/>
          <w:i/>
          <w:iCs/>
          <w:color w:val="333333"/>
          <w:sz w:val="20"/>
          <w:szCs w:val="20"/>
        </w:rPr>
        <w:t>σ</w:t>
      </w:r>
      <w:r>
        <w:rPr>
          <w:rFonts w:ascii="Georgia" w:eastAsia="Times New Roman" w:hAnsi="Georgia" w:cs="Times New Roman"/>
          <w:color w:val="333333"/>
          <w:sz w:val="21"/>
          <w:szCs w:val="21"/>
        </w:rPr>
        <w:t> of the normal random variable </w:t>
      </w:r>
      <w:r>
        <w:rPr>
          <w:rFonts w:ascii="Georgia" w:eastAsia="Times New Roman" w:hAnsi="Georgia" w:cs="Times New Roman"/>
          <w:i/>
          <w:iCs/>
          <w:color w:val="333333"/>
          <w:sz w:val="20"/>
          <w:szCs w:val="20"/>
        </w:rPr>
        <w:t>ε</w:t>
      </w:r>
      <w:r>
        <w:rPr>
          <w:rFonts w:ascii="Georgia" w:eastAsia="Times New Roman" w:hAnsi="Georgia" w:cs="Times New Roman"/>
          <w:color w:val="333333"/>
          <w:sz w:val="21"/>
          <w:szCs w:val="21"/>
        </w:rPr>
        <w:t> in the model. Its meaning is that among all students with the same number of absences, the standard deviation of their scores on the final exam is about 12.1 points. Such a large value on a 100-point exam means that the final exam scores of each sub-population of students, based on the number of absences, are highly variable.</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size and sign of the slope </w:t>
      </w:r>
      <w:r>
        <w:rPr>
          <w:rFonts w:ascii="MathJax_Math" w:eastAsia="Times New Roman" w:hAnsi="MathJax_Math" w:cs="Times New Roman"/>
          <w:i/>
          <w:iCs/>
          <w:color w:val="333333"/>
          <w:sz w:val="15"/>
          <w:szCs w:val="15"/>
        </w:rPr>
        <w:t>β</w:t>
      </w:r>
      <w:r>
        <w:rPr>
          <w:rFonts w:ascii="MathJax_Main" w:eastAsia="Times New Roman" w:hAnsi="MathJax_Main" w:cs="Times New Roman"/>
          <w:color w:val="333333"/>
          <w:sz w:val="20"/>
          <w:szCs w:val="20"/>
        </w:rPr>
        <w:t>ˆ</w:t>
      </w:r>
      <w:r>
        <w:rPr>
          <w:rFonts w:ascii="MathJax_Main" w:eastAsia="Times New Roman" w:hAnsi="MathJax_Main" w:cs="Times New Roman"/>
          <w:color w:val="333333"/>
          <w:sz w:val="15"/>
          <w:szCs w:val="15"/>
        </w:rPr>
        <w:t>1</w:t>
      </w:r>
      <w:r>
        <w:rPr>
          <w:rFonts w:ascii="MathJax_Main" w:eastAsia="Times New Roman" w:hAnsi="MathJax_Main" w:cs="Times New Roman"/>
          <w:color w:val="333333"/>
          <w:sz w:val="20"/>
          <w:szCs w:val="20"/>
        </w:rPr>
        <w:t>=−5.23</w:t>
      </w:r>
      <w:r>
        <w:rPr>
          <w:rFonts w:ascii="Georgia" w:eastAsia="Times New Roman" w:hAnsi="Georgia" w:cs="Times New Roman"/>
          <w:color w:val="333333"/>
          <w:sz w:val="21"/>
          <w:szCs w:val="21"/>
        </w:rPr>
        <w:t xml:space="preserve"> indicate that, for every class missed, students tend to score about 5.23 fewer points lower on the final exam on average. Similarly for every two classes missed </w:t>
      </w:r>
      <w:r>
        <w:rPr>
          <w:rFonts w:ascii="Georgia" w:eastAsia="Times New Roman" w:hAnsi="Georgia" w:cs="Times New Roman"/>
          <w:color w:val="333333"/>
          <w:sz w:val="21"/>
          <w:szCs w:val="21"/>
        </w:rPr>
        <w:lastRenderedPageBreak/>
        <w:t>students tend to score on average </w:t>
      </w:r>
      <w:r>
        <w:rPr>
          <w:rFonts w:ascii="MathJax_Main" w:eastAsia="Times New Roman" w:hAnsi="MathJax_Main" w:cs="Times New Roman"/>
          <w:color w:val="333333"/>
          <w:sz w:val="20"/>
          <w:szCs w:val="20"/>
        </w:rPr>
        <w:t>2×5.23=10.46</w:t>
      </w:r>
      <w:r>
        <w:rPr>
          <w:rFonts w:ascii="Georgia" w:eastAsia="Times New Roman" w:hAnsi="Georgia" w:cs="Times New Roman"/>
          <w:color w:val="333333"/>
          <w:sz w:val="21"/>
          <w:szCs w:val="21"/>
        </w:rPr>
        <w:t> fewer points on the final exam, or about a letter grade worse on average.</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Since 0 is in the range of </w:t>
      </w:r>
      <w:r>
        <w:rPr>
          <w:rFonts w:ascii="Georgia" w:eastAsia="Times New Roman" w:hAnsi="Georgia" w:cs="Times New Roman"/>
          <w:i/>
          <w:iCs/>
          <w:color w:val="333333"/>
          <w:sz w:val="20"/>
          <w:szCs w:val="20"/>
        </w:rPr>
        <w:t>x</w:t>
      </w:r>
      <w:r>
        <w:rPr>
          <w:rFonts w:ascii="Georgia" w:eastAsia="Times New Roman" w:hAnsi="Georgia" w:cs="Times New Roman"/>
          <w:color w:val="333333"/>
          <w:sz w:val="21"/>
          <w:szCs w:val="21"/>
        </w:rPr>
        <w:t>-values in the data set, the </w:t>
      </w:r>
      <w:r>
        <w:rPr>
          <w:rFonts w:ascii="Georgia" w:eastAsia="Times New Roman" w:hAnsi="Georgia" w:cs="Times New Roman"/>
          <w:i/>
          <w:iCs/>
          <w:color w:val="333333"/>
          <w:sz w:val="20"/>
          <w:szCs w:val="20"/>
        </w:rPr>
        <w:t>y</w:t>
      </w:r>
      <w:r>
        <w:rPr>
          <w:rFonts w:ascii="Georgia" w:eastAsia="Times New Roman" w:hAnsi="Georgia" w:cs="Times New Roman"/>
          <w:color w:val="333333"/>
          <w:sz w:val="21"/>
          <w:szCs w:val="21"/>
        </w:rPr>
        <w:t>-intercept also has meaning in this problem. It is an estimate of the average grade on the final exam of all students who have perfect attendance. The predicted average of such students is </w:t>
      </w:r>
      <w:r>
        <w:rPr>
          <w:rFonts w:ascii="MathJax_Math" w:eastAsia="Times New Roman" w:hAnsi="MathJax_Math" w:cs="Times New Roman"/>
          <w:i/>
          <w:iCs/>
          <w:color w:val="333333"/>
          <w:sz w:val="15"/>
          <w:szCs w:val="15"/>
        </w:rPr>
        <w:t>β</w:t>
      </w:r>
      <w:r>
        <w:rPr>
          <w:rFonts w:ascii="MathJax_Main" w:eastAsia="Times New Roman" w:hAnsi="MathJax_Main" w:cs="Times New Roman"/>
          <w:color w:val="333333"/>
          <w:sz w:val="20"/>
          <w:szCs w:val="20"/>
        </w:rPr>
        <w:t>ˆ</w:t>
      </w:r>
      <w:r>
        <w:rPr>
          <w:rFonts w:ascii="MathJax_Main" w:eastAsia="Times New Roman" w:hAnsi="MathJax_Main" w:cs="Times New Roman"/>
          <w:color w:val="333333"/>
          <w:sz w:val="15"/>
          <w:szCs w:val="15"/>
        </w:rPr>
        <w:t>0</w:t>
      </w:r>
      <w:r>
        <w:rPr>
          <w:rFonts w:ascii="MathJax_Main" w:eastAsia="Times New Roman" w:hAnsi="MathJax_Main" w:cs="Times New Roman"/>
          <w:color w:val="333333"/>
          <w:sz w:val="20"/>
          <w:szCs w:val="20"/>
        </w:rPr>
        <w:t>=91.24.</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Before we use the regression equation further, or perform other analyses, it would be a good idea to examine the utility of the linear regression model. We can do this in two ways: 1) by computing the correlation coefficient </w:t>
      </w:r>
      <w:r>
        <w:rPr>
          <w:rFonts w:ascii="Georgia" w:eastAsia="Times New Roman" w:hAnsi="Georgia" w:cs="Times New Roman"/>
          <w:i/>
          <w:iCs/>
          <w:color w:val="333333"/>
          <w:sz w:val="20"/>
          <w:szCs w:val="20"/>
        </w:rPr>
        <w:t>r</w:t>
      </w:r>
      <w:r>
        <w:rPr>
          <w:rFonts w:ascii="Georgia" w:eastAsia="Times New Roman" w:hAnsi="Georgia" w:cs="Times New Roman"/>
          <w:color w:val="333333"/>
          <w:sz w:val="21"/>
          <w:szCs w:val="21"/>
        </w:rPr>
        <w:t> to see how strongly the number of absences </w:t>
      </w:r>
      <w:r>
        <w:rPr>
          <w:rFonts w:ascii="Georgia" w:eastAsia="Times New Roman" w:hAnsi="Georgia" w:cs="Times New Roman"/>
          <w:i/>
          <w:iCs/>
          <w:color w:val="333333"/>
          <w:sz w:val="20"/>
          <w:szCs w:val="20"/>
        </w:rPr>
        <w:t>x</w:t>
      </w:r>
      <w:r>
        <w:rPr>
          <w:rFonts w:ascii="Georgia" w:eastAsia="Times New Roman" w:hAnsi="Georgia" w:cs="Times New Roman"/>
          <w:color w:val="333333"/>
          <w:sz w:val="21"/>
          <w:szCs w:val="21"/>
        </w:rPr>
        <w:t> and the score </w:t>
      </w:r>
      <w:r>
        <w:rPr>
          <w:rFonts w:ascii="Georgia" w:eastAsia="Times New Roman" w:hAnsi="Georgia" w:cs="Times New Roman"/>
          <w:i/>
          <w:iCs/>
          <w:color w:val="333333"/>
          <w:sz w:val="20"/>
          <w:szCs w:val="20"/>
        </w:rPr>
        <w:t>y</w:t>
      </w:r>
      <w:r>
        <w:rPr>
          <w:rFonts w:ascii="Georgia" w:eastAsia="Times New Roman" w:hAnsi="Georgia" w:cs="Times New Roman"/>
          <w:color w:val="333333"/>
          <w:sz w:val="21"/>
          <w:szCs w:val="21"/>
        </w:rPr>
        <w:t> on the final exam are correlated, and 2) by testing the null hypothesis </w:t>
      </w:r>
      <w:r>
        <w:rPr>
          <w:rFonts w:ascii="MathJax_Math" w:eastAsia="Times New Roman" w:hAnsi="MathJax_Math" w:cs="Times New Roman"/>
          <w:i/>
          <w:iCs/>
          <w:color w:val="333333"/>
          <w:sz w:val="20"/>
          <w:szCs w:val="20"/>
        </w:rPr>
        <w:t>H</w:t>
      </w:r>
      <w:r>
        <w:rPr>
          <w:rFonts w:ascii="MathJax_Main" w:eastAsia="Times New Roman" w:hAnsi="MathJax_Main" w:cs="Times New Roman"/>
          <w:color w:val="333333"/>
          <w:sz w:val="15"/>
          <w:szCs w:val="15"/>
        </w:rPr>
        <w:t>0</w:t>
      </w:r>
      <w:r>
        <w:rPr>
          <w:rFonts w:ascii="MathJax_Main" w:eastAsia="Times New Roman" w:hAnsi="MathJax_Main" w:cs="Times New Roman"/>
          <w:color w:val="333333"/>
          <w:sz w:val="20"/>
          <w:szCs w:val="20"/>
        </w:rPr>
        <w:t>:</w:t>
      </w:r>
      <w:r>
        <w:rPr>
          <w:rFonts w:ascii="MathJax_Math" w:eastAsia="Times New Roman" w:hAnsi="MathJax_Math" w:cs="Times New Roman"/>
          <w:i/>
          <w:iCs/>
          <w:color w:val="333333"/>
          <w:sz w:val="20"/>
          <w:szCs w:val="20"/>
        </w:rPr>
        <w:t>β</w:t>
      </w:r>
      <w:r>
        <w:rPr>
          <w:rFonts w:ascii="MathJax_Main" w:eastAsia="Times New Roman" w:hAnsi="MathJax_Main" w:cs="Times New Roman"/>
          <w:color w:val="333333"/>
          <w:sz w:val="15"/>
          <w:szCs w:val="15"/>
        </w:rPr>
        <w:t>1</w:t>
      </w:r>
      <w:r>
        <w:rPr>
          <w:rFonts w:ascii="MathJax_Main" w:eastAsia="Times New Roman" w:hAnsi="MathJax_Main" w:cs="Times New Roman"/>
          <w:color w:val="333333"/>
          <w:sz w:val="20"/>
          <w:szCs w:val="20"/>
        </w:rPr>
        <w:t>=0</w:t>
      </w:r>
      <w:r>
        <w:rPr>
          <w:rFonts w:ascii="Georgia" w:eastAsia="Times New Roman" w:hAnsi="Georgia" w:cs="Times New Roman"/>
          <w:color w:val="333333"/>
          <w:sz w:val="21"/>
          <w:szCs w:val="21"/>
        </w:rPr>
        <w:t> (the slope of the </w:t>
      </w:r>
      <w:r>
        <w:rPr>
          <w:rFonts w:ascii="Georgia" w:eastAsia="Times New Roman" w:hAnsi="Georgia" w:cs="Times New Roman"/>
          <w:i/>
          <w:iCs/>
          <w:color w:val="333333"/>
          <w:sz w:val="20"/>
          <w:szCs w:val="20"/>
        </w:rPr>
        <w:t>population</w:t>
      </w:r>
      <w:r>
        <w:rPr>
          <w:rFonts w:ascii="Georgia" w:eastAsia="Times New Roman" w:hAnsi="Georgia" w:cs="Times New Roman"/>
          <w:color w:val="333333"/>
          <w:sz w:val="21"/>
          <w:szCs w:val="21"/>
        </w:rPr>
        <w:t> regression line is zero, so </w:t>
      </w:r>
      <w:r>
        <w:rPr>
          <w:rFonts w:ascii="Georgia" w:eastAsia="Times New Roman" w:hAnsi="Georgia" w:cs="Times New Roman"/>
          <w:i/>
          <w:iCs/>
          <w:color w:val="333333"/>
          <w:sz w:val="20"/>
          <w:szCs w:val="20"/>
        </w:rPr>
        <w:t>x</w:t>
      </w:r>
      <w:r>
        <w:rPr>
          <w:rFonts w:ascii="Georgia" w:eastAsia="Times New Roman" w:hAnsi="Georgia" w:cs="Times New Roman"/>
          <w:color w:val="333333"/>
          <w:sz w:val="21"/>
          <w:szCs w:val="21"/>
        </w:rPr>
        <w:t> is not a good predictor of </w:t>
      </w:r>
      <w:r>
        <w:rPr>
          <w:rFonts w:ascii="Georgia" w:eastAsia="Times New Roman" w:hAnsi="Georgia" w:cs="Times New Roman"/>
          <w:i/>
          <w:iCs/>
          <w:color w:val="333333"/>
          <w:sz w:val="20"/>
          <w:szCs w:val="20"/>
        </w:rPr>
        <w:t>y</w:t>
      </w:r>
      <w:r>
        <w:rPr>
          <w:rFonts w:ascii="Georgia" w:eastAsia="Times New Roman" w:hAnsi="Georgia" w:cs="Times New Roman"/>
          <w:color w:val="333333"/>
          <w:sz w:val="21"/>
          <w:szCs w:val="21"/>
        </w:rPr>
        <w:t>) against the natural alternative </w:t>
      </w:r>
      <w:r>
        <w:rPr>
          <w:rFonts w:ascii="MathJax_Math" w:eastAsia="Times New Roman" w:hAnsi="MathJax_Math" w:cs="Times New Roman"/>
          <w:i/>
          <w:iCs/>
          <w:color w:val="333333"/>
          <w:sz w:val="20"/>
          <w:szCs w:val="20"/>
        </w:rPr>
        <w:t>H</w:t>
      </w:r>
      <w:r>
        <w:rPr>
          <w:rFonts w:ascii="MathJax_Math" w:eastAsia="Times New Roman" w:hAnsi="MathJax_Math" w:cs="Times New Roman"/>
          <w:i/>
          <w:iCs/>
          <w:color w:val="333333"/>
          <w:sz w:val="15"/>
          <w:szCs w:val="15"/>
        </w:rPr>
        <w:t>a</w:t>
      </w:r>
      <w:r>
        <w:rPr>
          <w:rFonts w:ascii="MathJax_Main" w:eastAsia="Times New Roman" w:hAnsi="MathJax_Main" w:cs="Times New Roman"/>
          <w:color w:val="333333"/>
          <w:sz w:val="20"/>
          <w:szCs w:val="20"/>
        </w:rPr>
        <w:t>:</w:t>
      </w:r>
      <w:r>
        <w:rPr>
          <w:rFonts w:ascii="MathJax_Math" w:eastAsia="Times New Roman" w:hAnsi="MathJax_Math" w:cs="Times New Roman"/>
          <w:i/>
          <w:iCs/>
          <w:color w:val="333333"/>
          <w:sz w:val="20"/>
          <w:szCs w:val="20"/>
        </w:rPr>
        <w:t>β</w:t>
      </w:r>
      <w:r>
        <w:rPr>
          <w:rFonts w:ascii="MathJax_Main" w:eastAsia="Times New Roman" w:hAnsi="MathJax_Main" w:cs="Times New Roman"/>
          <w:color w:val="333333"/>
          <w:sz w:val="15"/>
          <w:szCs w:val="15"/>
        </w:rPr>
        <w:t>1</w:t>
      </w:r>
      <w:r>
        <w:rPr>
          <w:rFonts w:ascii="MathJax_Main" w:eastAsia="Times New Roman" w:hAnsi="MathJax_Main" w:cs="Times New Roman"/>
          <w:color w:val="333333"/>
          <w:sz w:val="20"/>
          <w:szCs w:val="20"/>
        </w:rPr>
        <w:t>&lt;0</w:t>
      </w:r>
      <w:r>
        <w:rPr>
          <w:rFonts w:ascii="Georgia" w:eastAsia="Times New Roman" w:hAnsi="Georgia" w:cs="Times New Roman"/>
          <w:color w:val="333333"/>
          <w:sz w:val="21"/>
          <w:szCs w:val="21"/>
        </w:rPr>
        <w:t> (the slope of the population regression line is negative, so final exam scores </w:t>
      </w:r>
      <w:r>
        <w:rPr>
          <w:rFonts w:ascii="Georgia" w:eastAsia="Times New Roman" w:hAnsi="Georgia" w:cs="Times New Roman"/>
          <w:i/>
          <w:iCs/>
          <w:color w:val="333333"/>
          <w:sz w:val="20"/>
          <w:szCs w:val="20"/>
        </w:rPr>
        <w:t>y</w:t>
      </w:r>
      <w:r>
        <w:rPr>
          <w:rFonts w:ascii="Georgia" w:eastAsia="Times New Roman" w:hAnsi="Georgia" w:cs="Times New Roman"/>
          <w:color w:val="333333"/>
          <w:sz w:val="21"/>
          <w:szCs w:val="21"/>
        </w:rPr>
        <w:t> go down as absences </w:t>
      </w:r>
      <w:r>
        <w:rPr>
          <w:rFonts w:ascii="Georgia" w:eastAsia="Times New Roman" w:hAnsi="Georgia" w:cs="Times New Roman"/>
          <w:i/>
          <w:iCs/>
          <w:color w:val="333333"/>
          <w:sz w:val="20"/>
          <w:szCs w:val="20"/>
        </w:rPr>
        <w:t>x</w:t>
      </w:r>
      <w:r>
        <w:rPr>
          <w:rFonts w:ascii="Georgia" w:eastAsia="Times New Roman" w:hAnsi="Georgia" w:cs="Times New Roman"/>
          <w:color w:val="333333"/>
          <w:sz w:val="21"/>
          <w:szCs w:val="21"/>
        </w:rPr>
        <w:t> go up).</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noProof/>
          <w:color w:val="333333"/>
          <w:sz w:val="21"/>
          <w:szCs w:val="21"/>
        </w:rPr>
        <w:drawing>
          <wp:inline distT="0" distB="0" distL="0" distR="0" wp14:anchorId="07617683" wp14:editId="410C2B33">
            <wp:extent cx="4857750" cy="4752975"/>
            <wp:effectExtent l="0" t="0" r="0" b="9525"/>
            <wp:docPr id="42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4857750" cy="4752975"/>
                    </a:xfrm>
                    <a:prstGeom prst="rect">
                      <a:avLst/>
                    </a:prstGeom>
                    <a:noFill/>
                    <a:ln>
                      <a:noFill/>
                    </a:ln>
                  </pic:spPr>
                </pic:pic>
              </a:graphicData>
            </a:graphic>
          </wp:inline>
        </w:drawing>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noProof/>
          <w:color w:val="333333"/>
          <w:sz w:val="21"/>
          <w:szCs w:val="21"/>
        </w:rPr>
        <w:lastRenderedPageBreak/>
        <w:drawing>
          <wp:inline distT="0" distB="0" distL="0" distR="0" wp14:anchorId="0AE2126E" wp14:editId="1DE9C3B4">
            <wp:extent cx="5105400" cy="5981700"/>
            <wp:effectExtent l="0" t="0" r="0" b="0"/>
            <wp:docPr id="42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105400" cy="5981700"/>
                    </a:xfrm>
                    <a:prstGeom prst="rect">
                      <a:avLst/>
                    </a:prstGeom>
                    <a:noFill/>
                    <a:ln>
                      <a:noFill/>
                    </a:ln>
                  </pic:spPr>
                </pic:pic>
              </a:graphicData>
            </a:graphic>
          </wp:inline>
        </w:drawing>
      </w:r>
    </w:p>
    <w:p w:rsidR="00AD77BB" w:rsidRDefault="00B45BA0">
      <w:pPr>
        <w:tabs>
          <w:tab w:val="left" w:pos="5547"/>
        </w:tabs>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2C059DA5" wp14:editId="6E7D80D4">
            <wp:extent cx="5000625" cy="5743575"/>
            <wp:effectExtent l="0" t="0" r="9525" b="9525"/>
            <wp:docPr id="429"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000625" cy="5743575"/>
                    </a:xfrm>
                    <a:prstGeom prst="rect">
                      <a:avLst/>
                    </a:prstGeom>
                    <a:noFill/>
                    <a:ln>
                      <a:noFill/>
                    </a:ln>
                  </pic:spPr>
                </pic:pic>
              </a:graphicData>
            </a:graphic>
          </wp:inline>
        </w:drawing>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or about 49%. Thus although there is a significant correlation between attendance and performance on the final exam, and we can estimate with fair accuracy the average score of students who miss a certain number of classes, nevertheless less than half the total variation of the exam scores in the sample is explained by the number of absences. This should not come as a surprise, since there are many factors besides attendance that bear on student performance on exams.</w:t>
      </w:r>
    </w:p>
    <w:p w:rsidR="00AD77BB" w:rsidRDefault="00AD77BB">
      <w:pPr>
        <w:shd w:val="clear" w:color="auto" w:fill="FFFFFF"/>
        <w:spacing w:after="0" w:line="360" w:lineRule="auto"/>
        <w:textAlignment w:val="baseline"/>
        <w:rPr>
          <w:rFonts w:ascii="Georgia" w:eastAsia="Times New Roman" w:hAnsi="Georgia" w:cs="Times New Roman"/>
          <w:color w:val="333333"/>
          <w:sz w:val="21"/>
          <w:szCs w:val="21"/>
        </w:rPr>
      </w:pPr>
    </w:p>
    <w:p w:rsidR="00AD77BB" w:rsidRDefault="00B45BA0">
      <w:pPr>
        <w:shd w:val="clear" w:color="auto" w:fill="39892F"/>
        <w:spacing w:after="150" w:line="360" w:lineRule="auto"/>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w:t>
      </w:r>
    </w:p>
    <w:p w:rsidR="00AD77BB" w:rsidRDefault="00B45BA0">
      <w:pPr>
        <w:numPr>
          <w:ilvl w:val="0"/>
          <w:numId w:val="299"/>
        </w:numPr>
        <w:shd w:val="clear" w:color="auto" w:fill="ECF9EA"/>
        <w:spacing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It is a good idea to attend class.</w:t>
      </w:r>
    </w:p>
    <w:p w:rsidR="00AD77BB" w:rsidRDefault="00B45BA0">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AD77BB" w:rsidRDefault="00B45BA0">
      <w:pPr>
        <w:shd w:val="clear" w:color="auto" w:fill="E3EFF7"/>
        <w:spacing w:before="150" w:after="0" w:line="360" w:lineRule="auto"/>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The exercises in this section are unrelated to those in previous sections.</w:t>
      </w:r>
    </w:p>
    <w:p w:rsidR="00AD77BB" w:rsidRDefault="00B45BA0">
      <w:pPr>
        <w:numPr>
          <w:ilvl w:val="0"/>
          <w:numId w:val="300"/>
        </w:numPr>
        <w:shd w:val="clear" w:color="auto" w:fill="E3EFF7"/>
        <w:spacing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data give the amount </w:t>
      </w:r>
      <w:r>
        <w:rPr>
          <w:rFonts w:ascii="Calibri" w:eastAsia="Times New Roman" w:hAnsi="Calibri" w:cs="Times New Roman"/>
          <w:i/>
          <w:iCs/>
          <w:color w:val="333333"/>
          <w:sz w:val="20"/>
          <w:szCs w:val="20"/>
        </w:rPr>
        <w:t>x</w:t>
      </w:r>
      <w:r>
        <w:rPr>
          <w:rFonts w:ascii="Calibri" w:eastAsia="Times New Roman" w:hAnsi="Calibri" w:cs="Times New Roman"/>
          <w:color w:val="333333"/>
          <w:sz w:val="20"/>
          <w:szCs w:val="20"/>
        </w:rPr>
        <w:t> of silicofluoride in the water (mg/L) and the amount </w:t>
      </w:r>
      <w:r>
        <w:rPr>
          <w:rFonts w:ascii="Calibri" w:eastAsia="Times New Roman" w:hAnsi="Calibri" w:cs="Times New Roman"/>
          <w:i/>
          <w:iCs/>
          <w:color w:val="333333"/>
          <w:sz w:val="20"/>
          <w:szCs w:val="20"/>
        </w:rPr>
        <w:t>y</w:t>
      </w:r>
      <w:r>
        <w:rPr>
          <w:rFonts w:ascii="Calibri" w:eastAsia="Times New Roman" w:hAnsi="Calibri" w:cs="Times New Roman"/>
          <w:color w:val="333333"/>
          <w:sz w:val="20"/>
          <w:szCs w:val="20"/>
        </w:rPr>
        <w:t> of lead in the bloodstream (</w:t>
      </w:r>
      <w:r>
        <w:rPr>
          <w:rFonts w:ascii="Calibri" w:eastAsia="Times New Roman" w:hAnsi="Calibri" w:cs="Times New Roman"/>
          <w:i/>
          <w:iCs/>
          <w:color w:val="333333"/>
          <w:sz w:val="20"/>
          <w:szCs w:val="20"/>
        </w:rPr>
        <w:t>μ</w:t>
      </w:r>
      <w:r>
        <w:rPr>
          <w:rFonts w:ascii="Calibri" w:eastAsia="Times New Roman" w:hAnsi="Calibri" w:cs="Times New Roman"/>
          <w:color w:val="333333"/>
          <w:sz w:val="20"/>
          <w:szCs w:val="20"/>
        </w:rPr>
        <w:t>g/dL) of ten children in various communities with and without municipal water. Perform a complete analysis of the data, in analogy with the discussion in this section (that is, make a scatter plot, do preliminary computations, find the least squares regression line, find </w:t>
      </w:r>
      <w:r>
        <w:rPr>
          <w:rFonts w:ascii="MathJax_Math" w:eastAsia="Times New Roman" w:hAnsi="MathJax_Math" w:cs="Times New Roman"/>
          <w:i/>
          <w:iCs/>
          <w:color w:val="333333"/>
          <w:sz w:val="17"/>
          <w:szCs w:val="17"/>
        </w:rPr>
        <w:t>SSE</w:t>
      </w:r>
      <w:r>
        <w:rPr>
          <w:rFonts w:ascii="Calibri" w:eastAsia="Times New Roman" w:hAnsi="Calibri" w:cs="Times New Roman"/>
          <w:color w:val="333333"/>
          <w:sz w:val="20"/>
          <w:szCs w:val="20"/>
        </w:rPr>
        <w:t>, </w:t>
      </w:r>
      <w:r>
        <w:rPr>
          <w:rFonts w:ascii="MathJax_Math" w:eastAsia="Times New Roman" w:hAnsi="MathJax_Math" w:cs="Times New Roman"/>
          <w:i/>
          <w:iCs/>
          <w:color w:val="333333"/>
          <w:sz w:val="17"/>
          <w:szCs w:val="17"/>
        </w:rPr>
        <w:t>s</w:t>
      </w:r>
      <w:r>
        <w:rPr>
          <w:rFonts w:ascii="MathJax_Math" w:eastAsia="Times New Roman" w:hAnsi="MathJax_Math" w:cs="Times New Roman"/>
          <w:i/>
          <w:iCs/>
          <w:color w:val="333333"/>
          <w:sz w:val="12"/>
          <w:szCs w:val="12"/>
        </w:rPr>
        <w:t>ε</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r</w:t>
      </w:r>
      <w:r>
        <w:rPr>
          <w:rFonts w:ascii="Calibri" w:eastAsia="Times New Roman" w:hAnsi="Calibri" w:cs="Times New Roman"/>
          <w:color w:val="333333"/>
          <w:sz w:val="20"/>
          <w:szCs w:val="20"/>
        </w:rPr>
        <w:t>, and so on). In the hypothesis test use as the alternative hypothesis </w:t>
      </w:r>
      <w:r>
        <w:rPr>
          <w:rFonts w:ascii="MathJax_Math" w:eastAsia="Times New Roman" w:hAnsi="MathJax_Math" w:cs="Times New Roman"/>
          <w:i/>
          <w:iCs/>
          <w:color w:val="333333"/>
          <w:sz w:val="17"/>
          <w:szCs w:val="17"/>
        </w:rPr>
        <w:t>β</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7"/>
          <w:szCs w:val="17"/>
        </w:rPr>
        <w:t>&gt;0</w:t>
      </w:r>
      <w:r>
        <w:rPr>
          <w:rFonts w:ascii="Calibri" w:eastAsia="Times New Roman" w:hAnsi="Calibri" w:cs="Times New Roman"/>
          <w:color w:val="333333"/>
          <w:sz w:val="20"/>
          <w:szCs w:val="20"/>
        </w:rPr>
        <w:t>, and test at the 5% level of significance. Use confidence level 95% for the confidence interval for </w:t>
      </w:r>
      <w:r>
        <w:rPr>
          <w:rFonts w:ascii="MathJax_Math" w:eastAsia="Times New Roman" w:hAnsi="MathJax_Math" w:cs="Times New Roman"/>
          <w:i/>
          <w:iCs/>
          <w:color w:val="333333"/>
          <w:sz w:val="17"/>
          <w:szCs w:val="17"/>
        </w:rPr>
        <w:t>β</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7"/>
          <w:szCs w:val="17"/>
        </w:rPr>
        <w:t>.</w:t>
      </w:r>
      <w:r>
        <w:rPr>
          <w:rFonts w:ascii="Calibri" w:eastAsia="Times New Roman" w:hAnsi="Calibri" w:cs="Times New Roman"/>
          <w:color w:val="333333"/>
          <w:sz w:val="20"/>
          <w:szCs w:val="20"/>
        </w:rPr>
        <w:t> Construct 95% confidence and predictions intervals at </w:t>
      </w:r>
      <w:r>
        <w:rPr>
          <w:rFonts w:ascii="MathJax_Math" w:eastAsia="Times New Roman" w:hAnsi="MathJax_Math" w:cs="Times New Roman"/>
          <w:i/>
          <w:iCs/>
          <w:color w:val="333333"/>
          <w:sz w:val="17"/>
          <w:szCs w:val="17"/>
        </w:rPr>
        <w:t>x</w:t>
      </w:r>
      <w:r>
        <w:rPr>
          <w:rFonts w:ascii="MathJax_Math" w:eastAsia="Times New Roman" w:hAnsi="MathJax_Math" w:cs="Times New Roman"/>
          <w:i/>
          <w:iCs/>
          <w:color w:val="333333"/>
          <w:sz w:val="12"/>
          <w:szCs w:val="12"/>
        </w:rPr>
        <w:t>p</w:t>
      </w:r>
      <w:r>
        <w:rPr>
          <w:rFonts w:ascii="MathJax_Main" w:eastAsia="Times New Roman" w:hAnsi="MathJax_Main" w:cs="Times New Roman"/>
          <w:color w:val="333333"/>
          <w:sz w:val="17"/>
          <w:szCs w:val="17"/>
        </w:rPr>
        <w:t>=2</w:t>
      </w:r>
      <w:r>
        <w:rPr>
          <w:rFonts w:ascii="Calibri" w:eastAsia="Times New Roman" w:hAnsi="Calibri" w:cs="Times New Roman"/>
          <w:color w:val="333333"/>
          <w:sz w:val="20"/>
          <w:szCs w:val="20"/>
        </w:rPr>
        <w:t> at the end.</w:t>
      </w:r>
    </w:p>
    <w:p w:rsidR="00AD77BB" w:rsidRDefault="00B45BA0">
      <w:pPr>
        <w:tabs>
          <w:tab w:val="left" w:pos="5547"/>
        </w:tabs>
        <w:rPr>
          <w:rFonts w:ascii="Calibri" w:eastAsia="Times New Roman" w:hAnsi="Calibri" w:cs="Times New Roman"/>
          <w:sz w:val="20"/>
          <w:szCs w:val="20"/>
        </w:rPr>
      </w:pPr>
      <w:r>
        <w:rPr>
          <w:rFonts w:ascii="Calibri" w:eastAsia="Times New Roman" w:hAnsi="Calibri" w:cs="Times New Roman"/>
          <w:noProof/>
          <w:sz w:val="20"/>
          <w:szCs w:val="20"/>
        </w:rPr>
        <w:drawing>
          <wp:inline distT="0" distB="0" distL="0" distR="0" wp14:anchorId="5FC44691" wp14:editId="07D404C4">
            <wp:extent cx="4810125" cy="5762625"/>
            <wp:effectExtent l="0" t="0" r="9525" b="9525"/>
            <wp:docPr id="430"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4810125" cy="5762625"/>
                    </a:xfrm>
                    <a:prstGeom prst="rect">
                      <a:avLst/>
                    </a:prstGeom>
                    <a:noFill/>
                    <a:ln>
                      <a:noFill/>
                    </a:ln>
                  </pic:spPr>
                </pic:pic>
              </a:graphicData>
            </a:graphic>
          </wp:inline>
        </w:drawing>
      </w:r>
    </w:p>
    <w:p w:rsidR="00AD77BB" w:rsidRDefault="00B45BA0">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2689C6"/>
          <w:sz w:val="20"/>
          <w:szCs w:val="20"/>
        </w:rPr>
        <w:t>http://www.3.xls</w:t>
      </w:r>
    </w:p>
    <w:p w:rsidR="00AD77BB" w:rsidRDefault="00B45BA0">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2689C6"/>
          <w:sz w:val="20"/>
          <w:szCs w:val="20"/>
        </w:rPr>
        <w:t>http://www.3A.xls</w:t>
      </w:r>
    </w:p>
    <w:p w:rsidR="00AD77BB" w:rsidRDefault="00B45BA0">
      <w:pPr>
        <w:pStyle w:val="para"/>
        <w:numPr>
          <w:ilvl w:val="0"/>
          <w:numId w:val="301"/>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lastRenderedPageBreak/>
        <w:t>Separate out from Large Data Set 3A just the data on men and do a complete analysis, with shoe size as the independent variable (</w:t>
      </w:r>
      <w:r>
        <w:rPr>
          <w:rStyle w:val="Emphasis"/>
          <w:rFonts w:ascii="Calibri" w:hAnsi="Calibri"/>
          <w:color w:val="333333"/>
          <w:sz w:val="20"/>
          <w:szCs w:val="20"/>
        </w:rPr>
        <w:t>x</w:t>
      </w:r>
      <w:r>
        <w:rPr>
          <w:rFonts w:ascii="Calibri" w:hAnsi="Calibri"/>
          <w:color w:val="333333"/>
          <w:sz w:val="20"/>
          <w:szCs w:val="20"/>
        </w:rPr>
        <w:t>) and height as the dependent variable (</w:t>
      </w:r>
      <w:r>
        <w:rPr>
          <w:rStyle w:val="Emphasis"/>
          <w:rFonts w:ascii="Calibri" w:hAnsi="Calibri"/>
          <w:color w:val="333333"/>
          <w:sz w:val="20"/>
          <w:szCs w:val="20"/>
        </w:rPr>
        <w:t>y</w:t>
      </w:r>
      <w:r>
        <w:rPr>
          <w:rFonts w:ascii="Calibri" w:hAnsi="Calibri"/>
          <w:color w:val="333333"/>
          <w:sz w:val="20"/>
          <w:szCs w:val="20"/>
        </w:rPr>
        <w:t>). Use</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rPr>
        <w:t>α</w:t>
      </w:r>
      <w:r>
        <w:rPr>
          <w:rStyle w:val="mo"/>
          <w:rFonts w:ascii="MathJax_Main" w:hAnsi="MathJax_Main"/>
          <w:color w:val="333333"/>
          <w:sz w:val="17"/>
          <w:szCs w:val="17"/>
        </w:rPr>
        <w:t>=</w:t>
      </w:r>
      <w:r>
        <w:rPr>
          <w:rStyle w:val="mn"/>
          <w:rFonts w:ascii="MathJax_Main" w:hAnsi="MathJax_Main"/>
          <w:color w:val="333333"/>
          <w:sz w:val="17"/>
          <w:szCs w:val="17"/>
        </w:rPr>
        <w:t>0.05</w:t>
      </w:r>
      <w:r>
        <w:rPr>
          <w:rStyle w:val="apple-converted-space"/>
          <w:rFonts w:ascii="Calibri" w:eastAsiaTheme="majorEastAsia" w:hAnsi="Calibri"/>
          <w:color w:val="333333"/>
          <w:sz w:val="20"/>
          <w:szCs w:val="20"/>
        </w:rPr>
        <w:t> </w:t>
      </w:r>
      <w:r>
        <w:rPr>
          <w:rFonts w:ascii="Calibri" w:hAnsi="Calibri"/>
          <w:color w:val="333333"/>
          <w:sz w:val="20"/>
          <w:szCs w:val="20"/>
        </w:rPr>
        <w:t>and</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rPr>
        <w:t>x</w:t>
      </w:r>
      <w:r>
        <w:rPr>
          <w:rStyle w:val="mi"/>
          <w:rFonts w:ascii="MathJax_Math" w:hAnsi="MathJax_Math"/>
          <w:i/>
          <w:iCs/>
          <w:color w:val="333333"/>
          <w:sz w:val="12"/>
          <w:szCs w:val="12"/>
        </w:rPr>
        <w:t>p</w:t>
      </w:r>
      <w:r>
        <w:rPr>
          <w:rStyle w:val="mo"/>
          <w:rFonts w:ascii="MathJax_Main" w:hAnsi="MathJax_Main"/>
          <w:color w:val="333333"/>
          <w:sz w:val="17"/>
          <w:szCs w:val="17"/>
        </w:rPr>
        <w:t>=</w:t>
      </w:r>
      <w:r>
        <w:rPr>
          <w:rStyle w:val="mn"/>
          <w:rFonts w:ascii="MathJax_Main" w:hAnsi="MathJax_Main"/>
          <w:color w:val="333333"/>
          <w:sz w:val="17"/>
          <w:szCs w:val="17"/>
        </w:rPr>
        <w:t>10</w:t>
      </w:r>
      <w:r>
        <w:rPr>
          <w:rStyle w:val="apple-converted-space"/>
          <w:rFonts w:ascii="Calibri" w:eastAsiaTheme="majorEastAsia" w:hAnsi="Calibri"/>
          <w:color w:val="333333"/>
          <w:sz w:val="20"/>
          <w:szCs w:val="20"/>
        </w:rPr>
        <w:t> </w:t>
      </w:r>
      <w:r>
        <w:rPr>
          <w:rFonts w:ascii="Calibri" w:hAnsi="Calibri"/>
          <w:color w:val="333333"/>
          <w:sz w:val="20"/>
          <w:szCs w:val="20"/>
        </w:rPr>
        <w:t>whenever appropriate.</w:t>
      </w:r>
    </w:p>
    <w:p w:rsidR="00AD77BB" w:rsidRDefault="00B45BA0">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2689C6"/>
          <w:sz w:val="20"/>
          <w:szCs w:val="20"/>
        </w:rPr>
        <w:t>http://www.3A.xls</w:t>
      </w:r>
    </w:p>
    <w:p w:rsidR="00AD77BB" w:rsidRDefault="00AD77BB">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p>
    <w:p w:rsidR="00AD77BB" w:rsidRDefault="00B45BA0">
      <w:pPr>
        <w:pStyle w:val="para"/>
        <w:numPr>
          <w:ilvl w:val="0"/>
          <w:numId w:val="301"/>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Separate out from Large Data Set 3A just the data on women and do a complete analysis, with shoe size as the independent variable (</w:t>
      </w:r>
      <w:r>
        <w:rPr>
          <w:rStyle w:val="Emphasis"/>
          <w:rFonts w:ascii="Calibri" w:hAnsi="Calibri"/>
          <w:color w:val="333333"/>
          <w:sz w:val="20"/>
          <w:szCs w:val="20"/>
        </w:rPr>
        <w:t>x</w:t>
      </w:r>
      <w:r>
        <w:rPr>
          <w:rFonts w:ascii="Calibri" w:hAnsi="Calibri"/>
          <w:color w:val="333333"/>
          <w:sz w:val="20"/>
          <w:szCs w:val="20"/>
        </w:rPr>
        <w:t>) and height as the dependent variable (</w:t>
      </w:r>
      <w:r>
        <w:rPr>
          <w:rStyle w:val="Emphasis"/>
          <w:rFonts w:ascii="Calibri" w:hAnsi="Calibri"/>
          <w:color w:val="333333"/>
          <w:sz w:val="20"/>
          <w:szCs w:val="20"/>
        </w:rPr>
        <w:t>y</w:t>
      </w:r>
      <w:r>
        <w:rPr>
          <w:rFonts w:ascii="Calibri" w:hAnsi="Calibri"/>
          <w:color w:val="333333"/>
          <w:sz w:val="20"/>
          <w:szCs w:val="20"/>
        </w:rPr>
        <w:t>). Use</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rPr>
        <w:t>α</w:t>
      </w:r>
      <w:r>
        <w:rPr>
          <w:rStyle w:val="mo"/>
          <w:rFonts w:ascii="MathJax_Main" w:hAnsi="MathJax_Main"/>
          <w:color w:val="333333"/>
          <w:sz w:val="17"/>
          <w:szCs w:val="17"/>
        </w:rPr>
        <w:t>=</w:t>
      </w:r>
      <w:r>
        <w:rPr>
          <w:rStyle w:val="mn"/>
          <w:rFonts w:ascii="MathJax_Main" w:hAnsi="MathJax_Main"/>
          <w:color w:val="333333"/>
          <w:sz w:val="17"/>
          <w:szCs w:val="17"/>
        </w:rPr>
        <w:t>0.05</w:t>
      </w:r>
      <w:r>
        <w:rPr>
          <w:rStyle w:val="apple-converted-space"/>
          <w:rFonts w:ascii="Calibri" w:eastAsiaTheme="majorEastAsia" w:hAnsi="Calibri"/>
          <w:color w:val="333333"/>
          <w:sz w:val="20"/>
          <w:szCs w:val="20"/>
        </w:rPr>
        <w:t> </w:t>
      </w:r>
      <w:r>
        <w:rPr>
          <w:rFonts w:ascii="Calibri" w:hAnsi="Calibri"/>
          <w:color w:val="333333"/>
          <w:sz w:val="20"/>
          <w:szCs w:val="20"/>
        </w:rPr>
        <w:t>and</w:t>
      </w:r>
      <w:r>
        <w:rPr>
          <w:rStyle w:val="apple-converted-space"/>
          <w:rFonts w:ascii="Calibri" w:eastAsiaTheme="majorEastAsia" w:hAnsi="Calibri"/>
          <w:color w:val="333333"/>
          <w:sz w:val="20"/>
          <w:szCs w:val="20"/>
        </w:rPr>
        <w:t> </w:t>
      </w:r>
      <w:r>
        <w:rPr>
          <w:rStyle w:val="mi"/>
          <w:rFonts w:ascii="MathJax_Math" w:hAnsi="MathJax_Math"/>
          <w:i/>
          <w:iCs/>
          <w:color w:val="333333"/>
          <w:sz w:val="17"/>
          <w:szCs w:val="17"/>
        </w:rPr>
        <w:t>x</w:t>
      </w:r>
      <w:r>
        <w:rPr>
          <w:rStyle w:val="mi"/>
          <w:rFonts w:ascii="MathJax_Math" w:hAnsi="MathJax_Math"/>
          <w:i/>
          <w:iCs/>
          <w:color w:val="333333"/>
          <w:sz w:val="12"/>
          <w:szCs w:val="12"/>
        </w:rPr>
        <w:t>p</w:t>
      </w:r>
      <w:r>
        <w:rPr>
          <w:rStyle w:val="mo"/>
          <w:rFonts w:ascii="MathJax_Main" w:hAnsi="MathJax_Main"/>
          <w:color w:val="333333"/>
          <w:sz w:val="17"/>
          <w:szCs w:val="17"/>
        </w:rPr>
        <w:t>=</w:t>
      </w:r>
      <w:r>
        <w:rPr>
          <w:rStyle w:val="mn"/>
          <w:rFonts w:ascii="MathJax_Main" w:hAnsi="MathJax_Main"/>
          <w:color w:val="333333"/>
          <w:sz w:val="17"/>
          <w:szCs w:val="17"/>
        </w:rPr>
        <w:t>10</w:t>
      </w:r>
      <w:r>
        <w:rPr>
          <w:rStyle w:val="apple-converted-space"/>
          <w:rFonts w:ascii="Calibri" w:eastAsiaTheme="majorEastAsia" w:hAnsi="Calibri"/>
          <w:color w:val="333333"/>
          <w:sz w:val="20"/>
          <w:szCs w:val="20"/>
        </w:rPr>
        <w:t> </w:t>
      </w:r>
      <w:r>
        <w:rPr>
          <w:rFonts w:ascii="Calibri" w:hAnsi="Calibri"/>
          <w:color w:val="333333"/>
          <w:sz w:val="20"/>
          <w:szCs w:val="20"/>
        </w:rPr>
        <w:t>whenever appropriate.</w:t>
      </w:r>
    </w:p>
    <w:p w:rsidR="00AD77BB" w:rsidRDefault="00B45BA0">
      <w:pPr>
        <w:pStyle w:val="para"/>
        <w:shd w:val="clear" w:color="auto" w:fill="DAEEF3" w:themeFill="accent5" w:themeFillTint="33"/>
        <w:spacing w:before="0" w:beforeAutospacing="0" w:after="0" w:afterAutospacing="0" w:line="360" w:lineRule="auto"/>
        <w:ind w:left="446"/>
        <w:textAlignment w:val="baseline"/>
        <w:rPr>
          <w:rFonts w:ascii="Calibri" w:hAnsi="Calibri"/>
          <w:color w:val="333333"/>
          <w:sz w:val="20"/>
          <w:szCs w:val="20"/>
        </w:rPr>
      </w:pPr>
      <w:r>
        <w:rPr>
          <w:rFonts w:ascii="Calibri" w:hAnsi="Calibri"/>
          <w:color w:val="2689C6"/>
          <w:sz w:val="20"/>
          <w:szCs w:val="20"/>
        </w:rPr>
        <w:t>http://www.3A.xls</w:t>
      </w:r>
    </w:p>
    <w:p w:rsidR="00AD77BB" w:rsidRDefault="00B45BA0">
      <w:pPr>
        <w:tabs>
          <w:tab w:val="left" w:pos="5547"/>
        </w:tabs>
        <w:ind w:left="446"/>
        <w:rPr>
          <w:rFonts w:ascii="Calibri" w:eastAsia="Times New Roman" w:hAnsi="Calibri" w:cs="Times New Roman"/>
          <w:sz w:val="20"/>
          <w:szCs w:val="20"/>
        </w:rPr>
      </w:pPr>
      <w:r>
        <w:rPr>
          <w:rFonts w:ascii="Calibri" w:eastAsia="Times New Roman" w:hAnsi="Calibri" w:cs="Times New Roman"/>
          <w:noProof/>
          <w:sz w:val="20"/>
          <w:szCs w:val="20"/>
        </w:rPr>
        <w:drawing>
          <wp:inline distT="0" distB="0" distL="0" distR="0" wp14:anchorId="55E0C73F" wp14:editId="2B4892BB">
            <wp:extent cx="4448175" cy="5943600"/>
            <wp:effectExtent l="0" t="0" r="9525" b="0"/>
            <wp:docPr id="431"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4448175" cy="5943600"/>
                    </a:xfrm>
                    <a:prstGeom prst="rect">
                      <a:avLst/>
                    </a:prstGeom>
                    <a:noFill/>
                    <a:ln>
                      <a:noFill/>
                    </a:ln>
                  </pic:spPr>
                </pic:pic>
              </a:graphicData>
            </a:graphic>
          </wp:inline>
        </w:drawing>
      </w:r>
    </w:p>
    <w:p w:rsidR="00AD77BB" w:rsidRDefault="00B45BA0">
      <w:pPr>
        <w:tabs>
          <w:tab w:val="left" w:pos="5547"/>
        </w:tabs>
        <w:ind w:left="446"/>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1A31D76B" wp14:editId="0521E24A">
            <wp:extent cx="4838700" cy="5400675"/>
            <wp:effectExtent l="0" t="0" r="0" b="9525"/>
            <wp:docPr id="432"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443">
                      <a:extLst>
                        <a:ext uri="{28A0092B-C50C-407E-A947-70E740481C1C}">
                          <a14:useLocalDpi xmlns:a14="http://schemas.microsoft.com/office/drawing/2010/main" val="0"/>
                        </a:ext>
                      </a:extLst>
                    </a:blip>
                    <a:srcRect l="1718"/>
                    <a:stretch>
                      <a:fillRect/>
                    </a:stretch>
                  </pic:blipFill>
                  <pic:spPr bwMode="auto">
                    <a:xfrm>
                      <a:off x="0" y="0"/>
                      <a:ext cx="4838700" cy="5400675"/>
                    </a:xfrm>
                    <a:prstGeom prst="rect">
                      <a:avLst/>
                    </a:prstGeom>
                    <a:noFill/>
                    <a:ln>
                      <a:noFill/>
                    </a:ln>
                  </pic:spPr>
                </pic:pic>
              </a:graphicData>
            </a:graphic>
          </wp:inline>
        </w:drawing>
      </w:r>
    </w:p>
    <w:p w:rsidR="00AD77BB" w:rsidRDefault="00B45BA0">
      <w:pPr>
        <w:tabs>
          <w:tab w:val="left" w:pos="5547"/>
        </w:tabs>
        <w:ind w:left="446"/>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7FF2F01E" wp14:editId="25F2BACB">
            <wp:extent cx="4543425" cy="3905250"/>
            <wp:effectExtent l="0" t="0" r="9525" b="0"/>
            <wp:docPr id="433"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4543425" cy="3905250"/>
                    </a:xfrm>
                    <a:prstGeom prst="rect">
                      <a:avLst/>
                    </a:prstGeom>
                    <a:noFill/>
                    <a:ln>
                      <a:noFill/>
                    </a:ln>
                  </pic:spPr>
                </pic:pic>
              </a:graphicData>
            </a:graphic>
          </wp:inline>
        </w:drawing>
      </w: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B45BA0">
      <w:pPr>
        <w:shd w:val="clear" w:color="auto" w:fill="FFFFFF"/>
        <w:spacing w:after="0" w:line="240" w:lineRule="atLeast"/>
        <w:jc w:val="center"/>
        <w:textAlignment w:val="baseline"/>
        <w:outlineLvl w:val="0"/>
        <w:rPr>
          <w:rFonts w:ascii="Calibri" w:eastAsia="Times New Roman" w:hAnsi="Calibri" w:cs="Times New Roman"/>
          <w:b/>
          <w:bCs/>
          <w:color w:val="000000"/>
          <w:kern w:val="36"/>
          <w:sz w:val="38"/>
          <w:szCs w:val="38"/>
        </w:rPr>
      </w:pPr>
      <w:r>
        <w:rPr>
          <w:rFonts w:ascii="Calibri" w:eastAsia="Times New Roman" w:hAnsi="Calibri" w:cs="Times New Roman"/>
          <w:b/>
          <w:bCs/>
          <w:color w:val="000000"/>
          <w:kern w:val="36"/>
          <w:sz w:val="38"/>
          <w:szCs w:val="38"/>
        </w:rPr>
        <w:lastRenderedPageBreak/>
        <w:t>Chapter 11</w:t>
      </w:r>
    </w:p>
    <w:p w:rsidR="00AD77BB" w:rsidRDefault="00B45BA0">
      <w:pPr>
        <w:shd w:val="clear" w:color="auto" w:fill="FFFFFF"/>
        <w:spacing w:after="0" w:line="240" w:lineRule="atLeast"/>
        <w:jc w:val="center"/>
        <w:textAlignment w:val="baseline"/>
        <w:outlineLvl w:val="0"/>
        <w:rPr>
          <w:rFonts w:ascii="Calibri" w:eastAsia="Times New Roman" w:hAnsi="Calibri" w:cs="Times New Roman"/>
          <w:b/>
          <w:bCs/>
          <w:color w:val="08629A"/>
          <w:kern w:val="36"/>
          <w:sz w:val="41"/>
          <w:szCs w:val="41"/>
        </w:rPr>
      </w:pPr>
      <w:r>
        <w:rPr>
          <w:rFonts w:ascii="Calibri" w:eastAsia="Times New Roman" w:hAnsi="Calibri" w:cs="Times New Roman"/>
          <w:b/>
          <w:bCs/>
          <w:color w:val="08629A"/>
          <w:kern w:val="36"/>
          <w:sz w:val="41"/>
          <w:szCs w:val="41"/>
        </w:rPr>
        <w:t>Chi-Square Tests and </w:t>
      </w:r>
      <w:r>
        <w:rPr>
          <w:rFonts w:ascii="Calibri" w:eastAsia="Times New Roman" w:hAnsi="Calibri" w:cs="Times New Roman"/>
          <w:b/>
          <w:bCs/>
          <w:i/>
          <w:iCs/>
          <w:color w:val="08629A"/>
          <w:kern w:val="36"/>
          <w:sz w:val="38"/>
          <w:szCs w:val="38"/>
        </w:rPr>
        <w:t>F</w:t>
      </w:r>
      <w:r>
        <w:rPr>
          <w:rFonts w:ascii="Calibri" w:eastAsia="Times New Roman" w:hAnsi="Calibri" w:cs="Times New Roman"/>
          <w:b/>
          <w:bCs/>
          <w:color w:val="08629A"/>
          <w:kern w:val="36"/>
          <w:sz w:val="41"/>
          <w:szCs w:val="41"/>
        </w:rPr>
        <w:t>-Tests</w:t>
      </w:r>
    </w:p>
    <w:p w:rsidR="00AD77BB" w:rsidRDefault="00AD77BB">
      <w:pPr>
        <w:shd w:val="clear" w:color="auto" w:fill="FFFFFF"/>
        <w:spacing w:after="0" w:line="240" w:lineRule="atLeast"/>
        <w:jc w:val="center"/>
        <w:textAlignment w:val="baseline"/>
        <w:outlineLvl w:val="0"/>
        <w:rPr>
          <w:rFonts w:ascii="Calibri" w:eastAsia="Times New Roman" w:hAnsi="Calibri" w:cs="Times New Roman"/>
          <w:b/>
          <w:bCs/>
          <w:color w:val="08629A"/>
          <w:kern w:val="36"/>
          <w:sz w:val="41"/>
          <w:szCs w:val="41"/>
        </w:rPr>
      </w:pP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In previous chapters you saw how to test hypotheses concerning population means and population proportions. The idea of testing hypotheses can be extended to many other situations that involve different parameters and use different test statistics. Whereas the standardized test statistics that appeared in earlier chapters followed either a normal or Student </w:t>
      </w:r>
      <w:r>
        <w:rPr>
          <w:rFonts w:ascii="Georgia" w:eastAsia="Times New Roman" w:hAnsi="Georgia" w:cs="Times New Roman"/>
          <w:i/>
          <w:iCs/>
          <w:color w:val="333333"/>
          <w:sz w:val="20"/>
          <w:szCs w:val="20"/>
        </w:rPr>
        <w:t>t</w:t>
      </w:r>
      <w:r>
        <w:rPr>
          <w:rFonts w:ascii="Georgia" w:eastAsia="Times New Roman" w:hAnsi="Georgia" w:cs="Times New Roman"/>
          <w:color w:val="333333"/>
          <w:sz w:val="21"/>
          <w:szCs w:val="21"/>
        </w:rPr>
        <w:t>-distribution, in this chapter the tests will involve two other very common and useful distributions, the chi-square and the </w:t>
      </w:r>
      <w:r>
        <w:rPr>
          <w:rFonts w:ascii="Georgia" w:eastAsia="Times New Roman" w:hAnsi="Georgia" w:cs="Times New Roman"/>
          <w:i/>
          <w:iCs/>
          <w:color w:val="333333"/>
          <w:sz w:val="20"/>
          <w:szCs w:val="20"/>
        </w:rPr>
        <w:t>F</w:t>
      </w:r>
      <w:r>
        <w:rPr>
          <w:rFonts w:ascii="Georgia" w:eastAsia="Times New Roman" w:hAnsi="Georgia" w:cs="Times New Roman"/>
          <w:color w:val="333333"/>
          <w:sz w:val="21"/>
          <w:szCs w:val="21"/>
        </w:rPr>
        <w:t>-distributions. The </w:t>
      </w:r>
      <w:r>
        <w:rPr>
          <w:rFonts w:ascii="Georgia" w:eastAsia="Times New Roman" w:hAnsi="Georgia" w:cs="Times New Roman"/>
          <w:b/>
          <w:color w:val="333333"/>
          <w:sz w:val="20"/>
          <w:szCs w:val="20"/>
        </w:rPr>
        <w:t>chi-square distribution</w:t>
      </w:r>
      <w:r>
        <w:rPr>
          <w:rFonts w:ascii="Georgia" w:eastAsia="Times New Roman" w:hAnsi="Georgia" w:cs="Times New Roman"/>
          <w:color w:val="333333"/>
          <w:sz w:val="21"/>
          <w:szCs w:val="21"/>
        </w:rPr>
        <w:t xml:space="preserve"> arises in tests of hypotheses concerning the independence of two random variables and concerning whether a discrete random variable follows a specified distribution. The </w:t>
      </w:r>
      <w:r>
        <w:rPr>
          <w:rFonts w:ascii="Georgia" w:eastAsia="Times New Roman" w:hAnsi="Georgia" w:cs="Times New Roman"/>
          <w:b/>
          <w:color w:val="333333"/>
          <w:sz w:val="20"/>
          <w:szCs w:val="20"/>
        </w:rPr>
        <w:t>F-distribution</w:t>
      </w:r>
      <w:r>
        <w:rPr>
          <w:rFonts w:ascii="Georgia" w:eastAsia="Times New Roman" w:hAnsi="Georgia" w:cs="Times New Roman"/>
          <w:color w:val="333333"/>
          <w:sz w:val="21"/>
          <w:szCs w:val="21"/>
        </w:rPr>
        <w:t> arises in tests of hypotheses concerning whether or not two population variances are equal and concerning whether or not three or more population means are equal.</w:t>
      </w: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AD77BB">
      <w:pPr>
        <w:tabs>
          <w:tab w:val="left" w:pos="5547"/>
        </w:tabs>
        <w:ind w:left="446"/>
        <w:rPr>
          <w:rFonts w:ascii="Calibri" w:eastAsia="Times New Roman" w:hAnsi="Calibri" w:cs="Times New Roman"/>
          <w:sz w:val="20"/>
          <w:szCs w:val="20"/>
        </w:rPr>
      </w:pPr>
    </w:p>
    <w:p w:rsidR="00AD77BB" w:rsidRDefault="00B45BA0">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3"/>
          <w:szCs w:val="33"/>
        </w:rPr>
        <w:lastRenderedPageBreak/>
        <w:t>11.1</w:t>
      </w:r>
      <w:r>
        <w:rPr>
          <w:rFonts w:ascii="Calibri" w:eastAsia="Times New Roman" w:hAnsi="Calibri" w:cs="Times New Roman"/>
          <w:b/>
          <w:bCs/>
          <w:color w:val="333333"/>
          <w:sz w:val="36"/>
          <w:szCs w:val="36"/>
        </w:rPr>
        <w:t> Chi-Square Tests for Independence</w:t>
      </w:r>
    </w:p>
    <w:p w:rsidR="00AD77BB" w:rsidRDefault="00B45BA0">
      <w:pPr>
        <w:shd w:val="clear" w:color="auto" w:fill="D2D1C2"/>
        <w:spacing w:after="150" w:line="264" w:lineRule="atLeast"/>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rsidR="00AD77BB" w:rsidRDefault="00B45BA0">
      <w:pPr>
        <w:numPr>
          <w:ilvl w:val="0"/>
          <w:numId w:val="302"/>
        </w:numPr>
        <w:shd w:val="clear" w:color="auto" w:fill="EAE9DC"/>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understand what chi-square distributions are.</w:t>
      </w:r>
    </w:p>
    <w:p w:rsidR="00AD77BB" w:rsidRDefault="00B45BA0">
      <w:pPr>
        <w:numPr>
          <w:ilvl w:val="0"/>
          <w:numId w:val="302"/>
        </w:numPr>
        <w:shd w:val="clear" w:color="auto" w:fill="EAE9DC"/>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 understand how to use a chi-square test to judge whether two factors are independent.</w:t>
      </w:r>
    </w:p>
    <w:p w:rsidR="00AD77BB" w:rsidRDefault="00AD77BB">
      <w:pPr>
        <w:shd w:val="clear" w:color="auto" w:fill="FFFFFF"/>
        <w:spacing w:after="0" w:line="360" w:lineRule="auto"/>
        <w:textAlignment w:val="baseline"/>
        <w:outlineLvl w:val="1"/>
        <w:rPr>
          <w:rFonts w:ascii="Calibri" w:eastAsia="Times New Roman" w:hAnsi="Calibri" w:cs="Times New Roman"/>
          <w:b/>
          <w:bCs/>
          <w:color w:val="333333"/>
          <w:sz w:val="28"/>
          <w:szCs w:val="28"/>
        </w:rPr>
      </w:pPr>
    </w:p>
    <w:p w:rsidR="00AD77BB" w:rsidRDefault="00B45BA0">
      <w:pPr>
        <w:shd w:val="clear" w:color="auto" w:fill="FFFFFF"/>
        <w:spacing w:after="0" w:line="360" w:lineRule="auto"/>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Chi-Square Distributions</w:t>
      </w:r>
    </w:p>
    <w:p w:rsidR="00AD77BB" w:rsidRDefault="00B45BA0">
      <w:pPr>
        <w:shd w:val="clear" w:color="auto" w:fill="FFFFFF"/>
        <w:spacing w:after="0" w:line="360" w:lineRule="auto"/>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you know, there is a whole family of </w:t>
      </w:r>
      <w:r>
        <w:rPr>
          <w:rFonts w:ascii="Georgia" w:eastAsia="Times New Roman" w:hAnsi="Georgia" w:cs="Times New Roman"/>
          <w:i/>
          <w:iCs/>
          <w:color w:val="333333"/>
          <w:sz w:val="20"/>
          <w:szCs w:val="20"/>
        </w:rPr>
        <w:t>t</w:t>
      </w:r>
      <w:r>
        <w:rPr>
          <w:rFonts w:ascii="Georgia" w:eastAsia="Times New Roman" w:hAnsi="Georgia" w:cs="Times New Roman"/>
          <w:color w:val="333333"/>
          <w:sz w:val="20"/>
          <w:szCs w:val="20"/>
        </w:rPr>
        <w:t>-distributions, each one specified by a parameter called the </w:t>
      </w:r>
      <w:r>
        <w:rPr>
          <w:rFonts w:ascii="Georgia" w:eastAsia="Times New Roman" w:hAnsi="Georgia" w:cs="Times New Roman"/>
          <w:i/>
          <w:iCs/>
          <w:color w:val="333333"/>
          <w:sz w:val="20"/>
          <w:szCs w:val="20"/>
        </w:rPr>
        <w:t>degrees of freedom</w:t>
      </w:r>
      <w:r>
        <w:rPr>
          <w:rFonts w:ascii="Georgia" w:eastAsia="Times New Roman" w:hAnsi="Georgia" w:cs="Times New Roman"/>
          <w:color w:val="333333"/>
          <w:sz w:val="20"/>
          <w:szCs w:val="20"/>
        </w:rPr>
        <w:t>, denoted </w:t>
      </w:r>
      <w:r>
        <w:rPr>
          <w:rFonts w:ascii="MathJax_Math" w:eastAsia="Times New Roman" w:hAnsi="MathJax_Math" w:cs="Times New Roman"/>
          <w:i/>
          <w:iCs/>
          <w:color w:val="333333"/>
          <w:sz w:val="20"/>
          <w:szCs w:val="20"/>
        </w:rPr>
        <w:t>df</w:t>
      </w:r>
      <w:r>
        <w:rPr>
          <w:rFonts w:ascii="MathJax_Main" w:eastAsia="Times New Roman" w:hAnsi="MathJax_Main" w:cs="Times New Roman"/>
          <w:color w:val="333333"/>
          <w:sz w:val="20"/>
          <w:szCs w:val="20"/>
        </w:rPr>
        <w:t>.</w:t>
      </w:r>
      <w:r>
        <w:rPr>
          <w:rFonts w:ascii="Georgia" w:eastAsia="Times New Roman" w:hAnsi="Georgia" w:cs="Times New Roman"/>
          <w:color w:val="333333"/>
          <w:sz w:val="20"/>
          <w:szCs w:val="20"/>
        </w:rPr>
        <w:t> Similarly, all the chi-square distributions form a family, and each of its members is also specified by a parameter </w:t>
      </w:r>
      <w:r>
        <w:rPr>
          <w:rFonts w:ascii="MathJax_Math" w:eastAsia="Times New Roman" w:hAnsi="MathJax_Math" w:cs="Times New Roman"/>
          <w:i/>
          <w:iCs/>
          <w:color w:val="333333"/>
          <w:sz w:val="20"/>
          <w:szCs w:val="20"/>
        </w:rPr>
        <w:t>df</w:t>
      </w:r>
      <w:r>
        <w:rPr>
          <w:rFonts w:ascii="Georgia" w:eastAsia="Times New Roman" w:hAnsi="Georgia" w:cs="Times New Roman"/>
          <w:color w:val="333333"/>
          <w:sz w:val="20"/>
          <w:szCs w:val="20"/>
        </w:rPr>
        <w:t>, the number of degrees of freedom. Chi is a Greek letter denoted by the symbol </w:t>
      </w:r>
      <w:r>
        <w:rPr>
          <w:rFonts w:ascii="MathJax_Math" w:eastAsia="Times New Roman" w:hAnsi="MathJax_Math" w:cs="Times New Roman"/>
          <w:i/>
          <w:iCs/>
          <w:color w:val="333333"/>
          <w:sz w:val="20"/>
          <w:szCs w:val="20"/>
        </w:rPr>
        <w:t>χ</w:t>
      </w:r>
      <w:r>
        <w:rPr>
          <w:rFonts w:ascii="Georgia" w:eastAsia="Times New Roman" w:hAnsi="Georgia" w:cs="Times New Roman"/>
          <w:color w:val="333333"/>
          <w:sz w:val="20"/>
          <w:szCs w:val="20"/>
        </w:rPr>
        <w:t> and chi-square is often denoted by </w:t>
      </w:r>
      <w:r>
        <w:rPr>
          <w:rFonts w:ascii="MathJax_Math" w:eastAsia="Times New Roman" w:hAnsi="MathJax_Math" w:cs="Times New Roman"/>
          <w:i/>
          <w:iCs/>
          <w:color w:val="333333"/>
          <w:sz w:val="20"/>
          <w:szCs w:val="20"/>
        </w:rPr>
        <w:t>χ</w:t>
      </w:r>
      <w:r>
        <w:rPr>
          <w:rFonts w:ascii="MathJax_Main" w:eastAsia="Times New Roman" w:hAnsi="MathJax_Main" w:cs="Times New Roman"/>
          <w:color w:val="333333"/>
          <w:sz w:val="15"/>
          <w:szCs w:val="15"/>
        </w:rPr>
        <w:t>2</w:t>
      </w:r>
      <w:r>
        <w:rPr>
          <w:rFonts w:ascii="MathJax_Main" w:eastAsia="Times New Roman" w:hAnsi="MathJax_Main" w:cs="Times New Roman"/>
          <w:color w:val="333333"/>
          <w:sz w:val="20"/>
          <w:szCs w:val="20"/>
        </w:rPr>
        <w:t>.</w:t>
      </w:r>
      <w:r>
        <w:rPr>
          <w:rFonts w:ascii="Georgia" w:eastAsia="Times New Roman" w:hAnsi="Georgia" w:cs="Times New Roman"/>
          <w:color w:val="333333"/>
          <w:sz w:val="20"/>
          <w:szCs w:val="20"/>
        </w:rPr>
        <w:t> </w:t>
      </w:r>
      <w:r>
        <w:rPr>
          <w:rFonts w:ascii="Georgia" w:eastAsia="Times New Roman" w:hAnsi="Georgia" w:cs="Times New Roman"/>
          <w:color w:val="2689C6"/>
          <w:sz w:val="20"/>
          <w:szCs w:val="20"/>
        </w:rPr>
        <w:t>Figure 11.1 "Many "</w:t>
      </w:r>
      <w:r>
        <w:rPr>
          <w:rFonts w:ascii="Georgia" w:eastAsia="Times New Roman" w:hAnsi="Georgia" w:cs="Times New Roman"/>
          <w:color w:val="333333"/>
          <w:sz w:val="20"/>
          <w:szCs w:val="20"/>
        </w:rPr>
        <w:t> shows several chi-square distributions for different degrees of freedom. A chi-square random variable is a random variable that assumes only positive values and follows a chi-square distribution.</w:t>
      </w:r>
    </w:p>
    <w:p w:rsidR="00AD77BB" w:rsidRDefault="00B45BA0">
      <w:pPr>
        <w:shd w:val="clear" w:color="auto" w:fill="FFFFFF"/>
        <w:spacing w:after="0"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11.1</w:t>
      </w:r>
      <w:r>
        <w:rPr>
          <w:rFonts w:ascii="Georgia" w:eastAsia="Times New Roman" w:hAnsi="Georgia" w:cs="Times New Roman"/>
          <w:i/>
          <w:iCs/>
          <w:color w:val="BB9966"/>
          <w:sz w:val="21"/>
          <w:szCs w:val="21"/>
        </w:rPr>
        <w:t> Many </w:t>
      </w:r>
      <w:r>
        <w:rPr>
          <w:rFonts w:ascii="MathJax_Math" w:eastAsia="Times New Roman" w:hAnsi="MathJax_Math" w:cs="Times New Roman"/>
          <w:i/>
          <w:iCs/>
          <w:color w:val="BB9966"/>
          <w:sz w:val="20"/>
          <w:szCs w:val="20"/>
        </w:rPr>
        <w:t>χ</w:t>
      </w:r>
      <w:r>
        <w:rPr>
          <w:rFonts w:ascii="MathJax_Main" w:eastAsia="Times New Roman" w:hAnsi="MathJax_Main" w:cs="Times New Roman"/>
          <w:color w:val="BB9966"/>
          <w:sz w:val="15"/>
          <w:szCs w:val="15"/>
        </w:rPr>
        <w:t>2</w:t>
      </w:r>
      <w:r>
        <w:rPr>
          <w:rFonts w:ascii="Georgia" w:eastAsia="Times New Roman" w:hAnsi="Georgia" w:cs="Times New Roman"/>
          <w:i/>
          <w:iCs/>
          <w:color w:val="BB9966"/>
          <w:sz w:val="21"/>
          <w:szCs w:val="21"/>
        </w:rPr>
        <w:t> Distributions</w:t>
      </w:r>
    </w:p>
    <w:p w:rsidR="00AD77BB" w:rsidRDefault="00B45BA0">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14:anchorId="6BF4B604" wp14:editId="25F7A11B">
            <wp:extent cx="4257675" cy="3181350"/>
            <wp:effectExtent l="0" t="0" r="9525" b="0"/>
            <wp:docPr id="434" name="Picture 455" descr="http://images.flatworldknowledge.com/shafer/shafer-fig1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http://images.flatworldknowledge.com/shafer/shafer-fig11_001.jp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4257675" cy="3181350"/>
                    </a:xfrm>
                    <a:prstGeom prst="rect">
                      <a:avLst/>
                    </a:prstGeom>
                    <a:noFill/>
                    <a:ln>
                      <a:noFill/>
                    </a:ln>
                  </pic:spPr>
                </pic:pic>
              </a:graphicData>
            </a:graphic>
          </wp:inline>
        </w:drawing>
      </w:r>
    </w:p>
    <w:p w:rsidR="00AD77BB" w:rsidRDefault="00B45BA0">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Definition</w:t>
      </w: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rPr>
        <w:t>The value of the chi-square random variable</w:t>
      </w:r>
      <w:r>
        <w:rPr>
          <w:rStyle w:val="apple-converted-space"/>
          <w:rFonts w:ascii="Georgia" w:hAnsi="Georgia"/>
          <w:color w:val="333333"/>
          <w:sz w:val="20"/>
          <w:szCs w:val="20"/>
        </w:rPr>
        <w:t> </w:t>
      </w:r>
      <w:r>
        <w:rPr>
          <w:rStyle w:val="mi"/>
          <w:rFonts w:ascii="MathJax_Math" w:hAnsi="MathJax_Math"/>
          <w:i/>
          <w:iCs/>
          <w:color w:val="333333"/>
          <w:sz w:val="20"/>
          <w:szCs w:val="20"/>
        </w:rPr>
        <w:t>χ</w:t>
      </w:r>
      <w:r>
        <w:rPr>
          <w:rStyle w:val="mn"/>
          <w:rFonts w:ascii="MathJax_Main" w:hAnsi="MathJax_Main"/>
          <w:color w:val="333333"/>
          <w:sz w:val="15"/>
          <w:szCs w:val="15"/>
        </w:rPr>
        <w:t>2</w:t>
      </w:r>
      <w:r>
        <w:rPr>
          <w:rStyle w:val="apple-converted-space"/>
          <w:rFonts w:ascii="Georgia" w:hAnsi="Georgia"/>
          <w:color w:val="333333"/>
          <w:sz w:val="20"/>
          <w:szCs w:val="20"/>
        </w:rPr>
        <w:t> </w:t>
      </w:r>
      <w:r>
        <w:rPr>
          <w:rStyle w:val="Emphasis"/>
          <w:rFonts w:ascii="Georgia" w:hAnsi="Georgia"/>
          <w:color w:val="333333"/>
          <w:sz w:val="20"/>
          <w:szCs w:val="20"/>
        </w:rPr>
        <w:t>with</w:t>
      </w:r>
      <w:r>
        <w:rPr>
          <w:rStyle w:val="apple-converted-space"/>
          <w:rFonts w:ascii="Georgia" w:hAnsi="Georgia"/>
          <w:color w:val="333333"/>
          <w:sz w:val="20"/>
          <w:szCs w:val="20"/>
        </w:rPr>
        <w:t> </w:t>
      </w:r>
      <w:r>
        <w:rPr>
          <w:rStyle w:val="mi"/>
          <w:rFonts w:ascii="MathJax_Math" w:hAnsi="MathJax_Math"/>
          <w:i/>
          <w:iCs/>
          <w:color w:val="333333"/>
          <w:sz w:val="20"/>
          <w:szCs w:val="20"/>
        </w:rPr>
        <w:t>df</w:t>
      </w:r>
      <w:r>
        <w:rPr>
          <w:rStyle w:val="mo"/>
          <w:rFonts w:ascii="MathJax_Main" w:hAnsi="MathJax_Main"/>
          <w:color w:val="333333"/>
          <w:sz w:val="20"/>
          <w:szCs w:val="20"/>
        </w:rPr>
        <w:t>=</w:t>
      </w:r>
      <w:r>
        <w:rPr>
          <w:rStyle w:val="mi"/>
          <w:rFonts w:ascii="MathJax_Math" w:hAnsi="MathJax_Math"/>
          <w:i/>
          <w:iCs/>
          <w:color w:val="333333"/>
          <w:sz w:val="20"/>
          <w:szCs w:val="20"/>
        </w:rPr>
        <w:t>k</w:t>
      </w:r>
      <w:r>
        <w:rPr>
          <w:rStyle w:val="apple-converted-space"/>
          <w:rFonts w:ascii="Georgia" w:hAnsi="Georgia"/>
          <w:color w:val="333333"/>
          <w:sz w:val="20"/>
          <w:szCs w:val="20"/>
        </w:rPr>
        <w:t> </w:t>
      </w:r>
      <w:r>
        <w:rPr>
          <w:rStyle w:val="Emphasis"/>
          <w:rFonts w:ascii="Georgia" w:hAnsi="Georgia"/>
          <w:color w:val="333333"/>
          <w:sz w:val="20"/>
          <w:szCs w:val="20"/>
        </w:rPr>
        <w:t>that cuts off a right tail of area</w:t>
      </w:r>
      <w:r>
        <w:rPr>
          <w:rStyle w:val="apple-converted-space"/>
          <w:rFonts w:ascii="Georgia" w:hAnsi="Georgia"/>
          <w:color w:val="333333"/>
          <w:sz w:val="20"/>
          <w:szCs w:val="20"/>
        </w:rPr>
        <w:t> </w:t>
      </w:r>
      <w:r>
        <w:rPr>
          <w:rStyle w:val="Emphasis"/>
          <w:rFonts w:ascii="Georgia" w:hAnsi="Georgia"/>
          <w:color w:val="333333"/>
          <w:sz w:val="20"/>
          <w:szCs w:val="20"/>
        </w:rPr>
        <w:t>c</w:t>
      </w:r>
      <w:r>
        <w:rPr>
          <w:rStyle w:val="apple-converted-space"/>
          <w:rFonts w:ascii="Georgia" w:hAnsi="Georgia"/>
          <w:color w:val="333333"/>
          <w:sz w:val="20"/>
          <w:szCs w:val="20"/>
        </w:rPr>
        <w:t> </w:t>
      </w:r>
      <w:r>
        <w:rPr>
          <w:rStyle w:val="Emphasis"/>
          <w:rFonts w:ascii="Georgia" w:hAnsi="Georgia"/>
          <w:color w:val="333333"/>
          <w:sz w:val="20"/>
          <w:szCs w:val="20"/>
        </w:rPr>
        <w:t>is denoted</w:t>
      </w:r>
      <w:r>
        <w:rPr>
          <w:rStyle w:val="apple-converted-space"/>
          <w:rFonts w:ascii="Georgia" w:hAnsi="Georgia"/>
          <w:color w:val="333333"/>
          <w:sz w:val="20"/>
          <w:szCs w:val="20"/>
        </w:rPr>
        <w:t> </w:t>
      </w:r>
      <w:r>
        <w:rPr>
          <w:rStyle w:val="mi"/>
          <w:rFonts w:ascii="MathJax_Math" w:hAnsi="MathJax_Math"/>
          <w:i/>
          <w:iCs/>
          <w:color w:val="333333"/>
          <w:sz w:val="20"/>
          <w:szCs w:val="20"/>
        </w:rPr>
        <w:t>χ</w:t>
      </w:r>
      <w:r>
        <w:rPr>
          <w:rStyle w:val="mn"/>
          <w:rFonts w:ascii="MathJax_Main" w:hAnsi="MathJax_Main"/>
          <w:color w:val="333333"/>
          <w:sz w:val="15"/>
          <w:szCs w:val="15"/>
        </w:rPr>
        <w:t>2</w:t>
      </w:r>
      <w:r>
        <w:rPr>
          <w:rStyle w:val="mi"/>
          <w:rFonts w:ascii="MathJax_Math" w:hAnsi="MathJax_Math"/>
          <w:i/>
          <w:iCs/>
          <w:color w:val="333333"/>
          <w:sz w:val="15"/>
          <w:szCs w:val="15"/>
        </w:rPr>
        <w:t>c</w:t>
      </w:r>
      <w:r>
        <w:rPr>
          <w:rStyle w:val="apple-converted-space"/>
          <w:rFonts w:ascii="Georgia" w:hAnsi="Georgia"/>
          <w:color w:val="333333"/>
          <w:sz w:val="20"/>
          <w:szCs w:val="20"/>
        </w:rPr>
        <w:t> </w:t>
      </w:r>
      <w:r>
        <w:rPr>
          <w:rStyle w:val="Emphasis"/>
          <w:rFonts w:ascii="Georgia" w:hAnsi="Georgia"/>
          <w:color w:val="333333"/>
          <w:sz w:val="20"/>
          <w:szCs w:val="20"/>
        </w:rPr>
        <w:t>and is called a</w:t>
      </w:r>
      <w:r>
        <w:rPr>
          <w:rStyle w:val="apple-converted-space"/>
          <w:rFonts w:ascii="Georgia" w:hAnsi="Georgia"/>
          <w:color w:val="333333"/>
          <w:sz w:val="20"/>
          <w:szCs w:val="20"/>
        </w:rPr>
        <w:t> </w:t>
      </w:r>
      <w:r>
        <w:rPr>
          <w:rStyle w:val="Strong"/>
          <w:rFonts w:ascii="Georgia" w:hAnsi="Georgia"/>
          <w:color w:val="333333"/>
          <w:sz w:val="20"/>
          <w:szCs w:val="20"/>
        </w:rPr>
        <w:t>critical value</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rPr>
        <w:t>See</w:t>
      </w:r>
      <w:r>
        <w:rPr>
          <w:rStyle w:val="apple-converted-space"/>
          <w:rFonts w:ascii="Georgia" w:hAnsi="Georgia"/>
          <w:i/>
          <w:iCs/>
          <w:color w:val="333333"/>
          <w:sz w:val="20"/>
          <w:szCs w:val="20"/>
        </w:rPr>
        <w:t> </w:t>
      </w:r>
      <w:r>
        <w:rPr>
          <w:rFonts w:ascii="Georgia" w:hAnsi="Georgia"/>
          <w:i/>
          <w:iCs/>
          <w:color w:val="2689C6"/>
          <w:sz w:val="20"/>
          <w:szCs w:val="20"/>
        </w:rPr>
        <w:t>Figure 11.2</w:t>
      </w:r>
      <w:r>
        <w:rPr>
          <w:rStyle w:val="Emphasis"/>
          <w:rFonts w:ascii="Georgia" w:hAnsi="Georgia"/>
          <w:color w:val="333333"/>
          <w:sz w:val="20"/>
          <w:szCs w:val="20"/>
        </w:rPr>
        <w:t>.</w:t>
      </w:r>
    </w:p>
    <w:p w:rsidR="00AD77BB" w:rsidRDefault="00AD77BB">
      <w:pPr>
        <w:pStyle w:val="Title9"/>
        <w:shd w:val="clear" w:color="auto" w:fill="F4F4F4"/>
        <w:spacing w:before="0" w:beforeAutospacing="0" w:after="0" w:afterAutospacing="0" w:line="439" w:lineRule="atLeast"/>
        <w:textAlignment w:val="baseline"/>
        <w:rPr>
          <w:rStyle w:val="title-prefix"/>
          <w:i/>
          <w:iCs/>
          <w:color w:val="000000"/>
          <w:sz w:val="18"/>
          <w:szCs w:val="18"/>
        </w:rPr>
      </w:pPr>
    </w:p>
    <w:p w:rsidR="00AD77BB" w:rsidRDefault="00AD77BB">
      <w:pPr>
        <w:pStyle w:val="Title9"/>
        <w:shd w:val="clear" w:color="auto" w:fill="F4F4F4"/>
        <w:spacing w:before="0" w:beforeAutospacing="0" w:after="0" w:afterAutospacing="0" w:line="439" w:lineRule="atLeast"/>
        <w:textAlignment w:val="baseline"/>
        <w:rPr>
          <w:rStyle w:val="title-prefix"/>
          <w:rFonts w:ascii="Georgia" w:hAnsi="Georgia"/>
          <w:i/>
          <w:iCs/>
          <w:color w:val="000000"/>
          <w:sz w:val="18"/>
          <w:szCs w:val="18"/>
        </w:rPr>
      </w:pPr>
    </w:p>
    <w:p w:rsidR="00AD77BB" w:rsidRDefault="00B45BA0">
      <w:pPr>
        <w:pStyle w:val="Title9"/>
        <w:shd w:val="clear" w:color="auto" w:fill="F4F4F4"/>
        <w:spacing w:before="0" w:beforeAutospacing="0" w:after="0" w:afterAutospacing="0" w:line="439" w:lineRule="atLeast"/>
        <w:textAlignment w:val="baseline"/>
        <w:rPr>
          <w:color w:val="BB9966"/>
        </w:rPr>
      </w:pPr>
      <w:r>
        <w:rPr>
          <w:rStyle w:val="title-prefix"/>
          <w:rFonts w:ascii="Georgia" w:hAnsi="Georgia"/>
          <w:i/>
          <w:iCs/>
          <w:color w:val="000000"/>
          <w:sz w:val="18"/>
          <w:szCs w:val="18"/>
        </w:rPr>
        <w:lastRenderedPageBreak/>
        <w:t>Figure 11.2</w:t>
      </w:r>
      <w:r>
        <w:rPr>
          <w:rStyle w:val="mi"/>
          <w:rFonts w:ascii="MathJax_Math" w:hAnsi="MathJax_Math"/>
          <w:i/>
          <w:iCs/>
          <w:color w:val="BB9966"/>
          <w:sz w:val="17"/>
          <w:szCs w:val="17"/>
        </w:rPr>
        <w:t>χ</w:t>
      </w:r>
      <w:r>
        <w:rPr>
          <w:rStyle w:val="mn"/>
          <w:rFonts w:ascii="MathJax_Main" w:hAnsi="MathJax_Main"/>
          <w:color w:val="BB9966"/>
          <w:sz w:val="12"/>
          <w:szCs w:val="12"/>
        </w:rPr>
        <w:t>2</w:t>
      </w:r>
      <w:r>
        <w:rPr>
          <w:rStyle w:val="mi"/>
          <w:rFonts w:ascii="MathJax_Math" w:hAnsi="MathJax_Math"/>
          <w:i/>
          <w:iCs/>
          <w:color w:val="BB9966"/>
          <w:sz w:val="12"/>
          <w:szCs w:val="12"/>
        </w:rPr>
        <w:t>c</w:t>
      </w:r>
      <w:r>
        <w:rPr>
          <w:rStyle w:val="apple-converted-space"/>
          <w:rFonts w:ascii="Georgia" w:hAnsi="Georgia"/>
          <w:i/>
          <w:iCs/>
          <w:color w:val="BB9966"/>
          <w:sz w:val="18"/>
          <w:szCs w:val="18"/>
        </w:rPr>
        <w:t> </w:t>
      </w:r>
      <w:r>
        <w:rPr>
          <w:rFonts w:ascii="Georgia" w:hAnsi="Georgia"/>
          <w:i/>
          <w:iCs/>
          <w:color w:val="BB9966"/>
          <w:sz w:val="18"/>
          <w:szCs w:val="18"/>
        </w:rPr>
        <w:t>Illustrated</w:t>
      </w:r>
    </w:p>
    <w:p w:rsidR="00AD77BB" w:rsidRDefault="00B45BA0">
      <w:pPr>
        <w:shd w:val="clear" w:color="auto" w:fill="F4F4F4"/>
        <w:spacing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14:anchorId="27EC40A2" wp14:editId="2D7846B1">
            <wp:extent cx="4962525" cy="2781300"/>
            <wp:effectExtent l="0" t="0" r="9525" b="0"/>
            <wp:docPr id="435" name="Picture 456" descr="http://images.flatworldknowledge.com/shafer/shafer-fig1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http://images.flatworldknowledge.com/shafer/shafer-fig11_002.jp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4962525" cy="2781300"/>
                    </a:xfrm>
                    <a:prstGeom prst="rect">
                      <a:avLst/>
                    </a:prstGeom>
                    <a:noFill/>
                    <a:ln>
                      <a:noFill/>
                    </a:ln>
                  </pic:spPr>
                </pic:pic>
              </a:graphicData>
            </a:graphic>
          </wp:inline>
        </w:drawing>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2689C6"/>
          <w:sz w:val="20"/>
          <w:szCs w:val="20"/>
        </w:rPr>
        <w:t>Figure 12.4 "Critical Values of Chi-Square Distributions"</w:t>
      </w:r>
      <w:r>
        <w:rPr>
          <w:rStyle w:val="apple-converted-space"/>
          <w:rFonts w:ascii="Georgia" w:hAnsi="Georgia"/>
          <w:color w:val="333333"/>
          <w:sz w:val="20"/>
          <w:szCs w:val="20"/>
        </w:rPr>
        <w:t> </w:t>
      </w:r>
      <w:r>
        <w:rPr>
          <w:rFonts w:ascii="Georgia" w:hAnsi="Georgia"/>
          <w:color w:val="333333"/>
          <w:sz w:val="20"/>
          <w:szCs w:val="20"/>
        </w:rPr>
        <w:t>gives values of</w:t>
      </w:r>
      <w:r>
        <w:rPr>
          <w:rStyle w:val="apple-converted-space"/>
          <w:rFonts w:ascii="Georgia" w:hAnsi="Georgia"/>
          <w:color w:val="333333"/>
          <w:sz w:val="20"/>
          <w:szCs w:val="20"/>
        </w:rPr>
        <w:t> </w:t>
      </w:r>
      <w:r>
        <w:rPr>
          <w:rStyle w:val="mi"/>
          <w:rFonts w:ascii="MathJax_Math" w:hAnsi="MathJax_Math"/>
          <w:i/>
          <w:iCs/>
          <w:color w:val="333333"/>
          <w:sz w:val="20"/>
          <w:szCs w:val="20"/>
        </w:rPr>
        <w:t>χ</w:t>
      </w:r>
      <w:r>
        <w:rPr>
          <w:rStyle w:val="mn"/>
          <w:rFonts w:ascii="MathJax_Main" w:hAnsi="MathJax_Main"/>
          <w:color w:val="333333"/>
          <w:sz w:val="15"/>
          <w:szCs w:val="15"/>
        </w:rPr>
        <w:t>2</w:t>
      </w:r>
      <w:r>
        <w:rPr>
          <w:rStyle w:val="mi"/>
          <w:rFonts w:ascii="MathJax_Math" w:hAnsi="MathJax_Math"/>
          <w:i/>
          <w:iCs/>
          <w:color w:val="333333"/>
          <w:sz w:val="15"/>
          <w:szCs w:val="15"/>
        </w:rPr>
        <w:t>c</w:t>
      </w:r>
      <w:r>
        <w:rPr>
          <w:rFonts w:ascii="Georgia" w:hAnsi="Georgia"/>
          <w:color w:val="333333"/>
          <w:sz w:val="20"/>
          <w:szCs w:val="20"/>
        </w:rPr>
        <w:t>for various values of</w:t>
      </w:r>
      <w:r>
        <w:rPr>
          <w:rStyle w:val="apple-converted-space"/>
          <w:rFonts w:ascii="Georgia" w:hAnsi="Georgia"/>
          <w:color w:val="333333"/>
          <w:sz w:val="20"/>
          <w:szCs w:val="20"/>
        </w:rPr>
        <w:t> </w:t>
      </w:r>
      <w:r>
        <w:rPr>
          <w:rStyle w:val="Emphasis"/>
          <w:rFonts w:ascii="Georgia" w:hAnsi="Georgia"/>
          <w:color w:val="333333"/>
          <w:sz w:val="20"/>
          <w:szCs w:val="20"/>
        </w:rPr>
        <w:t>c</w:t>
      </w:r>
      <w:r>
        <w:rPr>
          <w:rStyle w:val="apple-converted-space"/>
          <w:rFonts w:ascii="Georgia" w:hAnsi="Georgia"/>
          <w:color w:val="333333"/>
          <w:sz w:val="20"/>
          <w:szCs w:val="20"/>
        </w:rPr>
        <w:t> </w:t>
      </w:r>
      <w:r>
        <w:rPr>
          <w:rFonts w:ascii="Georgia" w:hAnsi="Georgia"/>
          <w:color w:val="333333"/>
          <w:sz w:val="20"/>
          <w:szCs w:val="20"/>
        </w:rPr>
        <w:t>and under several chi-square distributions with various degrees of freedom.</w:t>
      </w:r>
    </w:p>
    <w:p w:rsidR="00AD77BB" w:rsidRDefault="00AD77BB">
      <w:pPr>
        <w:pStyle w:val="Heading2"/>
        <w:shd w:val="clear" w:color="auto" w:fill="FFFFFF"/>
        <w:spacing w:before="0" w:line="360" w:lineRule="auto"/>
        <w:textAlignment w:val="baseline"/>
        <w:rPr>
          <w:rFonts w:ascii="Calibri" w:hAnsi="Calibri"/>
          <w:color w:val="333333"/>
          <w:sz w:val="28"/>
          <w:szCs w:val="28"/>
        </w:rPr>
      </w:pPr>
    </w:p>
    <w:p w:rsidR="00AD77BB" w:rsidRDefault="00B45BA0">
      <w:pPr>
        <w:pStyle w:val="Heading2"/>
        <w:shd w:val="clear" w:color="auto" w:fill="FFFFFF"/>
        <w:spacing w:before="0" w:line="360" w:lineRule="auto"/>
        <w:textAlignment w:val="baseline"/>
        <w:rPr>
          <w:rFonts w:ascii="Calibri" w:hAnsi="Calibri"/>
          <w:color w:val="333333"/>
          <w:sz w:val="28"/>
          <w:szCs w:val="28"/>
        </w:rPr>
      </w:pPr>
      <w:r>
        <w:rPr>
          <w:rFonts w:ascii="Calibri" w:hAnsi="Calibri"/>
          <w:color w:val="333333"/>
          <w:sz w:val="28"/>
          <w:szCs w:val="28"/>
        </w:rPr>
        <w:t>Tests for Independence</w:t>
      </w:r>
    </w:p>
    <w:p w:rsidR="00AD77BB" w:rsidRDefault="00AD77BB"/>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Hypotheses tests encountered earlier in the book had to do with how the numerical values of two population parameters compared. In this subsection we will investigate hypotheses that have to do with whether or not two random variables take their values independently, or whether the value of one has a relation to the value of the other. Thus the hypotheses will be expressed in words, not mathematical symbols. We build the discussion around the following example.</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0"/>
          <w:szCs w:val="20"/>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There is a theory that the gender of a baby in the womb is related to the baby’s heart rate: baby girls tend to have higher heart rates. Suppose we wish to test this theory. We examine the heart rate records of 40 babies taken during their mothers’ last prenatal checkups before delivery, and to each of these 40 randomly selected records we compute the values of two random measures: 1) gender and 2) heart rate. In this context these two random measures are often called</w:t>
      </w:r>
      <w:r>
        <w:rPr>
          <w:rStyle w:val="apple-converted-space"/>
          <w:rFonts w:ascii="Georgia" w:hAnsi="Georgia"/>
          <w:color w:val="333333"/>
          <w:sz w:val="20"/>
          <w:szCs w:val="20"/>
        </w:rPr>
        <w:t> </w:t>
      </w:r>
      <w:r>
        <w:rPr>
          <w:rStyle w:val="marginterm"/>
          <w:rFonts w:ascii="Georgia" w:hAnsi="Georgia"/>
          <w:color w:val="333333"/>
          <w:sz w:val="20"/>
          <w:szCs w:val="20"/>
        </w:rPr>
        <w:t>factors</w:t>
      </w:r>
      <w:r>
        <w:rPr>
          <w:rFonts w:ascii="Georgia" w:hAnsi="Georgia"/>
          <w:color w:val="333333"/>
          <w:sz w:val="20"/>
          <w:szCs w:val="20"/>
        </w:rPr>
        <w:t>. Since the burden of proof is that heart rate and gender are related, not that they are unrelated, the problem of testing the theory on baby gender and heart rate can be formulated as a test of the following hypotheses:</w:t>
      </w:r>
    </w:p>
    <w:p w:rsidR="00AD77BB" w:rsidRDefault="00AD77BB">
      <w:pPr>
        <w:spacing w:line="270" w:lineRule="atLeast"/>
        <w:jc w:val="center"/>
        <w:textAlignment w:val="baseline"/>
        <w:rPr>
          <w:rFonts w:ascii="MathJax_Math" w:eastAsia="Times New Roman" w:hAnsi="MathJax_Math" w:cs="Times New Roman"/>
          <w:i/>
          <w:iCs/>
          <w:color w:val="555555"/>
          <w:sz w:val="20"/>
          <w:szCs w:val="20"/>
          <w:shd w:val="clear" w:color="auto" w:fill="FFFFFF"/>
        </w:rPr>
      </w:pPr>
    </w:p>
    <w:p w:rsidR="00AD77BB" w:rsidRDefault="00B45BA0">
      <w:pPr>
        <w:spacing w:line="270" w:lineRule="atLeast"/>
        <w:jc w:val="center"/>
        <w:textAlignment w:val="baseline"/>
        <w:rPr>
          <w:rFonts w:ascii="MathJax_Main" w:eastAsia="Times New Roman" w:hAnsi="MathJax_Main" w:cs="Times New Roman"/>
          <w:color w:val="555555"/>
          <w:sz w:val="20"/>
          <w:szCs w:val="20"/>
          <w:shd w:val="clear" w:color="auto" w:fill="FFFFFF"/>
        </w:rPr>
      </w:pPr>
      <w:r>
        <w:rPr>
          <w:rFonts w:ascii="MathJax_Math" w:eastAsia="Times New Roman" w:hAnsi="MathJax_Math" w:cs="Times New Roman"/>
          <w:i/>
          <w:iCs/>
          <w:color w:val="555555"/>
          <w:sz w:val="20"/>
          <w:szCs w:val="20"/>
          <w:shd w:val="clear" w:color="auto" w:fill="FFFFFF"/>
        </w:rPr>
        <w:t>H</w:t>
      </w:r>
      <w:r>
        <w:rPr>
          <w:rFonts w:ascii="MathJax_Math" w:eastAsia="Times New Roman" w:hAnsi="MathJax_Math" w:cs="Times New Roman"/>
          <w:i/>
          <w:iCs/>
          <w:color w:val="555555"/>
          <w:sz w:val="15"/>
          <w:szCs w:val="15"/>
          <w:shd w:val="clear" w:color="auto" w:fill="FFFFFF"/>
          <w:vertAlign w:val="subscript"/>
        </w:rPr>
        <w:t>O</w:t>
      </w:r>
      <w:r>
        <w:rPr>
          <w:rFonts w:ascii="MathJax_Main" w:eastAsia="Times New Roman" w:hAnsi="MathJax_Main" w:cs="Times New Roman"/>
          <w:color w:val="555555"/>
          <w:sz w:val="20"/>
          <w:szCs w:val="20"/>
          <w:shd w:val="clear" w:color="auto" w:fill="FFFFFF"/>
        </w:rPr>
        <w:t>: Baby gender and baby heart rate are independent</w:t>
      </w:r>
    </w:p>
    <w:p w:rsidR="00AD77BB" w:rsidRDefault="00B45BA0">
      <w:pPr>
        <w:spacing w:line="270" w:lineRule="atLeast"/>
        <w:jc w:val="center"/>
        <w:textAlignment w:val="baseline"/>
        <w:rPr>
          <w:rFonts w:ascii="Calibri" w:eastAsia="Times New Roman" w:hAnsi="Calibri" w:cs="Times New Roman"/>
          <w:color w:val="555555"/>
          <w:sz w:val="23"/>
          <w:szCs w:val="23"/>
          <w:shd w:val="clear" w:color="auto" w:fill="FFFFFF"/>
        </w:rPr>
      </w:pPr>
      <w:r>
        <w:rPr>
          <w:rFonts w:ascii="MathJax_Math" w:eastAsia="Times New Roman" w:hAnsi="MathJax_Math" w:cs="Times New Roman"/>
          <w:i/>
          <w:iCs/>
          <w:color w:val="555555"/>
          <w:sz w:val="20"/>
          <w:szCs w:val="20"/>
          <w:shd w:val="clear" w:color="auto" w:fill="FFFFFF"/>
        </w:rPr>
        <w:t>vs. H</w:t>
      </w:r>
      <w:r>
        <w:rPr>
          <w:rFonts w:ascii="MathJax_Math" w:eastAsia="Times New Roman" w:hAnsi="MathJax_Math" w:cs="Times New Roman"/>
          <w:i/>
          <w:iCs/>
          <w:color w:val="555555"/>
          <w:sz w:val="15"/>
          <w:szCs w:val="15"/>
          <w:shd w:val="clear" w:color="auto" w:fill="FFFFFF"/>
        </w:rPr>
        <w:t>a</w:t>
      </w:r>
      <w:r>
        <w:rPr>
          <w:rFonts w:ascii="MathJax_Main" w:eastAsia="Times New Roman" w:hAnsi="MathJax_Main" w:cs="Times New Roman"/>
          <w:color w:val="555555"/>
          <w:sz w:val="20"/>
          <w:szCs w:val="20"/>
          <w:shd w:val="clear" w:color="auto" w:fill="FFFFFF"/>
        </w:rPr>
        <w:t>: Baby gender and baby heart rate are </w:t>
      </w:r>
      <w:r>
        <w:rPr>
          <w:rFonts w:ascii="MathJax_Math" w:eastAsia="Times New Roman" w:hAnsi="MathJax_Math" w:cs="Times New Roman"/>
          <w:i/>
          <w:iCs/>
          <w:color w:val="555555"/>
          <w:sz w:val="20"/>
          <w:szCs w:val="20"/>
          <w:shd w:val="clear" w:color="auto" w:fill="FFFFFF"/>
        </w:rPr>
        <w:t>not</w:t>
      </w:r>
      <w:r>
        <w:rPr>
          <w:rFonts w:ascii="MathJax_Main" w:eastAsia="Times New Roman" w:hAnsi="MathJax_Main" w:cs="Times New Roman"/>
          <w:color w:val="555555"/>
          <w:sz w:val="20"/>
          <w:szCs w:val="20"/>
          <w:shd w:val="clear" w:color="auto" w:fill="FFFFFF"/>
        </w:rPr>
        <w:t> independent</w:t>
      </w:r>
    </w:p>
    <w:p w:rsidR="00AD77BB" w:rsidRDefault="00B45BA0">
      <w:pPr>
        <w:shd w:val="clear" w:color="auto" w:fill="FFFFFF"/>
        <w:spacing w:after="0" w:line="360" w:lineRule="auto"/>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The factor gender has two natural categories or levels: boy and girl. We divide the second factor, heart rate, into two levels, low and high, by choosing some heart rate, say 145 beats per minute, as the cutoff between them. A heart rate below 145 beats per minute will be considered low and 145 and above considered high. The 40 records give rise to a 2 × 2</w:t>
      </w:r>
      <w:r>
        <w:rPr>
          <w:rFonts w:ascii="Georgia" w:eastAsia="Times New Roman" w:hAnsi="Georgia" w:cs="Times New Roman"/>
          <w:i/>
          <w:iCs/>
          <w:color w:val="333333"/>
          <w:sz w:val="20"/>
          <w:szCs w:val="20"/>
        </w:rPr>
        <w:t>contingency table</w:t>
      </w:r>
      <w:r>
        <w:rPr>
          <w:rFonts w:ascii="Georgia" w:eastAsia="Times New Roman" w:hAnsi="Georgia" w:cs="Times New Roman"/>
          <w:color w:val="333333"/>
          <w:sz w:val="21"/>
          <w:szCs w:val="21"/>
        </w:rPr>
        <w:t>. By adjoining row totals, column totals, and a grand total we obtain the table shown as </w:t>
      </w:r>
      <w:r>
        <w:rPr>
          <w:rFonts w:ascii="Georgia" w:eastAsia="Times New Roman" w:hAnsi="Georgia" w:cs="Times New Roman"/>
          <w:color w:val="2689C6"/>
          <w:sz w:val="21"/>
          <w:szCs w:val="21"/>
        </w:rPr>
        <w:t>Table 11.1 "Baby Gender and Heart Rate"</w:t>
      </w:r>
      <w:r>
        <w:rPr>
          <w:rFonts w:ascii="Georgia" w:eastAsia="Times New Roman" w:hAnsi="Georgia" w:cs="Times New Roman"/>
          <w:color w:val="333333"/>
          <w:sz w:val="21"/>
          <w:szCs w:val="21"/>
        </w:rPr>
        <w:t>. The four entries in boldface type are counts of observations from the sample of </w:t>
      </w:r>
      <w:r>
        <w:rPr>
          <w:rFonts w:ascii="Georgia" w:eastAsia="Times New Roman" w:hAnsi="Georgia" w:cs="Times New Roman"/>
          <w:i/>
          <w:iCs/>
          <w:color w:val="333333"/>
          <w:sz w:val="20"/>
          <w:szCs w:val="20"/>
        </w:rPr>
        <w:t>n</w:t>
      </w:r>
      <w:r>
        <w:rPr>
          <w:rFonts w:ascii="Georgia" w:eastAsia="Times New Roman" w:hAnsi="Georgia" w:cs="Times New Roman"/>
          <w:color w:val="333333"/>
          <w:sz w:val="21"/>
          <w:szCs w:val="21"/>
        </w:rPr>
        <w:t>= 40. There were 11 girls with low heart rate, 17 boys with low heart rate, and so on. They form the </w:t>
      </w:r>
      <w:r>
        <w:rPr>
          <w:rFonts w:ascii="Georgia" w:eastAsia="Times New Roman" w:hAnsi="Georgia" w:cs="Times New Roman"/>
          <w:i/>
          <w:iCs/>
          <w:color w:val="333333"/>
          <w:sz w:val="20"/>
          <w:szCs w:val="20"/>
        </w:rPr>
        <w:t>core</w:t>
      </w:r>
      <w:r>
        <w:rPr>
          <w:rFonts w:ascii="Georgia" w:eastAsia="Times New Roman" w:hAnsi="Georgia" w:cs="Times New Roman"/>
          <w:color w:val="333333"/>
          <w:sz w:val="21"/>
          <w:szCs w:val="21"/>
        </w:rPr>
        <w:t> of the expanded table.</w:t>
      </w:r>
    </w:p>
    <w:p w:rsidR="00AD77BB" w:rsidRDefault="00AD77BB">
      <w:pPr>
        <w:shd w:val="clear" w:color="auto" w:fill="FFFFFF"/>
        <w:spacing w:line="360" w:lineRule="auto"/>
        <w:textAlignment w:val="baseline"/>
        <w:rPr>
          <w:rFonts w:ascii="Georgia" w:eastAsia="Times New Roman" w:hAnsi="Georgia" w:cs="Times New Roman"/>
          <w:color w:val="333333"/>
          <w:sz w:val="20"/>
          <w:szCs w:val="20"/>
        </w:rPr>
      </w:pPr>
    </w:p>
    <w:p w:rsidR="00AD77BB" w:rsidRDefault="00B45BA0">
      <w:pPr>
        <w:shd w:val="clear" w:color="auto" w:fill="FFFFFF"/>
        <w:spacing w:line="360" w:lineRule="auto"/>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11.1 Baby Gender and Heart Rate</w:t>
      </w:r>
    </w:p>
    <w:tbl>
      <w:tblPr>
        <w:tblW w:w="0" w:type="auto"/>
        <w:tblCellMar>
          <w:left w:w="0" w:type="dxa"/>
          <w:right w:w="0" w:type="dxa"/>
        </w:tblCellMar>
        <w:tblLook w:val="04A0" w:firstRow="1" w:lastRow="0" w:firstColumn="1" w:lastColumn="0" w:noHBand="0" w:noVBand="1"/>
      </w:tblPr>
      <w:tblGrid>
        <w:gridCol w:w="766"/>
        <w:gridCol w:w="501"/>
        <w:gridCol w:w="528"/>
        <w:gridCol w:w="573"/>
        <w:gridCol w:w="1045"/>
        <w:gridCol w:w="156"/>
      </w:tblGrid>
      <w:tr w:rsidR="00AD77BB">
        <w:trPr>
          <w:gridAfter w:val="1"/>
          <w:tblHeader/>
        </w:trPr>
        <w:tc>
          <w:tcPr>
            <w:tcW w:w="0" w:type="auto"/>
            <w:gridSpan w:val="2"/>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360" w:lineRule="auto"/>
              <w:rPr>
                <w:rFonts w:ascii="Times New Roman" w:eastAsia="Times New Roman" w:hAnsi="Times New Roman" w:cs="Times New Roman"/>
                <w:b/>
                <w:bCs/>
                <w:color w:val="F48800"/>
                <w:sz w:val="20"/>
                <w:szCs w:val="20"/>
              </w:rPr>
            </w:pPr>
            <w:r>
              <w:rPr>
                <w:rFonts w:ascii="Times New Roman" w:eastAsia="Times New Roman" w:hAnsi="Times New Roman" w:cs="Times New Roman"/>
                <w:b/>
                <w:bCs/>
                <w:color w:val="F48800"/>
                <w:sz w:val="20"/>
                <w:szCs w:val="20"/>
              </w:rPr>
              <w:t> </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b/>
                <w:bCs/>
                <w:color w:val="F48800"/>
                <w:sz w:val="20"/>
                <w:szCs w:val="20"/>
              </w:rPr>
            </w:pPr>
            <w:r>
              <w:rPr>
                <w:rFonts w:ascii="Times New Roman" w:eastAsia="Times New Roman" w:hAnsi="Times New Roman" w:cs="Times New Roman"/>
                <w:b/>
                <w:bCs/>
                <w:color w:val="F48800"/>
                <w:sz w:val="20"/>
                <w:szCs w:val="20"/>
              </w:rPr>
              <w:t>Heart Rate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spacing w:after="0"/>
              <w:rPr>
                <w:rFonts w:cs="Times New Roman"/>
              </w:rPr>
            </w:pPr>
          </w:p>
        </w:tc>
      </w:tr>
      <w:tr w:rsidR="00AD77BB">
        <w:trPr>
          <w:tblHeader/>
        </w:trPr>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b/>
                <w:bCs/>
                <w:color w:val="F48800"/>
                <w:sz w:val="20"/>
                <w:szCs w:val="20"/>
              </w:rPr>
            </w:pPr>
            <w:r>
              <w:rPr>
                <w:rFonts w:ascii="Times New Roman" w:eastAsia="Times New Roman" w:hAnsi="Times New Roman" w:cs="Times New Roman"/>
                <w:b/>
                <w:bCs/>
                <w:color w:val="F48800"/>
                <w:sz w:val="20"/>
                <w:szCs w:val="20"/>
              </w:rPr>
              <w:t>Low</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b/>
                <w:bCs/>
                <w:color w:val="F48800"/>
                <w:sz w:val="20"/>
                <w:szCs w:val="20"/>
              </w:rPr>
            </w:pPr>
            <w:r>
              <w:rPr>
                <w:rFonts w:ascii="Times New Roman" w:eastAsia="Times New Roman" w:hAnsi="Times New Roman" w:cs="Times New Roman"/>
                <w:b/>
                <w:bCs/>
                <w:color w:val="F48800"/>
                <w:sz w:val="20"/>
                <w:szCs w:val="20"/>
              </w:rPr>
              <w:t>High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b/>
                <w:bCs/>
                <w:color w:val="F48800"/>
                <w:sz w:val="20"/>
                <w:szCs w:val="20"/>
              </w:rPr>
            </w:pPr>
            <w:r>
              <w:rPr>
                <w:rFonts w:ascii="Times New Roman" w:eastAsia="Times New Roman" w:hAnsi="Times New Roman" w:cs="Times New Roman"/>
                <w:b/>
                <w:bCs/>
                <w:color w:val="F48800"/>
                <w:sz w:val="20"/>
                <w:szCs w:val="20"/>
              </w:rPr>
              <w:t>Row Total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spacing w:after="0"/>
              <w:rPr>
                <w:rFonts w:cs="Times New Roman"/>
              </w:rPr>
            </w:pPr>
          </w:p>
        </w:tc>
      </w:tr>
      <w:tr w:rsidR="00AD77BB">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Gender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Girl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b/>
                <w:bCs/>
                <w:sz w:val="20"/>
                <w:szCs w:val="20"/>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b/>
                <w:bCs/>
                <w:sz w:val="20"/>
                <w:szCs w:val="20"/>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18</w:t>
            </w:r>
          </w:p>
        </w:tc>
        <w:tc>
          <w:tcPr>
            <w:tcW w:w="0" w:type="auto"/>
            <w:vAlign w:val="bottom"/>
            <w:hideMark/>
          </w:tcPr>
          <w:p w:rsidR="00AD77BB" w:rsidRDefault="00AD77BB">
            <w:pPr>
              <w:spacing w:after="0"/>
              <w:rPr>
                <w:rFonts w:cs="Times New Roman"/>
              </w:rPr>
            </w:pPr>
          </w:p>
        </w:tc>
      </w:tr>
      <w:tr w:rsidR="00AD77BB">
        <w:tc>
          <w:tcPr>
            <w:tcW w:w="0" w:type="auto"/>
            <w:vMerge/>
            <w:tcBorders>
              <w:top w:val="single" w:sz="6" w:space="0" w:color="auto"/>
              <w:left w:val="single" w:sz="6" w:space="0" w:color="auto"/>
              <w:bottom w:val="single" w:sz="6" w:space="0" w:color="auto"/>
              <w:right w:val="single" w:sz="6" w:space="0" w:color="auto"/>
            </w:tcBorders>
            <w:vAlign w:val="center"/>
            <w:hideMark/>
          </w:tcPr>
          <w:p w:rsidR="00AD77BB" w:rsidRDefault="00AD77BB">
            <w:pPr>
              <w:spacing w:after="0" w:line="240" w:lineRule="auto"/>
              <w:rPr>
                <w:rFonts w:ascii="Times New Roman" w:eastAsia="Times New Roman" w:hAnsi="Times New Roman" w:cs="Times New Roman"/>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Boy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b/>
                <w:bCs/>
                <w:sz w:val="20"/>
                <w:szCs w:val="20"/>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b/>
                <w:bCs/>
                <w:sz w:val="20"/>
                <w:szCs w:val="20"/>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22</w:t>
            </w:r>
          </w:p>
        </w:tc>
        <w:tc>
          <w:tcPr>
            <w:tcW w:w="0" w:type="auto"/>
            <w:vAlign w:val="bottom"/>
            <w:hideMark/>
          </w:tcPr>
          <w:p w:rsidR="00AD77BB" w:rsidRDefault="00AD77BB">
            <w:pPr>
              <w:spacing w:after="0"/>
              <w:rPr>
                <w:rFonts w:cs="Times New Roman"/>
              </w:rPr>
            </w:pPr>
          </w:p>
        </w:tc>
      </w:tr>
      <w:tr w:rsidR="00AD77BB">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Column 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Total = 40</w:t>
            </w:r>
          </w:p>
        </w:tc>
        <w:tc>
          <w:tcPr>
            <w:tcW w:w="0" w:type="auto"/>
            <w:vAlign w:val="bottom"/>
            <w:hideMark/>
          </w:tcPr>
          <w:p w:rsidR="00AD77BB" w:rsidRDefault="00AD77BB">
            <w:pPr>
              <w:spacing w:after="0"/>
              <w:rPr>
                <w:rFonts w:cs="Times New Roman"/>
              </w:rPr>
            </w:pPr>
          </w:p>
        </w:tc>
      </w:tr>
    </w:tbl>
    <w:p w:rsidR="00AD77BB" w:rsidRDefault="00AD77BB">
      <w:pPr>
        <w:tabs>
          <w:tab w:val="left" w:pos="5547"/>
        </w:tabs>
        <w:ind w:left="446"/>
        <w:rPr>
          <w:rFonts w:ascii="Calibri" w:eastAsia="Times New Roman" w:hAnsi="Calibri" w:cs="Times New Roman"/>
          <w:sz w:val="20"/>
          <w:szCs w:val="20"/>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 analogy with the fact that the probability of independent events is the product of the probabilities of each event, if heart rate and gender were independent then we would expect the number in each core cell to be close to the product of the row total</w:t>
      </w:r>
      <w:r>
        <w:rPr>
          <w:rStyle w:val="apple-converted-space"/>
          <w:rFonts w:ascii="Georgia" w:hAnsi="Georgia"/>
          <w:color w:val="333333"/>
          <w:sz w:val="21"/>
          <w:szCs w:val="21"/>
        </w:rPr>
        <w:t> </w:t>
      </w:r>
      <w:r>
        <w:rPr>
          <w:rStyle w:val="Emphasis"/>
          <w:rFonts w:ascii="Georgia" w:hAnsi="Georgia"/>
          <w:color w:val="333333"/>
          <w:sz w:val="20"/>
          <w:szCs w:val="20"/>
        </w:rPr>
        <w:t>R</w:t>
      </w:r>
      <w:r>
        <w:rPr>
          <w:rStyle w:val="apple-converted-space"/>
          <w:rFonts w:ascii="Georgia" w:hAnsi="Georgia"/>
          <w:color w:val="333333"/>
          <w:sz w:val="21"/>
          <w:szCs w:val="21"/>
        </w:rPr>
        <w:t> </w:t>
      </w:r>
      <w:r>
        <w:rPr>
          <w:rFonts w:ascii="Georgia" w:hAnsi="Georgia"/>
          <w:color w:val="333333"/>
          <w:sz w:val="21"/>
          <w:szCs w:val="21"/>
        </w:rPr>
        <w:t>and column total</w:t>
      </w:r>
      <w:r>
        <w:rPr>
          <w:rStyle w:val="apple-converted-space"/>
          <w:rFonts w:ascii="Georgia" w:hAnsi="Georgia"/>
          <w:color w:val="333333"/>
          <w:sz w:val="21"/>
          <w:szCs w:val="21"/>
        </w:rPr>
        <w:t> </w:t>
      </w:r>
      <w:r>
        <w:rPr>
          <w:rStyle w:val="Emphasis"/>
          <w:rFonts w:ascii="Georgia" w:hAnsi="Georgia"/>
          <w:color w:val="333333"/>
          <w:sz w:val="20"/>
          <w:szCs w:val="20"/>
        </w:rPr>
        <w:t>C</w:t>
      </w:r>
      <w:r>
        <w:rPr>
          <w:rStyle w:val="apple-converted-space"/>
          <w:rFonts w:ascii="Georgia" w:hAnsi="Georgia"/>
          <w:color w:val="333333"/>
          <w:sz w:val="21"/>
          <w:szCs w:val="21"/>
        </w:rPr>
        <w:t> </w:t>
      </w:r>
      <w:r>
        <w:rPr>
          <w:rFonts w:ascii="Georgia" w:hAnsi="Georgia"/>
          <w:color w:val="333333"/>
          <w:sz w:val="21"/>
          <w:szCs w:val="21"/>
        </w:rPr>
        <w:t>of the row and column containing it, divided by the sample size</w:t>
      </w:r>
      <w:r>
        <w:rPr>
          <w:rStyle w:val="apple-converted-space"/>
          <w:rFonts w:ascii="Georgia" w:hAnsi="Georgia"/>
          <w:color w:val="333333"/>
          <w:sz w:val="21"/>
          <w:szCs w:val="21"/>
        </w:rPr>
        <w:t> </w:t>
      </w:r>
      <w:r>
        <w:rPr>
          <w:rStyle w:val="Emphasis"/>
          <w:rFonts w:ascii="Georgia" w:hAnsi="Georgia"/>
          <w:color w:val="333333"/>
          <w:sz w:val="20"/>
          <w:szCs w:val="20"/>
        </w:rPr>
        <w:t>n</w:t>
      </w:r>
      <w:r>
        <w:rPr>
          <w:rFonts w:ascii="Georgia" w:hAnsi="Georgia"/>
          <w:color w:val="333333"/>
          <w:sz w:val="21"/>
          <w:szCs w:val="21"/>
        </w:rPr>
        <w:t>. Denoting such an expected number of observations</w:t>
      </w:r>
      <w:r>
        <w:rPr>
          <w:rStyle w:val="apple-converted-space"/>
          <w:rFonts w:ascii="Georgia" w:hAnsi="Georgia"/>
          <w:color w:val="333333"/>
          <w:sz w:val="21"/>
          <w:szCs w:val="21"/>
        </w:rPr>
        <w:t> </w:t>
      </w:r>
      <w:r>
        <w:rPr>
          <w:rStyle w:val="Emphasis"/>
          <w:rFonts w:ascii="Georgia" w:hAnsi="Georgia"/>
          <w:color w:val="333333"/>
          <w:sz w:val="20"/>
          <w:szCs w:val="20"/>
        </w:rPr>
        <w:t>E</w:t>
      </w:r>
      <w:r>
        <w:rPr>
          <w:rFonts w:ascii="Georgia" w:hAnsi="Georgia"/>
          <w:color w:val="333333"/>
          <w:sz w:val="21"/>
          <w:szCs w:val="21"/>
        </w:rPr>
        <w:t>, these four expected values are:</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numPr>
          <w:ilvl w:val="0"/>
          <w:numId w:val="303"/>
        </w:numPr>
        <w:shd w:val="clear" w:color="auto" w:fill="FFFFFF"/>
        <w:spacing w:after="0" w:line="360" w:lineRule="auto"/>
        <w:ind w:left="360"/>
        <w:textAlignment w:val="baseline"/>
        <w:rPr>
          <w:rFonts w:ascii="Georgia" w:hAnsi="Georgia"/>
          <w:color w:val="333333"/>
          <w:sz w:val="20"/>
          <w:szCs w:val="20"/>
        </w:rPr>
      </w:pPr>
      <w:r>
        <w:rPr>
          <w:rFonts w:ascii="Georgia" w:hAnsi="Georgia"/>
          <w:color w:val="333333"/>
          <w:sz w:val="20"/>
          <w:szCs w:val="20"/>
        </w:rPr>
        <w:t>1st row and 1st column:</w:t>
      </w:r>
      <w:r>
        <w:rPr>
          <w:rStyle w:val="apple-converted-space"/>
          <w:rFonts w:ascii="Georgia" w:hAnsi="Georgia"/>
          <w:color w:val="333333"/>
          <w:sz w:val="20"/>
          <w:szCs w:val="20"/>
        </w:rPr>
        <w:t> </w:t>
      </w:r>
      <w:r>
        <w:rPr>
          <w:rStyle w:val="mi"/>
          <w:rFonts w:ascii="MathJax_Math" w:hAnsi="MathJax_Math"/>
          <w:b/>
          <w:i/>
          <w:iCs/>
          <w:color w:val="333333"/>
          <w:sz w:val="20"/>
          <w:szCs w:val="20"/>
        </w:rPr>
        <w:t>E</w:t>
      </w:r>
      <w:r>
        <w:rPr>
          <w:rStyle w:val="mo"/>
          <w:rFonts w:ascii="MathJax_Main" w:hAnsi="MathJax_Main"/>
          <w:b/>
          <w:color w:val="333333"/>
          <w:sz w:val="20"/>
          <w:szCs w:val="20"/>
        </w:rPr>
        <w:t>=(</w:t>
      </w:r>
      <w:r>
        <w:rPr>
          <w:rStyle w:val="mi"/>
          <w:rFonts w:ascii="MathJax_Math" w:hAnsi="MathJax_Math"/>
          <w:b/>
          <w:i/>
          <w:iCs/>
          <w:color w:val="333333"/>
          <w:sz w:val="20"/>
          <w:szCs w:val="20"/>
        </w:rPr>
        <w:t>R</w:t>
      </w:r>
      <w:r>
        <w:rPr>
          <w:rStyle w:val="mo"/>
          <w:rFonts w:ascii="MathJax_Main" w:hAnsi="MathJax_Main"/>
          <w:b/>
          <w:color w:val="333333"/>
          <w:sz w:val="20"/>
          <w:szCs w:val="20"/>
        </w:rPr>
        <w:t>×</w:t>
      </w:r>
      <w:r>
        <w:rPr>
          <w:rStyle w:val="mi"/>
          <w:rFonts w:ascii="MathJax_Math" w:hAnsi="MathJax_Math"/>
          <w:b/>
          <w:i/>
          <w:iCs/>
          <w:color w:val="333333"/>
          <w:sz w:val="20"/>
          <w:szCs w:val="20"/>
        </w:rPr>
        <w:t>C</w:t>
      </w:r>
      <w:r>
        <w:rPr>
          <w:rStyle w:val="mo"/>
          <w:rFonts w:ascii="MathJax_Main" w:hAnsi="MathJax_Main"/>
          <w:b/>
          <w:color w:val="333333"/>
          <w:sz w:val="20"/>
          <w:szCs w:val="20"/>
        </w:rPr>
        <w:t>)/</w:t>
      </w:r>
      <w:r>
        <w:rPr>
          <w:rStyle w:val="mi"/>
          <w:rFonts w:ascii="MathJax_Math" w:hAnsi="MathJax_Math"/>
          <w:b/>
          <w:i/>
          <w:iCs/>
          <w:color w:val="333333"/>
          <w:sz w:val="20"/>
          <w:szCs w:val="20"/>
        </w:rPr>
        <w:t>n</w:t>
      </w:r>
      <w:r>
        <w:rPr>
          <w:rStyle w:val="mo"/>
          <w:rFonts w:ascii="MathJax_Main" w:hAnsi="MathJax_Main"/>
          <w:b/>
          <w:color w:val="333333"/>
          <w:sz w:val="20"/>
          <w:szCs w:val="20"/>
        </w:rPr>
        <w:t>=</w:t>
      </w:r>
      <w:r>
        <w:rPr>
          <w:rStyle w:val="mn"/>
          <w:rFonts w:ascii="MathJax_Main" w:hAnsi="MathJax_Main"/>
          <w:b/>
          <w:color w:val="333333"/>
          <w:sz w:val="20"/>
          <w:szCs w:val="20"/>
        </w:rPr>
        <w:t>18</w:t>
      </w:r>
      <w:r>
        <w:rPr>
          <w:rStyle w:val="mo"/>
          <w:rFonts w:ascii="MathJax_Main" w:hAnsi="MathJax_Main"/>
          <w:b/>
          <w:color w:val="333333"/>
          <w:sz w:val="20"/>
          <w:szCs w:val="20"/>
        </w:rPr>
        <w:t>×</w:t>
      </w:r>
      <w:r>
        <w:rPr>
          <w:rStyle w:val="mn"/>
          <w:rFonts w:ascii="MathJax_Main" w:hAnsi="MathJax_Main"/>
          <w:b/>
          <w:color w:val="333333"/>
          <w:sz w:val="20"/>
          <w:szCs w:val="20"/>
        </w:rPr>
        <w:t>28</w:t>
      </w:r>
      <w:r>
        <w:rPr>
          <w:rStyle w:val="mo"/>
          <w:rFonts w:ascii="MathJax_Main" w:hAnsi="MathJax_Main"/>
          <w:b/>
          <w:color w:val="333333"/>
          <w:sz w:val="20"/>
          <w:szCs w:val="20"/>
        </w:rPr>
        <w:t>/</w:t>
      </w:r>
      <w:r>
        <w:rPr>
          <w:rStyle w:val="mn"/>
          <w:rFonts w:ascii="MathJax_Main" w:hAnsi="MathJax_Main"/>
          <w:b/>
          <w:color w:val="333333"/>
          <w:sz w:val="20"/>
          <w:szCs w:val="20"/>
        </w:rPr>
        <w:t>40</w:t>
      </w:r>
      <w:r>
        <w:rPr>
          <w:rStyle w:val="mo"/>
          <w:rFonts w:ascii="MathJax_Main" w:hAnsi="MathJax_Main"/>
          <w:b/>
          <w:color w:val="333333"/>
          <w:sz w:val="20"/>
          <w:szCs w:val="20"/>
        </w:rPr>
        <w:t>=</w:t>
      </w:r>
      <w:r>
        <w:rPr>
          <w:rStyle w:val="mn"/>
          <w:rFonts w:ascii="MathJax_Main" w:hAnsi="MathJax_Main"/>
          <w:b/>
          <w:color w:val="333333"/>
          <w:sz w:val="20"/>
          <w:szCs w:val="20"/>
        </w:rPr>
        <w:t>12.6</w:t>
      </w:r>
    </w:p>
    <w:p w:rsidR="00AD77BB" w:rsidRDefault="00B45BA0">
      <w:pPr>
        <w:numPr>
          <w:ilvl w:val="0"/>
          <w:numId w:val="303"/>
        </w:numPr>
        <w:shd w:val="clear" w:color="auto" w:fill="FFFFFF"/>
        <w:spacing w:after="0" w:line="360" w:lineRule="auto"/>
        <w:ind w:left="360"/>
        <w:textAlignment w:val="baseline"/>
        <w:rPr>
          <w:rFonts w:ascii="Georgia" w:hAnsi="Georgia"/>
          <w:color w:val="333333"/>
          <w:sz w:val="20"/>
          <w:szCs w:val="20"/>
        </w:rPr>
      </w:pPr>
      <w:r>
        <w:rPr>
          <w:rFonts w:ascii="Georgia" w:hAnsi="Georgia"/>
          <w:color w:val="333333"/>
          <w:sz w:val="20"/>
          <w:szCs w:val="20"/>
        </w:rPr>
        <w:t>1st row and 2nd column:</w:t>
      </w:r>
      <w:r>
        <w:rPr>
          <w:rStyle w:val="apple-converted-space"/>
          <w:rFonts w:ascii="Georgia" w:hAnsi="Georgia"/>
          <w:color w:val="333333"/>
          <w:sz w:val="20"/>
          <w:szCs w:val="20"/>
        </w:rPr>
        <w:t> </w:t>
      </w:r>
      <w:r>
        <w:rPr>
          <w:rStyle w:val="mi"/>
          <w:rFonts w:ascii="MathJax_Math" w:hAnsi="MathJax_Math"/>
          <w:b/>
          <w:i/>
          <w:iCs/>
          <w:color w:val="333333"/>
          <w:sz w:val="20"/>
          <w:szCs w:val="20"/>
        </w:rPr>
        <w:t>E</w:t>
      </w:r>
      <w:r>
        <w:rPr>
          <w:rStyle w:val="mo"/>
          <w:rFonts w:ascii="MathJax_Main" w:hAnsi="MathJax_Main"/>
          <w:b/>
          <w:color w:val="333333"/>
          <w:sz w:val="20"/>
          <w:szCs w:val="20"/>
        </w:rPr>
        <w:t>=(</w:t>
      </w:r>
      <w:r>
        <w:rPr>
          <w:rStyle w:val="mi"/>
          <w:rFonts w:ascii="MathJax_Math" w:hAnsi="MathJax_Math"/>
          <w:b/>
          <w:i/>
          <w:iCs/>
          <w:color w:val="333333"/>
          <w:sz w:val="20"/>
          <w:szCs w:val="20"/>
        </w:rPr>
        <w:t>R</w:t>
      </w:r>
      <w:r>
        <w:rPr>
          <w:rStyle w:val="mo"/>
          <w:rFonts w:ascii="MathJax_Main" w:hAnsi="MathJax_Main"/>
          <w:b/>
          <w:color w:val="333333"/>
          <w:sz w:val="20"/>
          <w:szCs w:val="20"/>
        </w:rPr>
        <w:t>×</w:t>
      </w:r>
      <w:r>
        <w:rPr>
          <w:rStyle w:val="mi"/>
          <w:rFonts w:ascii="MathJax_Math" w:hAnsi="MathJax_Math"/>
          <w:b/>
          <w:i/>
          <w:iCs/>
          <w:color w:val="333333"/>
          <w:sz w:val="20"/>
          <w:szCs w:val="20"/>
        </w:rPr>
        <w:t>C</w:t>
      </w:r>
      <w:r>
        <w:rPr>
          <w:rStyle w:val="mo"/>
          <w:rFonts w:ascii="MathJax_Main" w:hAnsi="MathJax_Main"/>
          <w:b/>
          <w:color w:val="333333"/>
          <w:sz w:val="20"/>
          <w:szCs w:val="20"/>
        </w:rPr>
        <w:t>)/</w:t>
      </w:r>
      <w:r>
        <w:rPr>
          <w:rStyle w:val="mi"/>
          <w:rFonts w:ascii="MathJax_Math" w:hAnsi="MathJax_Math"/>
          <w:b/>
          <w:i/>
          <w:iCs/>
          <w:color w:val="333333"/>
          <w:sz w:val="20"/>
          <w:szCs w:val="20"/>
        </w:rPr>
        <w:t>n</w:t>
      </w:r>
      <w:r>
        <w:rPr>
          <w:rStyle w:val="mo"/>
          <w:rFonts w:ascii="MathJax_Main" w:hAnsi="MathJax_Main"/>
          <w:b/>
          <w:color w:val="333333"/>
          <w:sz w:val="20"/>
          <w:szCs w:val="20"/>
        </w:rPr>
        <w:t>=</w:t>
      </w:r>
      <w:r>
        <w:rPr>
          <w:rStyle w:val="mn"/>
          <w:rFonts w:ascii="MathJax_Main" w:hAnsi="MathJax_Main"/>
          <w:b/>
          <w:color w:val="333333"/>
          <w:sz w:val="20"/>
          <w:szCs w:val="20"/>
        </w:rPr>
        <w:t>18</w:t>
      </w:r>
      <w:r>
        <w:rPr>
          <w:rStyle w:val="mo"/>
          <w:rFonts w:ascii="MathJax_Main" w:hAnsi="MathJax_Main"/>
          <w:b/>
          <w:color w:val="333333"/>
          <w:sz w:val="20"/>
          <w:szCs w:val="20"/>
        </w:rPr>
        <w:t>×</w:t>
      </w:r>
      <w:r>
        <w:rPr>
          <w:rStyle w:val="mn"/>
          <w:rFonts w:ascii="MathJax_Main" w:hAnsi="MathJax_Main"/>
          <w:b/>
          <w:color w:val="333333"/>
          <w:sz w:val="20"/>
          <w:szCs w:val="20"/>
        </w:rPr>
        <w:t>12</w:t>
      </w:r>
      <w:r>
        <w:rPr>
          <w:rStyle w:val="mo"/>
          <w:rFonts w:ascii="MathJax_Main" w:hAnsi="MathJax_Main"/>
          <w:b/>
          <w:color w:val="333333"/>
          <w:sz w:val="20"/>
          <w:szCs w:val="20"/>
        </w:rPr>
        <w:t>/</w:t>
      </w:r>
      <w:r>
        <w:rPr>
          <w:rStyle w:val="mn"/>
          <w:rFonts w:ascii="MathJax_Main" w:hAnsi="MathJax_Main"/>
          <w:b/>
          <w:color w:val="333333"/>
          <w:sz w:val="20"/>
          <w:szCs w:val="20"/>
        </w:rPr>
        <w:t>40</w:t>
      </w:r>
      <w:r>
        <w:rPr>
          <w:rStyle w:val="mo"/>
          <w:rFonts w:ascii="MathJax_Main" w:hAnsi="MathJax_Main"/>
          <w:b/>
          <w:color w:val="333333"/>
          <w:sz w:val="20"/>
          <w:szCs w:val="20"/>
        </w:rPr>
        <w:t>=</w:t>
      </w:r>
      <w:r>
        <w:rPr>
          <w:rStyle w:val="mn"/>
          <w:rFonts w:ascii="MathJax_Main" w:hAnsi="MathJax_Main"/>
          <w:b/>
          <w:color w:val="333333"/>
          <w:sz w:val="20"/>
          <w:szCs w:val="20"/>
        </w:rPr>
        <w:t>5.4</w:t>
      </w:r>
    </w:p>
    <w:p w:rsidR="00AD77BB" w:rsidRDefault="00B45BA0">
      <w:pPr>
        <w:numPr>
          <w:ilvl w:val="0"/>
          <w:numId w:val="303"/>
        </w:numPr>
        <w:shd w:val="clear" w:color="auto" w:fill="FFFFFF"/>
        <w:spacing w:after="0" w:line="360" w:lineRule="auto"/>
        <w:ind w:left="360"/>
        <w:textAlignment w:val="baseline"/>
        <w:rPr>
          <w:rFonts w:ascii="Georgia" w:hAnsi="Georgia"/>
          <w:color w:val="333333"/>
          <w:sz w:val="20"/>
          <w:szCs w:val="20"/>
        </w:rPr>
      </w:pPr>
      <w:r>
        <w:rPr>
          <w:rFonts w:ascii="Georgia" w:hAnsi="Georgia"/>
          <w:color w:val="333333"/>
          <w:sz w:val="20"/>
          <w:szCs w:val="20"/>
        </w:rPr>
        <w:t>2nd row and 1st column:</w:t>
      </w:r>
      <w:r>
        <w:rPr>
          <w:rStyle w:val="apple-converted-space"/>
          <w:rFonts w:ascii="Georgia" w:hAnsi="Georgia"/>
          <w:color w:val="333333"/>
          <w:sz w:val="20"/>
          <w:szCs w:val="20"/>
        </w:rPr>
        <w:t> </w:t>
      </w:r>
      <w:r>
        <w:rPr>
          <w:rStyle w:val="mi"/>
          <w:rFonts w:ascii="MathJax_Math" w:hAnsi="MathJax_Math"/>
          <w:b/>
          <w:i/>
          <w:iCs/>
          <w:color w:val="333333"/>
          <w:sz w:val="20"/>
          <w:szCs w:val="20"/>
        </w:rPr>
        <w:t>E</w:t>
      </w:r>
      <w:r>
        <w:rPr>
          <w:rStyle w:val="mo"/>
          <w:rFonts w:ascii="MathJax_Main" w:hAnsi="MathJax_Main"/>
          <w:b/>
          <w:color w:val="333333"/>
          <w:sz w:val="20"/>
          <w:szCs w:val="20"/>
        </w:rPr>
        <w:t>=(</w:t>
      </w:r>
      <w:r>
        <w:rPr>
          <w:rStyle w:val="mi"/>
          <w:rFonts w:ascii="MathJax_Math" w:hAnsi="MathJax_Math"/>
          <w:b/>
          <w:i/>
          <w:iCs/>
          <w:color w:val="333333"/>
          <w:sz w:val="20"/>
          <w:szCs w:val="20"/>
        </w:rPr>
        <w:t>R</w:t>
      </w:r>
      <w:r>
        <w:rPr>
          <w:rStyle w:val="mo"/>
          <w:rFonts w:ascii="MathJax_Main" w:hAnsi="MathJax_Main"/>
          <w:b/>
          <w:color w:val="333333"/>
          <w:sz w:val="20"/>
          <w:szCs w:val="20"/>
        </w:rPr>
        <w:t>×</w:t>
      </w:r>
      <w:r>
        <w:rPr>
          <w:rStyle w:val="mi"/>
          <w:rFonts w:ascii="MathJax_Math" w:hAnsi="MathJax_Math"/>
          <w:b/>
          <w:i/>
          <w:iCs/>
          <w:color w:val="333333"/>
          <w:sz w:val="20"/>
          <w:szCs w:val="20"/>
        </w:rPr>
        <w:t>C</w:t>
      </w:r>
      <w:r>
        <w:rPr>
          <w:rStyle w:val="mo"/>
          <w:rFonts w:ascii="MathJax_Main" w:hAnsi="MathJax_Main"/>
          <w:b/>
          <w:color w:val="333333"/>
          <w:sz w:val="20"/>
          <w:szCs w:val="20"/>
        </w:rPr>
        <w:t>)/</w:t>
      </w:r>
      <w:r>
        <w:rPr>
          <w:rStyle w:val="mi"/>
          <w:rFonts w:ascii="MathJax_Math" w:hAnsi="MathJax_Math"/>
          <w:b/>
          <w:i/>
          <w:iCs/>
          <w:color w:val="333333"/>
          <w:sz w:val="20"/>
          <w:szCs w:val="20"/>
        </w:rPr>
        <w:t>n</w:t>
      </w:r>
      <w:r>
        <w:rPr>
          <w:rStyle w:val="mo"/>
          <w:rFonts w:ascii="MathJax_Main" w:hAnsi="MathJax_Main"/>
          <w:b/>
          <w:color w:val="333333"/>
          <w:sz w:val="20"/>
          <w:szCs w:val="20"/>
        </w:rPr>
        <w:t>=</w:t>
      </w:r>
      <w:r>
        <w:rPr>
          <w:rStyle w:val="mn"/>
          <w:rFonts w:ascii="MathJax_Main" w:hAnsi="MathJax_Main"/>
          <w:b/>
          <w:color w:val="333333"/>
          <w:sz w:val="20"/>
          <w:szCs w:val="20"/>
        </w:rPr>
        <w:t>22</w:t>
      </w:r>
      <w:r>
        <w:rPr>
          <w:rStyle w:val="mo"/>
          <w:rFonts w:ascii="MathJax_Main" w:hAnsi="MathJax_Main"/>
          <w:b/>
          <w:color w:val="333333"/>
          <w:sz w:val="20"/>
          <w:szCs w:val="20"/>
        </w:rPr>
        <w:t>×</w:t>
      </w:r>
      <w:r>
        <w:rPr>
          <w:rStyle w:val="mn"/>
          <w:rFonts w:ascii="MathJax_Main" w:hAnsi="MathJax_Main"/>
          <w:b/>
          <w:color w:val="333333"/>
          <w:sz w:val="20"/>
          <w:szCs w:val="20"/>
        </w:rPr>
        <w:t>28</w:t>
      </w:r>
      <w:r>
        <w:rPr>
          <w:rStyle w:val="mo"/>
          <w:rFonts w:ascii="MathJax_Main" w:hAnsi="MathJax_Main"/>
          <w:b/>
          <w:color w:val="333333"/>
          <w:sz w:val="20"/>
          <w:szCs w:val="20"/>
        </w:rPr>
        <w:t>/</w:t>
      </w:r>
      <w:r>
        <w:rPr>
          <w:rStyle w:val="mn"/>
          <w:rFonts w:ascii="MathJax_Main" w:hAnsi="MathJax_Main"/>
          <w:b/>
          <w:color w:val="333333"/>
          <w:sz w:val="20"/>
          <w:szCs w:val="20"/>
        </w:rPr>
        <w:t>40</w:t>
      </w:r>
      <w:r>
        <w:rPr>
          <w:rStyle w:val="mo"/>
          <w:rFonts w:ascii="MathJax_Main" w:hAnsi="MathJax_Main"/>
          <w:b/>
          <w:color w:val="333333"/>
          <w:sz w:val="20"/>
          <w:szCs w:val="20"/>
        </w:rPr>
        <w:t>=</w:t>
      </w:r>
      <w:r>
        <w:rPr>
          <w:rStyle w:val="mn"/>
          <w:rFonts w:ascii="MathJax_Main" w:hAnsi="MathJax_Main"/>
          <w:b/>
          <w:color w:val="333333"/>
          <w:sz w:val="20"/>
          <w:szCs w:val="20"/>
        </w:rPr>
        <w:t>15.4</w:t>
      </w:r>
    </w:p>
    <w:p w:rsidR="00AD77BB" w:rsidRDefault="00B45BA0">
      <w:pPr>
        <w:numPr>
          <w:ilvl w:val="0"/>
          <w:numId w:val="303"/>
        </w:numPr>
        <w:shd w:val="clear" w:color="auto" w:fill="FFFFFF"/>
        <w:spacing w:after="0" w:line="360" w:lineRule="auto"/>
        <w:ind w:left="360"/>
        <w:textAlignment w:val="baseline"/>
        <w:rPr>
          <w:rFonts w:ascii="Georgia" w:hAnsi="Georgia"/>
          <w:color w:val="333333"/>
          <w:sz w:val="20"/>
          <w:szCs w:val="20"/>
        </w:rPr>
      </w:pPr>
      <w:r>
        <w:rPr>
          <w:rFonts w:ascii="Georgia" w:hAnsi="Georgia"/>
          <w:color w:val="333333"/>
          <w:sz w:val="20"/>
          <w:szCs w:val="20"/>
        </w:rPr>
        <w:t>2nd row and 2nd column:</w:t>
      </w:r>
      <w:r>
        <w:rPr>
          <w:rStyle w:val="apple-converted-space"/>
          <w:rFonts w:ascii="Georgia" w:hAnsi="Georgia"/>
          <w:color w:val="333333"/>
          <w:sz w:val="20"/>
          <w:szCs w:val="20"/>
        </w:rPr>
        <w:t> </w:t>
      </w:r>
      <w:r>
        <w:rPr>
          <w:rStyle w:val="mi"/>
          <w:rFonts w:ascii="MathJax_Math" w:hAnsi="MathJax_Math"/>
          <w:b/>
          <w:i/>
          <w:iCs/>
          <w:color w:val="333333"/>
          <w:sz w:val="20"/>
          <w:szCs w:val="20"/>
        </w:rPr>
        <w:t>E</w:t>
      </w:r>
      <w:r>
        <w:rPr>
          <w:rStyle w:val="mo"/>
          <w:rFonts w:ascii="MathJax_Main" w:hAnsi="MathJax_Main"/>
          <w:b/>
          <w:color w:val="333333"/>
          <w:sz w:val="20"/>
          <w:szCs w:val="20"/>
        </w:rPr>
        <w:t>=(</w:t>
      </w:r>
      <w:r>
        <w:rPr>
          <w:rStyle w:val="mi"/>
          <w:rFonts w:ascii="MathJax_Math" w:hAnsi="MathJax_Math"/>
          <w:b/>
          <w:i/>
          <w:iCs/>
          <w:color w:val="333333"/>
          <w:sz w:val="20"/>
          <w:szCs w:val="20"/>
        </w:rPr>
        <w:t>R</w:t>
      </w:r>
      <w:r>
        <w:rPr>
          <w:rStyle w:val="mo"/>
          <w:rFonts w:ascii="MathJax_Main" w:hAnsi="MathJax_Main"/>
          <w:b/>
          <w:color w:val="333333"/>
          <w:sz w:val="20"/>
          <w:szCs w:val="20"/>
        </w:rPr>
        <w:t>×</w:t>
      </w:r>
      <w:r>
        <w:rPr>
          <w:rStyle w:val="mi"/>
          <w:rFonts w:ascii="MathJax_Math" w:hAnsi="MathJax_Math"/>
          <w:b/>
          <w:i/>
          <w:iCs/>
          <w:color w:val="333333"/>
          <w:sz w:val="20"/>
          <w:szCs w:val="20"/>
        </w:rPr>
        <w:t>C</w:t>
      </w:r>
      <w:r>
        <w:rPr>
          <w:rStyle w:val="mo"/>
          <w:rFonts w:ascii="MathJax_Main" w:hAnsi="MathJax_Main"/>
          <w:b/>
          <w:color w:val="333333"/>
          <w:sz w:val="20"/>
          <w:szCs w:val="20"/>
        </w:rPr>
        <w:t>)/</w:t>
      </w:r>
      <w:r>
        <w:rPr>
          <w:rStyle w:val="mi"/>
          <w:rFonts w:ascii="MathJax_Math" w:hAnsi="MathJax_Math"/>
          <w:b/>
          <w:i/>
          <w:iCs/>
          <w:color w:val="333333"/>
          <w:sz w:val="20"/>
          <w:szCs w:val="20"/>
        </w:rPr>
        <w:t>n</w:t>
      </w:r>
      <w:r>
        <w:rPr>
          <w:rStyle w:val="mo"/>
          <w:rFonts w:ascii="MathJax_Main" w:hAnsi="MathJax_Main"/>
          <w:b/>
          <w:color w:val="333333"/>
          <w:sz w:val="20"/>
          <w:szCs w:val="20"/>
        </w:rPr>
        <w:t>=</w:t>
      </w:r>
      <w:r>
        <w:rPr>
          <w:rStyle w:val="mn"/>
          <w:rFonts w:ascii="MathJax_Main" w:hAnsi="MathJax_Main"/>
          <w:b/>
          <w:color w:val="333333"/>
          <w:sz w:val="20"/>
          <w:szCs w:val="20"/>
        </w:rPr>
        <w:t>22</w:t>
      </w:r>
      <w:r>
        <w:rPr>
          <w:rStyle w:val="mo"/>
          <w:rFonts w:ascii="MathJax_Main" w:hAnsi="MathJax_Main"/>
          <w:b/>
          <w:color w:val="333333"/>
          <w:sz w:val="20"/>
          <w:szCs w:val="20"/>
        </w:rPr>
        <w:t>×</w:t>
      </w:r>
      <w:r>
        <w:rPr>
          <w:rStyle w:val="mn"/>
          <w:rFonts w:ascii="MathJax_Main" w:hAnsi="MathJax_Main"/>
          <w:b/>
          <w:color w:val="333333"/>
          <w:sz w:val="20"/>
          <w:szCs w:val="20"/>
        </w:rPr>
        <w:t>12</w:t>
      </w:r>
      <w:r>
        <w:rPr>
          <w:rStyle w:val="mo"/>
          <w:rFonts w:ascii="MathJax_Main" w:hAnsi="MathJax_Main"/>
          <w:b/>
          <w:color w:val="333333"/>
          <w:sz w:val="20"/>
          <w:szCs w:val="20"/>
        </w:rPr>
        <w:t>/</w:t>
      </w:r>
      <w:r>
        <w:rPr>
          <w:rStyle w:val="mn"/>
          <w:rFonts w:ascii="MathJax_Main" w:hAnsi="MathJax_Main"/>
          <w:b/>
          <w:color w:val="333333"/>
          <w:sz w:val="20"/>
          <w:szCs w:val="20"/>
        </w:rPr>
        <w:t>40</w:t>
      </w:r>
      <w:r>
        <w:rPr>
          <w:rStyle w:val="mo"/>
          <w:rFonts w:ascii="MathJax_Main" w:hAnsi="MathJax_Main"/>
          <w:b/>
          <w:color w:val="333333"/>
          <w:sz w:val="20"/>
          <w:szCs w:val="20"/>
        </w:rPr>
        <w:t>=</w:t>
      </w:r>
      <w:r>
        <w:rPr>
          <w:rStyle w:val="mn"/>
          <w:rFonts w:ascii="MathJax_Main" w:hAnsi="MathJax_Main"/>
          <w:b/>
          <w:color w:val="333333"/>
          <w:sz w:val="20"/>
          <w:szCs w:val="20"/>
        </w:rPr>
        <w:t>6.6</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We update</w:t>
      </w:r>
      <w:r>
        <w:rPr>
          <w:rStyle w:val="apple-converted-space"/>
          <w:rFonts w:ascii="Georgia" w:hAnsi="Georgia"/>
          <w:color w:val="333333"/>
          <w:sz w:val="21"/>
          <w:szCs w:val="21"/>
        </w:rPr>
        <w:t> </w:t>
      </w:r>
      <w:r>
        <w:rPr>
          <w:rFonts w:ascii="Georgia" w:hAnsi="Georgia"/>
          <w:color w:val="2689C6"/>
          <w:sz w:val="21"/>
          <w:szCs w:val="21"/>
        </w:rPr>
        <w:t>Table 11.1 "Baby Gender and Heart Rate"</w:t>
      </w:r>
      <w:r>
        <w:rPr>
          <w:rStyle w:val="apple-converted-space"/>
          <w:rFonts w:ascii="Georgia" w:hAnsi="Georgia"/>
          <w:color w:val="333333"/>
          <w:sz w:val="21"/>
          <w:szCs w:val="21"/>
        </w:rPr>
        <w:t> </w:t>
      </w:r>
      <w:r>
        <w:rPr>
          <w:rFonts w:ascii="Georgia" w:hAnsi="Georgia"/>
          <w:color w:val="333333"/>
          <w:sz w:val="21"/>
          <w:szCs w:val="21"/>
        </w:rPr>
        <w:t>by placing each expected value in its corresponding core cell, right under the observed value in the cell. This gives the updated table</w:t>
      </w:r>
      <w:r>
        <w:rPr>
          <w:rStyle w:val="apple-converted-space"/>
          <w:rFonts w:ascii="Georgia" w:hAnsi="Georgia"/>
          <w:color w:val="333333"/>
          <w:sz w:val="21"/>
          <w:szCs w:val="21"/>
        </w:rPr>
        <w:t> </w:t>
      </w:r>
      <w:r>
        <w:rPr>
          <w:rFonts w:ascii="Georgia" w:hAnsi="Georgia"/>
          <w:color w:val="2689C6"/>
          <w:sz w:val="21"/>
          <w:szCs w:val="21"/>
        </w:rPr>
        <w:t>Table 11.2 "Updated Baby Gender and Heart Rate"</w:t>
      </w:r>
      <w:r>
        <w:rPr>
          <w:rFonts w:ascii="Georgia" w:hAnsi="Georgia"/>
          <w:color w:val="333333"/>
          <w:sz w:val="21"/>
          <w:szCs w:val="21"/>
        </w:rPr>
        <w:t>.</w:t>
      </w:r>
    </w:p>
    <w:p w:rsidR="00AD77BB" w:rsidRDefault="00AD77BB">
      <w:pPr>
        <w:pStyle w:val="Title9"/>
        <w:shd w:val="clear" w:color="auto" w:fill="FFFFFF"/>
        <w:spacing w:before="0" w:beforeAutospacing="0" w:after="0" w:afterAutospacing="0" w:line="360" w:lineRule="auto"/>
        <w:textAlignment w:val="baseline"/>
        <w:rPr>
          <w:rStyle w:val="title-prefix"/>
          <w:sz w:val="20"/>
          <w:szCs w:val="20"/>
        </w:rPr>
      </w:pPr>
    </w:p>
    <w:p w:rsidR="00AD77BB" w:rsidRDefault="00AD77BB">
      <w:pPr>
        <w:pStyle w:val="Title9"/>
        <w:shd w:val="clear" w:color="auto" w:fill="FFFFFF"/>
        <w:spacing w:before="0" w:beforeAutospacing="0" w:after="0" w:afterAutospacing="0" w:line="360" w:lineRule="auto"/>
        <w:textAlignment w:val="baseline"/>
        <w:rPr>
          <w:rStyle w:val="title-prefix"/>
          <w:rFonts w:ascii="Georgia" w:hAnsi="Georgia"/>
          <w:color w:val="333333"/>
          <w:sz w:val="20"/>
          <w:szCs w:val="20"/>
        </w:rPr>
      </w:pPr>
    </w:p>
    <w:p w:rsidR="00AD77BB" w:rsidRDefault="00AD77BB">
      <w:pPr>
        <w:pStyle w:val="Title9"/>
        <w:shd w:val="clear" w:color="auto" w:fill="FFFFFF"/>
        <w:spacing w:before="0" w:beforeAutospacing="0" w:after="0" w:afterAutospacing="0" w:line="360" w:lineRule="auto"/>
        <w:textAlignment w:val="baseline"/>
        <w:rPr>
          <w:rStyle w:val="title-prefix"/>
          <w:rFonts w:ascii="Georgia" w:hAnsi="Georgia"/>
          <w:color w:val="333333"/>
          <w:sz w:val="20"/>
          <w:szCs w:val="20"/>
        </w:rPr>
      </w:pPr>
    </w:p>
    <w:p w:rsidR="00AD77BB" w:rsidRDefault="00B45BA0">
      <w:pPr>
        <w:pStyle w:val="Title9"/>
        <w:shd w:val="clear" w:color="auto" w:fill="FFFFFF"/>
        <w:spacing w:before="0" w:beforeAutospacing="0" w:after="0" w:afterAutospacing="0" w:line="360" w:lineRule="auto"/>
        <w:textAlignment w:val="baseline"/>
      </w:pPr>
      <w:r>
        <w:rPr>
          <w:rStyle w:val="title-prefix"/>
          <w:rFonts w:ascii="Georgia" w:hAnsi="Georgia"/>
          <w:color w:val="333333"/>
          <w:sz w:val="20"/>
          <w:szCs w:val="20"/>
        </w:rPr>
        <w:lastRenderedPageBreak/>
        <w:t>Table 11.2</w:t>
      </w:r>
      <w:r>
        <w:rPr>
          <w:rStyle w:val="apple-converted-space"/>
          <w:rFonts w:ascii="Georgia" w:hAnsi="Georgia"/>
          <w:color w:val="333333"/>
          <w:sz w:val="20"/>
          <w:szCs w:val="20"/>
        </w:rPr>
        <w:t> </w:t>
      </w:r>
      <w:r>
        <w:rPr>
          <w:rFonts w:ascii="Georgia" w:hAnsi="Georgia"/>
          <w:color w:val="333333"/>
          <w:sz w:val="20"/>
          <w:szCs w:val="20"/>
        </w:rPr>
        <w:t>Updated Baby Gender and Heart Rate</w:t>
      </w:r>
    </w:p>
    <w:tbl>
      <w:tblPr>
        <w:tblW w:w="0" w:type="auto"/>
        <w:tblCellMar>
          <w:left w:w="0" w:type="dxa"/>
          <w:right w:w="0" w:type="dxa"/>
        </w:tblCellMar>
        <w:tblLook w:val="04A0" w:firstRow="1" w:lastRow="0" w:firstColumn="1" w:lastColumn="0" w:noHBand="0" w:noVBand="1"/>
      </w:tblPr>
      <w:tblGrid>
        <w:gridCol w:w="771"/>
        <w:gridCol w:w="464"/>
        <w:gridCol w:w="1036"/>
        <w:gridCol w:w="866"/>
        <w:gridCol w:w="989"/>
        <w:gridCol w:w="156"/>
      </w:tblGrid>
      <w:tr w:rsidR="00AD77BB">
        <w:trPr>
          <w:gridAfter w:val="1"/>
          <w:tblHeader/>
        </w:trPr>
        <w:tc>
          <w:tcPr>
            <w:tcW w:w="0" w:type="auto"/>
            <w:gridSpan w:val="2"/>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rPr>
                <w:b/>
                <w:bCs/>
                <w:color w:val="F48800"/>
                <w:sz w:val="20"/>
                <w:szCs w:val="20"/>
              </w:rPr>
            </w:pPr>
            <w:r>
              <w:rPr>
                <w:b/>
                <w:bCs/>
                <w:color w:val="F48800"/>
                <w:sz w:val="20"/>
                <w:szCs w:val="20"/>
              </w:rPr>
              <w:t> </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Heart Rate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spacing w:after="0"/>
              <w:rPr>
                <w:rFonts w:cs="Times New Roman"/>
              </w:rPr>
            </w:pPr>
          </w:p>
        </w:tc>
      </w:tr>
      <w:tr w:rsidR="00AD77BB">
        <w:trPr>
          <w:tblHeader/>
        </w:trPr>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b/>
                <w:bCs/>
                <w:color w:val="F48800"/>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Low</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High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Row Total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spacing w:after="0"/>
              <w:rPr>
                <w:rFonts w:cs="Times New Roman"/>
              </w:rPr>
            </w:pPr>
          </w:p>
        </w:tc>
      </w:tr>
      <w:tr w:rsidR="00AD77BB">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Gender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Girl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i"/>
                <w:rFonts w:ascii="MathJax_Math" w:hAnsi="MathJax_Math"/>
                <w:i/>
                <w:iCs/>
                <w:sz w:val="17"/>
                <w:szCs w:val="17"/>
              </w:rPr>
              <w:t>O</w:t>
            </w:r>
            <w:r>
              <w:rPr>
                <w:rStyle w:val="mo"/>
                <w:rFonts w:ascii="MathJax_Main" w:hAnsi="MathJax_Main"/>
                <w:sz w:val="17"/>
                <w:szCs w:val="17"/>
              </w:rPr>
              <w:t>=</w:t>
            </w:r>
            <w:r>
              <w:rPr>
                <w:rStyle w:val="mn"/>
                <w:rFonts w:ascii="MathJax_Main" w:hAnsi="MathJax_Main"/>
                <w:sz w:val="17"/>
                <w:szCs w:val="17"/>
              </w:rPr>
              <w:t>11</w:t>
            </w:r>
            <w:r>
              <w:rPr>
                <w:rStyle w:val="mi"/>
                <w:rFonts w:ascii="MathJax_Math" w:hAnsi="MathJax_Math"/>
                <w:i/>
                <w:iCs/>
                <w:sz w:val="17"/>
                <w:szCs w:val="17"/>
              </w:rPr>
              <w:t>E</w:t>
            </w:r>
            <w:r>
              <w:rPr>
                <w:rStyle w:val="mo"/>
                <w:rFonts w:ascii="MathJax_Main" w:hAnsi="MathJax_Main"/>
                <w:sz w:val="17"/>
                <w:szCs w:val="17"/>
              </w:rPr>
              <w:t>=</w:t>
            </w:r>
            <w:r>
              <w:rPr>
                <w:rStyle w:val="mn"/>
                <w:rFonts w:ascii="MathJax_Main" w:hAnsi="MathJax_Main"/>
                <w:sz w:val="17"/>
                <w:szCs w:val="17"/>
              </w:rPr>
              <w:t>12.6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i"/>
                <w:rFonts w:ascii="MathJax_Math" w:hAnsi="MathJax_Math"/>
                <w:i/>
                <w:iCs/>
                <w:sz w:val="17"/>
                <w:szCs w:val="17"/>
              </w:rPr>
              <w:t>O</w:t>
            </w:r>
            <w:r>
              <w:rPr>
                <w:rStyle w:val="mo"/>
                <w:rFonts w:ascii="MathJax_Main" w:hAnsi="MathJax_Main"/>
                <w:sz w:val="17"/>
                <w:szCs w:val="17"/>
              </w:rPr>
              <w:t>=</w:t>
            </w:r>
            <w:r>
              <w:rPr>
                <w:rStyle w:val="mn"/>
                <w:rFonts w:ascii="MathJax_Main" w:hAnsi="MathJax_Main"/>
                <w:sz w:val="17"/>
                <w:szCs w:val="17"/>
              </w:rPr>
              <w:t>7</w:t>
            </w:r>
            <w:r>
              <w:rPr>
                <w:rStyle w:val="mi"/>
                <w:rFonts w:ascii="MathJax_Math" w:hAnsi="MathJax_Math"/>
                <w:i/>
                <w:iCs/>
                <w:sz w:val="17"/>
                <w:szCs w:val="17"/>
              </w:rPr>
              <w:t>E</w:t>
            </w:r>
            <w:r>
              <w:rPr>
                <w:rStyle w:val="mo"/>
                <w:rFonts w:ascii="MathJax_Main" w:hAnsi="MathJax_Main"/>
                <w:sz w:val="17"/>
                <w:szCs w:val="17"/>
              </w:rPr>
              <w:t>=</w:t>
            </w:r>
            <w:r>
              <w:rPr>
                <w:rStyle w:val="mn"/>
                <w:rFonts w:ascii="MathJax_Main" w:hAnsi="MathJax_Main"/>
                <w:sz w:val="17"/>
                <w:szCs w:val="17"/>
              </w:rPr>
              <w:t>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R</w:t>
            </w:r>
            <w:r>
              <w:rPr>
                <w:rStyle w:val="apple-converted-space"/>
                <w:sz w:val="20"/>
                <w:szCs w:val="20"/>
              </w:rPr>
              <w:t> </w:t>
            </w:r>
            <w:r>
              <w:rPr>
                <w:sz w:val="20"/>
                <w:szCs w:val="20"/>
              </w:rPr>
              <w:t>= 18</w:t>
            </w:r>
          </w:p>
        </w:tc>
        <w:tc>
          <w:tcPr>
            <w:tcW w:w="0" w:type="auto"/>
            <w:vAlign w:val="bottom"/>
            <w:hideMark/>
          </w:tcPr>
          <w:p w:rsidR="00AD77BB" w:rsidRDefault="00AD77BB">
            <w:pPr>
              <w:spacing w:after="0"/>
              <w:rPr>
                <w:rFonts w:cs="Times New Roman"/>
              </w:rPr>
            </w:pPr>
          </w:p>
        </w:tc>
      </w:tr>
      <w:tr w:rsidR="00AD77BB">
        <w:tc>
          <w:tcPr>
            <w:tcW w:w="0" w:type="auto"/>
            <w:vMerge/>
            <w:tcBorders>
              <w:top w:val="single" w:sz="6" w:space="0" w:color="auto"/>
              <w:left w:val="single" w:sz="6" w:space="0" w:color="auto"/>
              <w:bottom w:val="single" w:sz="6" w:space="0" w:color="auto"/>
              <w:right w:val="single" w:sz="6" w:space="0" w:color="auto"/>
            </w:tcBorders>
            <w:vAlign w:val="center"/>
            <w:hideMark/>
          </w:tcPr>
          <w:p w:rsidR="00AD77BB" w:rsidRDefault="00AD77BB">
            <w:pPr>
              <w:spacing w:after="0" w:line="24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Boy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i"/>
                <w:rFonts w:ascii="MathJax_Math" w:hAnsi="MathJax_Math"/>
                <w:i/>
                <w:iCs/>
                <w:sz w:val="17"/>
                <w:szCs w:val="17"/>
              </w:rPr>
              <w:t>O</w:t>
            </w:r>
            <w:r>
              <w:rPr>
                <w:rStyle w:val="mo"/>
                <w:rFonts w:ascii="MathJax_Main" w:hAnsi="MathJax_Main"/>
                <w:sz w:val="17"/>
                <w:szCs w:val="17"/>
              </w:rPr>
              <w:t>=</w:t>
            </w:r>
            <w:r>
              <w:rPr>
                <w:rStyle w:val="mn"/>
                <w:rFonts w:ascii="MathJax_Main" w:hAnsi="MathJax_Main"/>
                <w:sz w:val="17"/>
                <w:szCs w:val="17"/>
              </w:rPr>
              <w:t>17</w:t>
            </w:r>
            <w:r>
              <w:rPr>
                <w:rStyle w:val="mi"/>
                <w:rFonts w:ascii="MathJax_Math" w:hAnsi="MathJax_Math"/>
                <w:i/>
                <w:iCs/>
                <w:sz w:val="17"/>
                <w:szCs w:val="17"/>
              </w:rPr>
              <w:t>E</w:t>
            </w:r>
            <w:r>
              <w:rPr>
                <w:rStyle w:val="mo"/>
                <w:rFonts w:ascii="MathJax_Main" w:hAnsi="MathJax_Main"/>
                <w:sz w:val="17"/>
                <w:szCs w:val="17"/>
              </w:rPr>
              <w:t>=</w:t>
            </w:r>
            <w:r>
              <w:rPr>
                <w:rStyle w:val="mn"/>
                <w:rFonts w:ascii="MathJax_Main" w:hAnsi="MathJax_Main"/>
                <w:sz w:val="17"/>
                <w:szCs w:val="17"/>
              </w:rPr>
              <w:t>15.4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i"/>
                <w:rFonts w:ascii="MathJax_Math" w:hAnsi="MathJax_Math"/>
                <w:i/>
                <w:iCs/>
                <w:sz w:val="17"/>
                <w:szCs w:val="17"/>
              </w:rPr>
              <w:t>O</w:t>
            </w:r>
            <w:r>
              <w:rPr>
                <w:rStyle w:val="mo"/>
                <w:rFonts w:ascii="MathJax_Main" w:hAnsi="MathJax_Main"/>
                <w:sz w:val="17"/>
                <w:szCs w:val="17"/>
              </w:rPr>
              <w:t>=</w:t>
            </w:r>
            <w:r>
              <w:rPr>
                <w:rStyle w:val="mn"/>
                <w:rFonts w:ascii="MathJax_Main" w:hAnsi="MathJax_Main"/>
                <w:sz w:val="17"/>
                <w:szCs w:val="17"/>
              </w:rPr>
              <w:t>5</w:t>
            </w:r>
            <w:r>
              <w:rPr>
                <w:rStyle w:val="mi"/>
                <w:rFonts w:ascii="MathJax_Math" w:hAnsi="MathJax_Math"/>
                <w:i/>
                <w:iCs/>
                <w:sz w:val="17"/>
                <w:szCs w:val="17"/>
              </w:rPr>
              <w:t>E</w:t>
            </w:r>
            <w:r>
              <w:rPr>
                <w:rStyle w:val="mo"/>
                <w:rFonts w:ascii="MathJax_Main" w:hAnsi="MathJax_Main"/>
                <w:sz w:val="17"/>
                <w:szCs w:val="17"/>
              </w:rPr>
              <w:t>=</w:t>
            </w:r>
            <w:r>
              <w:rPr>
                <w:rStyle w:val="mn"/>
                <w:rFonts w:ascii="MathJax_Main" w:hAnsi="MathJax_Main"/>
                <w:sz w:val="17"/>
                <w:szCs w:val="17"/>
              </w:rPr>
              <w:t>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R</w:t>
            </w:r>
            <w:r>
              <w:rPr>
                <w:rStyle w:val="apple-converted-space"/>
                <w:sz w:val="20"/>
                <w:szCs w:val="20"/>
              </w:rPr>
              <w:t> </w:t>
            </w:r>
            <w:r>
              <w:rPr>
                <w:sz w:val="20"/>
                <w:szCs w:val="20"/>
              </w:rPr>
              <w:t>= 22</w:t>
            </w:r>
          </w:p>
        </w:tc>
        <w:tc>
          <w:tcPr>
            <w:tcW w:w="0" w:type="auto"/>
            <w:vAlign w:val="bottom"/>
            <w:hideMark/>
          </w:tcPr>
          <w:p w:rsidR="00AD77BB" w:rsidRDefault="00AD77BB">
            <w:pPr>
              <w:spacing w:after="0"/>
              <w:rPr>
                <w:rFonts w:cs="Times New Roman"/>
              </w:rPr>
            </w:pPr>
          </w:p>
        </w:tc>
      </w:tr>
      <w:tr w:rsidR="00AD77BB">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Column 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C</w:t>
            </w:r>
            <w:r>
              <w:rPr>
                <w:rStyle w:val="apple-converted-space"/>
                <w:sz w:val="20"/>
                <w:szCs w:val="20"/>
              </w:rPr>
              <w:t> </w:t>
            </w:r>
            <w:r>
              <w:rPr>
                <w:sz w:val="20"/>
                <w:szCs w:val="20"/>
              </w:rPr>
              <w:t>= 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C</w:t>
            </w:r>
            <w:r>
              <w:rPr>
                <w:rStyle w:val="apple-converted-space"/>
                <w:sz w:val="20"/>
                <w:szCs w:val="20"/>
              </w:rPr>
              <w:t> </w:t>
            </w:r>
            <w:r>
              <w:rPr>
                <w:sz w:val="20"/>
                <w:szCs w:val="20"/>
              </w:rPr>
              <w:t>= 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n</w:t>
            </w:r>
            <w:r>
              <w:rPr>
                <w:rStyle w:val="apple-converted-space"/>
                <w:sz w:val="20"/>
                <w:szCs w:val="20"/>
              </w:rPr>
              <w:t> </w:t>
            </w:r>
            <w:r>
              <w:rPr>
                <w:sz w:val="20"/>
                <w:szCs w:val="20"/>
              </w:rPr>
              <w:t>= 40</w:t>
            </w:r>
          </w:p>
        </w:tc>
        <w:tc>
          <w:tcPr>
            <w:tcW w:w="0" w:type="auto"/>
            <w:vAlign w:val="bottom"/>
            <w:hideMark/>
          </w:tcPr>
          <w:p w:rsidR="00AD77BB" w:rsidRDefault="00AD77BB">
            <w:pPr>
              <w:spacing w:after="0"/>
              <w:rPr>
                <w:rFonts w:cs="Times New Roman"/>
              </w:rPr>
            </w:pPr>
          </w:p>
        </w:tc>
      </w:tr>
    </w:tbl>
    <w:p w:rsidR="00AD77BB" w:rsidRDefault="00AD77BB">
      <w:pPr>
        <w:tabs>
          <w:tab w:val="left" w:pos="5547"/>
        </w:tabs>
        <w:ind w:left="446"/>
        <w:rPr>
          <w:rFonts w:ascii="Calibri" w:eastAsia="Times New Roman" w:hAnsi="Calibri" w:cs="Times New Roman"/>
          <w:sz w:val="20"/>
          <w:szCs w:val="20"/>
        </w:rPr>
      </w:pPr>
    </w:p>
    <w:p w:rsidR="00AD77BB" w:rsidRDefault="00B45BA0">
      <w:pPr>
        <w:tabs>
          <w:tab w:val="left" w:pos="5547"/>
        </w:tabs>
        <w:rPr>
          <w:rFonts w:ascii="Georgia" w:hAnsi="Georgia"/>
          <w:color w:val="333333"/>
          <w:sz w:val="20"/>
          <w:szCs w:val="20"/>
          <w:shd w:val="clear" w:color="auto" w:fill="FFFFFF"/>
        </w:rPr>
      </w:pPr>
      <w:r>
        <w:rPr>
          <w:rFonts w:ascii="Georgia" w:hAnsi="Georgia"/>
          <w:color w:val="333333"/>
          <w:sz w:val="20"/>
          <w:szCs w:val="20"/>
          <w:shd w:val="clear" w:color="auto" w:fill="FFFFFF"/>
        </w:rPr>
        <w:t>A measure of how much the data deviate from what we would expect to see if the factors really were independent is the sum of the squares of the difference of the numbers in each core cell, or, standardizing by dividing each square by the expected number in the cell, the sum</w:t>
      </w:r>
      <w:r>
        <w:rPr>
          <w:rStyle w:val="apple-converted-space"/>
          <w:rFonts w:ascii="Georgia" w:hAnsi="Georgia"/>
          <w:color w:val="333333"/>
          <w:sz w:val="20"/>
          <w:szCs w:val="20"/>
          <w:shd w:val="clear" w:color="auto" w:fill="FFFFFF"/>
        </w:rPr>
        <w:t> </w:t>
      </w:r>
      <w:r>
        <w:rPr>
          <w:rStyle w:val="mi"/>
          <w:rFonts w:ascii="MathJax_Main" w:hAnsi="MathJax_Main"/>
          <w:b/>
          <w:color w:val="333333"/>
          <w:sz w:val="20"/>
          <w:szCs w:val="20"/>
          <w:shd w:val="clear" w:color="auto" w:fill="FFFFFF"/>
        </w:rPr>
        <w:t>Σ</w:t>
      </w:r>
      <w:r>
        <w:rPr>
          <w:rStyle w:val="mo"/>
          <w:rFonts w:ascii="MathJax_Main" w:hAnsi="MathJax_Main"/>
          <w:b/>
          <w:color w:val="333333"/>
          <w:sz w:val="20"/>
          <w:szCs w:val="20"/>
          <w:shd w:val="clear" w:color="auto" w:fill="FFFFFF"/>
        </w:rPr>
        <w:t>(</w:t>
      </w:r>
      <w:r>
        <w:rPr>
          <w:rStyle w:val="mi"/>
          <w:rFonts w:ascii="MathJax_Math" w:hAnsi="MathJax_Math"/>
          <w:b/>
          <w:i/>
          <w:iCs/>
          <w:color w:val="333333"/>
          <w:sz w:val="20"/>
          <w:szCs w:val="20"/>
          <w:shd w:val="clear" w:color="auto" w:fill="FFFFFF"/>
        </w:rPr>
        <w:t>O</w:t>
      </w:r>
      <w:r>
        <w:rPr>
          <w:rStyle w:val="mo"/>
          <w:rFonts w:ascii="MathJax_Main" w:hAnsi="MathJax_Main"/>
          <w:b/>
          <w:color w:val="333333"/>
          <w:sz w:val="20"/>
          <w:szCs w:val="20"/>
          <w:shd w:val="clear" w:color="auto" w:fill="FFFFFF"/>
        </w:rPr>
        <w:t>−</w:t>
      </w:r>
      <w:r>
        <w:rPr>
          <w:rStyle w:val="mi"/>
          <w:rFonts w:ascii="MathJax_Math" w:hAnsi="MathJax_Math"/>
          <w:b/>
          <w:i/>
          <w:iCs/>
          <w:color w:val="333333"/>
          <w:sz w:val="20"/>
          <w:szCs w:val="20"/>
          <w:shd w:val="clear" w:color="auto" w:fill="FFFFFF"/>
        </w:rPr>
        <w:t>E</w:t>
      </w:r>
      <w:r>
        <w:rPr>
          <w:rStyle w:val="mo"/>
          <w:rFonts w:ascii="MathJax_Main" w:hAnsi="MathJax_Main"/>
          <w:b/>
          <w:color w:val="333333"/>
          <w:sz w:val="20"/>
          <w:szCs w:val="20"/>
          <w:shd w:val="clear" w:color="auto" w:fill="FFFFFF"/>
        </w:rPr>
        <w:t>)</w:t>
      </w:r>
      <w:r>
        <w:rPr>
          <w:rStyle w:val="mn"/>
          <w:rFonts w:ascii="MathJax_Main" w:hAnsi="MathJax_Main"/>
          <w:b/>
          <w:color w:val="333333"/>
          <w:sz w:val="15"/>
          <w:szCs w:val="15"/>
          <w:shd w:val="clear" w:color="auto" w:fill="FFFFFF"/>
          <w:vertAlign w:val="superscript"/>
        </w:rPr>
        <w:t>2</w:t>
      </w:r>
      <w:r>
        <w:rPr>
          <w:rStyle w:val="mo"/>
          <w:rFonts w:ascii="MathJax_Size2" w:hAnsi="MathJax_Size2"/>
          <w:b/>
          <w:color w:val="333333"/>
          <w:sz w:val="20"/>
          <w:szCs w:val="20"/>
          <w:shd w:val="clear" w:color="auto" w:fill="FFFFFF"/>
          <w:vertAlign w:val="superscript"/>
        </w:rPr>
        <w:t>/</w:t>
      </w:r>
      <w:r>
        <w:rPr>
          <w:rStyle w:val="mi"/>
          <w:rFonts w:ascii="MathJax_Math" w:hAnsi="MathJax_Math"/>
          <w:b/>
          <w:i/>
          <w:iCs/>
          <w:color w:val="333333"/>
          <w:sz w:val="20"/>
          <w:szCs w:val="20"/>
          <w:shd w:val="clear" w:color="auto" w:fill="FFFFFF"/>
        </w:rPr>
        <w:t>E</w:t>
      </w:r>
      <w:r>
        <w:rPr>
          <w:rStyle w:val="mo"/>
          <w:rFonts w:ascii="MathJax_Main" w:hAnsi="MathJax_Main"/>
          <w:color w:val="333333"/>
          <w:sz w:val="20"/>
          <w:szCs w:val="20"/>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We would reject the null hypothesis that the factors are independent only if this number is large, so the test is right-tailed. In this example the random variable</w:t>
      </w:r>
      <w:r>
        <w:rPr>
          <w:rStyle w:val="apple-converted-space"/>
          <w:rFonts w:ascii="Georgia" w:hAnsi="Georgia"/>
          <w:color w:val="333333"/>
          <w:sz w:val="20"/>
          <w:szCs w:val="20"/>
          <w:shd w:val="clear" w:color="auto" w:fill="FFFFFF"/>
        </w:rPr>
        <w:t> </w:t>
      </w:r>
      <w:r>
        <w:rPr>
          <w:rStyle w:val="mi"/>
          <w:rFonts w:ascii="MathJax_Main" w:hAnsi="MathJax_Main"/>
          <w:b/>
          <w:color w:val="333333"/>
          <w:sz w:val="20"/>
          <w:szCs w:val="20"/>
          <w:shd w:val="clear" w:color="auto" w:fill="FFFFFF"/>
        </w:rPr>
        <w:t>Σ</w:t>
      </w:r>
      <w:r>
        <w:rPr>
          <w:rStyle w:val="mo"/>
          <w:rFonts w:ascii="MathJax_Main" w:hAnsi="MathJax_Main"/>
          <w:b/>
          <w:color w:val="333333"/>
          <w:sz w:val="20"/>
          <w:szCs w:val="20"/>
          <w:shd w:val="clear" w:color="auto" w:fill="FFFFFF"/>
        </w:rPr>
        <w:t>(</w:t>
      </w:r>
      <w:r>
        <w:rPr>
          <w:rStyle w:val="mi"/>
          <w:rFonts w:ascii="MathJax_Math" w:hAnsi="MathJax_Math"/>
          <w:b/>
          <w:i/>
          <w:iCs/>
          <w:color w:val="333333"/>
          <w:sz w:val="20"/>
          <w:szCs w:val="20"/>
          <w:shd w:val="clear" w:color="auto" w:fill="FFFFFF"/>
        </w:rPr>
        <w:t>O</w:t>
      </w:r>
      <w:r>
        <w:rPr>
          <w:rStyle w:val="mo"/>
          <w:rFonts w:ascii="MathJax_Main" w:hAnsi="MathJax_Main"/>
          <w:b/>
          <w:color w:val="333333"/>
          <w:sz w:val="20"/>
          <w:szCs w:val="20"/>
          <w:shd w:val="clear" w:color="auto" w:fill="FFFFFF"/>
        </w:rPr>
        <w:t>−</w:t>
      </w:r>
      <w:r>
        <w:rPr>
          <w:rStyle w:val="mi"/>
          <w:rFonts w:ascii="MathJax_Math" w:hAnsi="MathJax_Math"/>
          <w:b/>
          <w:i/>
          <w:iCs/>
          <w:color w:val="333333"/>
          <w:sz w:val="20"/>
          <w:szCs w:val="20"/>
          <w:shd w:val="clear" w:color="auto" w:fill="FFFFFF"/>
        </w:rPr>
        <w:t>E</w:t>
      </w:r>
      <w:r>
        <w:rPr>
          <w:rStyle w:val="mo"/>
          <w:rFonts w:ascii="MathJax_Main" w:hAnsi="MathJax_Main"/>
          <w:b/>
          <w:color w:val="333333"/>
          <w:sz w:val="20"/>
          <w:szCs w:val="20"/>
          <w:shd w:val="clear" w:color="auto" w:fill="FFFFFF"/>
        </w:rPr>
        <w:t>)</w:t>
      </w:r>
      <w:r>
        <w:rPr>
          <w:rStyle w:val="mn"/>
          <w:rFonts w:ascii="MathJax_Main" w:hAnsi="MathJax_Main"/>
          <w:b/>
          <w:color w:val="333333"/>
          <w:sz w:val="15"/>
          <w:szCs w:val="15"/>
          <w:shd w:val="clear" w:color="auto" w:fill="FFFFFF"/>
          <w:vertAlign w:val="superscript"/>
        </w:rPr>
        <w:t>2</w:t>
      </w:r>
      <w:r>
        <w:rPr>
          <w:rStyle w:val="mo"/>
          <w:rFonts w:ascii="MathJax_Size2" w:hAnsi="MathJax_Size2"/>
          <w:b/>
          <w:color w:val="333333"/>
          <w:sz w:val="20"/>
          <w:szCs w:val="20"/>
          <w:shd w:val="clear" w:color="auto" w:fill="FFFFFF"/>
        </w:rPr>
        <w:t>/</w:t>
      </w:r>
      <w:r>
        <w:rPr>
          <w:rStyle w:val="mi"/>
          <w:rFonts w:ascii="MathJax_Math" w:hAnsi="MathJax_Math"/>
          <w:b/>
          <w:i/>
          <w:iCs/>
          <w:color w:val="333333"/>
          <w:sz w:val="20"/>
          <w:szCs w:val="20"/>
          <w:shd w:val="clear" w:color="auto" w:fill="FFFFFF"/>
        </w:rPr>
        <w:t>E</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has the chi-square distribution with one degree of freedom. If we had decided at the outset to test at the 10% level of significance, the critical value defining the rejection region would be, reading from</w:t>
      </w:r>
      <w:r>
        <w:rPr>
          <w:rStyle w:val="apple-converted-space"/>
          <w:rFonts w:ascii="Georgia" w:hAnsi="Georgia"/>
          <w:color w:val="333333"/>
          <w:sz w:val="20"/>
          <w:szCs w:val="20"/>
          <w:shd w:val="clear" w:color="auto" w:fill="FFFFFF"/>
        </w:rPr>
        <w:t> </w:t>
      </w:r>
      <w:r>
        <w:rPr>
          <w:rFonts w:ascii="Georgia" w:hAnsi="Georgia"/>
          <w:color w:val="2689C6"/>
          <w:sz w:val="20"/>
          <w:szCs w:val="20"/>
          <w:shd w:val="clear" w:color="auto" w:fill="FFFFFF"/>
        </w:rPr>
        <w:t>Figure 12.4 "Critical Values of Chi-Square Distributions"</w:t>
      </w:r>
      <w:r>
        <w:rPr>
          <w:rFonts w:ascii="Georgia" w:hAnsi="Georgia"/>
          <w:color w:val="333333"/>
          <w:sz w:val="20"/>
          <w:szCs w:val="20"/>
          <w:shd w:val="clear" w:color="auto" w:fill="FFFFFF"/>
        </w:rPr>
        <w:t>,</w:t>
      </w:r>
      <w:r>
        <w:rPr>
          <w:rStyle w:val="apple-converted-space"/>
          <w:rFonts w:ascii="Georgia" w:hAnsi="Georgia"/>
          <w:color w:val="333333"/>
          <w:sz w:val="20"/>
          <w:szCs w:val="20"/>
          <w:shd w:val="clear" w:color="auto" w:fill="FFFFFF"/>
        </w:rPr>
        <w:t> </w:t>
      </w:r>
      <w:r>
        <w:rPr>
          <w:rStyle w:val="mi"/>
          <w:rFonts w:ascii="MathJax_Math" w:hAnsi="MathJax_Math"/>
          <w:b/>
          <w:i/>
          <w:iCs/>
          <w:color w:val="333333"/>
          <w:sz w:val="20"/>
          <w:szCs w:val="20"/>
          <w:shd w:val="clear" w:color="auto" w:fill="FFFFFF"/>
        </w:rPr>
        <w:t>χ</w:t>
      </w:r>
      <w:r>
        <w:rPr>
          <w:rStyle w:val="mn"/>
          <w:rFonts w:ascii="MathJax_Main" w:hAnsi="MathJax_Main"/>
          <w:b/>
          <w:color w:val="333333"/>
          <w:sz w:val="15"/>
          <w:szCs w:val="15"/>
          <w:shd w:val="clear" w:color="auto" w:fill="FFFFFF"/>
        </w:rPr>
        <w:t>2</w:t>
      </w:r>
      <w:r>
        <w:rPr>
          <w:rStyle w:val="mi"/>
          <w:rFonts w:ascii="MathJax_Math" w:hAnsi="MathJax_Math"/>
          <w:b/>
          <w:i/>
          <w:iCs/>
          <w:color w:val="333333"/>
          <w:sz w:val="15"/>
          <w:szCs w:val="15"/>
          <w:shd w:val="clear" w:color="auto" w:fill="FFFFFF"/>
        </w:rPr>
        <w:t>α</w:t>
      </w:r>
      <w:r>
        <w:rPr>
          <w:rStyle w:val="mo"/>
          <w:rFonts w:ascii="MathJax_Main" w:hAnsi="MathJax_Main"/>
          <w:b/>
          <w:color w:val="333333"/>
          <w:sz w:val="20"/>
          <w:szCs w:val="20"/>
          <w:shd w:val="clear" w:color="auto" w:fill="FFFFFF"/>
        </w:rPr>
        <w:t>=</w:t>
      </w:r>
      <w:r>
        <w:rPr>
          <w:rStyle w:val="mi"/>
          <w:rFonts w:ascii="MathJax_Math" w:hAnsi="MathJax_Math"/>
          <w:b/>
          <w:i/>
          <w:iCs/>
          <w:color w:val="333333"/>
          <w:sz w:val="20"/>
          <w:szCs w:val="20"/>
          <w:shd w:val="clear" w:color="auto" w:fill="FFFFFF"/>
        </w:rPr>
        <w:t>χ</w:t>
      </w:r>
      <w:r>
        <w:rPr>
          <w:rStyle w:val="mn"/>
          <w:rFonts w:ascii="MathJax_Main" w:hAnsi="MathJax_Main"/>
          <w:b/>
          <w:color w:val="333333"/>
          <w:sz w:val="15"/>
          <w:szCs w:val="15"/>
          <w:shd w:val="clear" w:color="auto" w:fill="FFFFFF"/>
        </w:rPr>
        <w:t>20.10</w:t>
      </w:r>
      <w:r>
        <w:rPr>
          <w:rStyle w:val="mo"/>
          <w:rFonts w:ascii="MathJax_Main" w:hAnsi="MathJax_Main"/>
          <w:b/>
          <w:color w:val="333333"/>
          <w:sz w:val="20"/>
          <w:szCs w:val="20"/>
          <w:shd w:val="clear" w:color="auto" w:fill="FFFFFF"/>
        </w:rPr>
        <w:t>=</w:t>
      </w:r>
      <w:r>
        <w:rPr>
          <w:rStyle w:val="mn"/>
          <w:rFonts w:ascii="MathJax_Main" w:hAnsi="MathJax_Main"/>
          <w:b/>
          <w:color w:val="333333"/>
          <w:sz w:val="20"/>
          <w:szCs w:val="20"/>
          <w:shd w:val="clear" w:color="auto" w:fill="FFFFFF"/>
        </w:rPr>
        <w:t>2.706</w:t>
      </w:r>
      <w:r>
        <w:rPr>
          <w:rFonts w:ascii="Georgia" w:hAnsi="Georgia"/>
          <w:color w:val="333333"/>
          <w:sz w:val="20"/>
          <w:szCs w:val="20"/>
          <w:shd w:val="clear" w:color="auto" w:fill="FFFFFF"/>
        </w:rPr>
        <w:t>, so that the rejection region would be the interval</w:t>
      </w:r>
      <w:r>
        <w:rPr>
          <w:rStyle w:val="apple-converted-space"/>
          <w:rFonts w:ascii="Georgia" w:hAnsi="Georgia"/>
          <w:color w:val="333333"/>
          <w:sz w:val="20"/>
          <w:szCs w:val="20"/>
          <w:shd w:val="clear" w:color="auto" w:fill="FFFFFF"/>
        </w:rPr>
        <w:t> </w:t>
      </w:r>
      <w:r>
        <w:rPr>
          <w:rStyle w:val="mo"/>
          <w:rFonts w:ascii="MathJax_Main" w:hAnsi="MathJax_Main"/>
          <w:color w:val="333333"/>
          <w:sz w:val="20"/>
          <w:szCs w:val="20"/>
          <w:shd w:val="clear" w:color="auto" w:fill="FFFFFF"/>
        </w:rPr>
        <w:t>[</w:t>
      </w:r>
      <w:r>
        <w:rPr>
          <w:rStyle w:val="mn"/>
          <w:rFonts w:ascii="MathJax_Main" w:hAnsi="MathJax_Main"/>
          <w:b/>
          <w:color w:val="333333"/>
          <w:sz w:val="20"/>
          <w:szCs w:val="20"/>
          <w:shd w:val="clear" w:color="auto" w:fill="FFFFFF"/>
        </w:rPr>
        <w:t>2.706</w:t>
      </w:r>
      <w:r>
        <w:rPr>
          <w:rStyle w:val="mo"/>
          <w:rFonts w:ascii="MathJax_Main" w:hAnsi="MathJax_Main"/>
          <w:b/>
          <w:color w:val="333333"/>
          <w:sz w:val="20"/>
          <w:szCs w:val="20"/>
          <w:shd w:val="clear" w:color="auto" w:fill="FFFFFF"/>
        </w:rPr>
        <w:t>,</w:t>
      </w:r>
      <w:r>
        <w:rPr>
          <w:rStyle w:val="mi"/>
          <w:rFonts w:ascii="MathJax_Main" w:hAnsi="MathJax_Main"/>
          <w:b/>
          <w:color w:val="333333"/>
          <w:sz w:val="20"/>
          <w:szCs w:val="20"/>
          <w:shd w:val="clear" w:color="auto" w:fill="FFFFFF"/>
        </w:rPr>
        <w:t>∞</w:t>
      </w:r>
      <w:r>
        <w:rPr>
          <w:rStyle w:val="mo"/>
          <w:rFonts w:ascii="MathJax_Main" w:hAnsi="MathJax_Main"/>
          <w:b/>
          <w:color w:val="333333"/>
          <w:sz w:val="20"/>
          <w:szCs w:val="20"/>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When we compute the value of the standardized test statistic we obtain</w:t>
      </w:r>
    </w:p>
    <w:p w:rsidR="00AD77BB" w:rsidRDefault="00B45BA0">
      <w:pPr>
        <w:tabs>
          <w:tab w:val="left" w:pos="5547"/>
        </w:tabs>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7A3CC4D8" wp14:editId="08589CCA">
            <wp:extent cx="5114925" cy="5934075"/>
            <wp:effectExtent l="0" t="0" r="9525" b="9525"/>
            <wp:docPr id="436"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114925" cy="5934075"/>
                    </a:xfrm>
                    <a:prstGeom prst="rect">
                      <a:avLst/>
                    </a:prstGeom>
                    <a:noFill/>
                    <a:ln>
                      <a:noFill/>
                    </a:ln>
                  </pic:spPr>
                </pic:pic>
              </a:graphicData>
            </a:graphic>
          </wp:inline>
        </w:drawing>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As in the example each factor is divided into a number of categories or levels. These could arise naturally, as in the boy-girl division of gender, or somewhat arbitrarily, as in the high-low division of heart rate. Suppose Factor 1 has</w:t>
      </w:r>
      <w:r>
        <w:rPr>
          <w:rStyle w:val="apple-converted-space"/>
          <w:rFonts w:ascii="Georgia" w:hAnsi="Georgia"/>
          <w:color w:val="333333"/>
          <w:sz w:val="21"/>
          <w:szCs w:val="21"/>
        </w:rPr>
        <w:t> </w:t>
      </w:r>
      <w:r>
        <w:rPr>
          <w:rStyle w:val="Emphasis"/>
          <w:rFonts w:ascii="Georgia" w:hAnsi="Georgia"/>
          <w:color w:val="333333"/>
          <w:sz w:val="20"/>
          <w:szCs w:val="20"/>
        </w:rPr>
        <w:t>I</w:t>
      </w:r>
      <w:r>
        <w:rPr>
          <w:rStyle w:val="apple-converted-space"/>
          <w:rFonts w:ascii="Georgia" w:hAnsi="Georgia"/>
          <w:color w:val="333333"/>
          <w:sz w:val="21"/>
          <w:szCs w:val="21"/>
        </w:rPr>
        <w:t> </w:t>
      </w:r>
      <w:r>
        <w:rPr>
          <w:rFonts w:ascii="Georgia" w:hAnsi="Georgia"/>
          <w:color w:val="333333"/>
          <w:sz w:val="21"/>
          <w:szCs w:val="21"/>
        </w:rPr>
        <w:t>levels and Factor 2 has</w:t>
      </w:r>
      <w:r>
        <w:rPr>
          <w:rStyle w:val="apple-converted-space"/>
          <w:rFonts w:ascii="Georgia" w:hAnsi="Georgia"/>
          <w:color w:val="333333"/>
          <w:sz w:val="21"/>
          <w:szCs w:val="21"/>
        </w:rPr>
        <w:t> </w:t>
      </w:r>
      <w:r>
        <w:rPr>
          <w:rStyle w:val="Emphasis"/>
          <w:rFonts w:ascii="Georgia" w:hAnsi="Georgia"/>
          <w:color w:val="333333"/>
          <w:sz w:val="20"/>
          <w:szCs w:val="20"/>
        </w:rPr>
        <w:t>J</w:t>
      </w:r>
      <w:r>
        <w:rPr>
          <w:rStyle w:val="apple-converted-space"/>
          <w:rFonts w:ascii="Georgia" w:hAnsi="Georgia"/>
          <w:color w:val="333333"/>
          <w:sz w:val="21"/>
          <w:szCs w:val="21"/>
        </w:rPr>
        <w:t> </w:t>
      </w:r>
      <w:r>
        <w:rPr>
          <w:rFonts w:ascii="Georgia" w:hAnsi="Georgia"/>
          <w:color w:val="333333"/>
          <w:sz w:val="21"/>
          <w:szCs w:val="21"/>
        </w:rPr>
        <w:t>levels. Then the information from a random sample gives rise to a general</w:t>
      </w:r>
      <w:r>
        <w:rPr>
          <w:rStyle w:val="apple-converted-space"/>
          <w:rFonts w:ascii="Georgia" w:hAnsi="Georgia"/>
          <w:color w:val="333333"/>
          <w:sz w:val="21"/>
          <w:szCs w:val="21"/>
        </w:rPr>
        <w:t> </w:t>
      </w:r>
      <w:r>
        <w:rPr>
          <w:rStyle w:val="Emphasis"/>
          <w:rFonts w:ascii="Georgia" w:hAnsi="Georgia"/>
          <w:color w:val="333333"/>
          <w:sz w:val="20"/>
          <w:szCs w:val="20"/>
        </w:rPr>
        <w:t>I</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J</w:t>
      </w:r>
      <w:r>
        <w:rPr>
          <w:rStyle w:val="apple-converted-space"/>
          <w:rFonts w:ascii="Georgia" w:hAnsi="Georgia"/>
          <w:color w:val="333333"/>
          <w:sz w:val="21"/>
          <w:szCs w:val="21"/>
        </w:rPr>
        <w:t> </w:t>
      </w:r>
      <w:r>
        <w:rPr>
          <w:rFonts w:ascii="Georgia" w:hAnsi="Georgia"/>
          <w:color w:val="333333"/>
          <w:sz w:val="21"/>
          <w:szCs w:val="21"/>
        </w:rPr>
        <w:t>contingency table, which with row totals, column totals, and a grand total would appear as shown in</w:t>
      </w:r>
      <w:r>
        <w:rPr>
          <w:rStyle w:val="apple-converted-space"/>
          <w:rFonts w:ascii="Georgia" w:hAnsi="Georgia"/>
          <w:color w:val="333333"/>
          <w:sz w:val="21"/>
          <w:szCs w:val="21"/>
        </w:rPr>
        <w:t> </w:t>
      </w:r>
      <w:r>
        <w:rPr>
          <w:rFonts w:ascii="Georgia" w:hAnsi="Georgia"/>
          <w:color w:val="2689C6"/>
          <w:sz w:val="21"/>
          <w:szCs w:val="21"/>
        </w:rPr>
        <w:t>Table 11.3 "General Contingency Table"</w:t>
      </w:r>
      <w:r>
        <w:rPr>
          <w:rFonts w:ascii="Georgia" w:hAnsi="Georgia"/>
          <w:color w:val="333333"/>
          <w:sz w:val="21"/>
          <w:szCs w:val="21"/>
        </w:rPr>
        <w:t>. Each cell may be labeled by a pair of indices</w:t>
      </w:r>
      <w:r>
        <w:rPr>
          <w:rStyle w:val="apple-converted-space"/>
          <w:rFonts w:ascii="Georgia" w:hAnsi="Georgia"/>
          <w:color w:val="333333"/>
          <w:sz w:val="21"/>
          <w:szCs w:val="21"/>
        </w:rPr>
        <w:t> </w:t>
      </w:r>
      <w:r>
        <w:rPr>
          <w:rStyle w:val="mo"/>
          <w:rFonts w:ascii="MathJax_Main" w:hAnsi="MathJax_Main"/>
          <w:color w:val="333333"/>
          <w:sz w:val="20"/>
          <w:szCs w:val="20"/>
        </w:rPr>
        <w:t>(</w:t>
      </w:r>
      <w:r>
        <w:rPr>
          <w:rStyle w:val="mi"/>
          <w:rFonts w:ascii="MathJax_Math" w:hAnsi="MathJax_Math"/>
          <w:i/>
          <w:iCs/>
          <w:color w:val="333333"/>
          <w:sz w:val="20"/>
          <w:szCs w:val="20"/>
        </w:rPr>
        <w:t>i</w:t>
      </w:r>
      <w:r>
        <w:rPr>
          <w:rStyle w:val="mo"/>
          <w:rFonts w:ascii="MathJax_Main" w:hAnsi="MathJax_Main"/>
          <w:color w:val="333333"/>
          <w:sz w:val="20"/>
          <w:szCs w:val="20"/>
        </w:rPr>
        <w:t>,</w:t>
      </w:r>
      <w:r>
        <w:rPr>
          <w:rStyle w:val="mi"/>
          <w:rFonts w:ascii="MathJax_Math" w:hAnsi="MathJax_Math"/>
          <w:i/>
          <w:iCs/>
          <w:color w:val="333333"/>
          <w:sz w:val="20"/>
          <w:szCs w:val="20"/>
        </w:rPr>
        <w:t>j</w:t>
      </w:r>
      <w:r>
        <w:rPr>
          <w:rStyle w:val="mo"/>
          <w:rFonts w:ascii="MathJax_Main" w:hAnsi="MathJax_Main"/>
          <w:color w:val="333333"/>
          <w:sz w:val="20"/>
          <w:szCs w:val="20"/>
        </w:rPr>
        <w:t>).</w:t>
      </w:r>
      <w:r>
        <w:rPr>
          <w:rStyle w:val="apple-converted-space"/>
          <w:rFonts w:ascii="Georgia" w:hAnsi="Georgia"/>
          <w:color w:val="333333"/>
          <w:sz w:val="21"/>
          <w:szCs w:val="21"/>
        </w:rPr>
        <w:t> </w:t>
      </w:r>
      <w:r>
        <w:rPr>
          <w:rStyle w:val="mi"/>
          <w:rFonts w:ascii="MathJax_Math" w:hAnsi="MathJax_Math"/>
          <w:i/>
          <w:iCs/>
          <w:color w:val="333333"/>
          <w:sz w:val="20"/>
          <w:szCs w:val="20"/>
        </w:rPr>
        <w:t>O</w:t>
      </w:r>
      <w:r>
        <w:rPr>
          <w:rStyle w:val="mi"/>
          <w:rFonts w:ascii="MathJax_Math" w:hAnsi="MathJax_Math"/>
          <w:i/>
          <w:iCs/>
          <w:color w:val="333333"/>
          <w:sz w:val="15"/>
          <w:szCs w:val="15"/>
        </w:rPr>
        <w:t>ij</w:t>
      </w:r>
      <w:r>
        <w:rPr>
          <w:rStyle w:val="apple-converted-space"/>
          <w:rFonts w:ascii="Georgia" w:hAnsi="Georgia"/>
          <w:color w:val="333333"/>
          <w:sz w:val="21"/>
          <w:szCs w:val="21"/>
        </w:rPr>
        <w:t> </w:t>
      </w:r>
      <w:r>
        <w:rPr>
          <w:rFonts w:ascii="Georgia" w:hAnsi="Georgia"/>
          <w:color w:val="333333"/>
          <w:sz w:val="21"/>
          <w:szCs w:val="21"/>
        </w:rPr>
        <w:t>stands for the observed count of observations in the cell in row</w:t>
      </w:r>
      <w:r>
        <w:rPr>
          <w:rStyle w:val="apple-converted-space"/>
          <w:rFonts w:ascii="Georgia" w:hAnsi="Georgia"/>
          <w:color w:val="333333"/>
          <w:sz w:val="21"/>
          <w:szCs w:val="21"/>
        </w:rPr>
        <w:t> </w:t>
      </w:r>
      <w:r>
        <w:rPr>
          <w:rStyle w:val="Emphasis"/>
          <w:rFonts w:ascii="Georgia" w:hAnsi="Georgia"/>
          <w:color w:val="333333"/>
          <w:sz w:val="20"/>
          <w:szCs w:val="20"/>
        </w:rPr>
        <w:t>i</w:t>
      </w:r>
      <w:r>
        <w:rPr>
          <w:rStyle w:val="apple-converted-space"/>
          <w:rFonts w:ascii="Georgia" w:hAnsi="Georgia"/>
          <w:color w:val="333333"/>
          <w:sz w:val="21"/>
          <w:szCs w:val="21"/>
        </w:rPr>
        <w:t> </w:t>
      </w:r>
      <w:r>
        <w:rPr>
          <w:rFonts w:ascii="Georgia" w:hAnsi="Georgia"/>
          <w:color w:val="333333"/>
          <w:sz w:val="21"/>
          <w:szCs w:val="21"/>
        </w:rPr>
        <w:t>and column</w:t>
      </w:r>
      <w:r>
        <w:rPr>
          <w:rStyle w:val="apple-converted-space"/>
          <w:rFonts w:ascii="Georgia" w:hAnsi="Georgia"/>
          <w:color w:val="333333"/>
          <w:sz w:val="21"/>
          <w:szCs w:val="21"/>
        </w:rPr>
        <w:t> </w:t>
      </w:r>
      <w:r>
        <w:rPr>
          <w:rStyle w:val="Emphasis"/>
          <w:rFonts w:ascii="Georgia" w:hAnsi="Georgia"/>
          <w:color w:val="333333"/>
          <w:sz w:val="20"/>
          <w:szCs w:val="20"/>
        </w:rPr>
        <w:t>j</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R</w:t>
      </w:r>
      <w:r>
        <w:rPr>
          <w:rStyle w:val="Emphasis"/>
          <w:rFonts w:ascii="Georgia" w:hAnsi="Georgia"/>
          <w:color w:val="333333"/>
          <w:sz w:val="15"/>
          <w:szCs w:val="15"/>
          <w:vertAlign w:val="subscript"/>
        </w:rPr>
        <w:t>i</w:t>
      </w:r>
      <w:r>
        <w:rPr>
          <w:rStyle w:val="apple-converted-space"/>
          <w:rFonts w:ascii="Georgia" w:hAnsi="Georgia"/>
          <w:color w:val="333333"/>
          <w:sz w:val="21"/>
          <w:szCs w:val="21"/>
        </w:rPr>
        <w:t> </w:t>
      </w:r>
      <w:r>
        <w:rPr>
          <w:rFonts w:ascii="Georgia" w:hAnsi="Georgia"/>
          <w:color w:val="333333"/>
          <w:sz w:val="21"/>
          <w:szCs w:val="21"/>
        </w:rPr>
        <w:t>for the</w:t>
      </w:r>
      <w:r>
        <w:rPr>
          <w:rStyle w:val="apple-converted-space"/>
          <w:rFonts w:ascii="Georgia" w:hAnsi="Georgia"/>
          <w:color w:val="333333"/>
          <w:sz w:val="21"/>
          <w:szCs w:val="21"/>
        </w:rPr>
        <w:t> </w:t>
      </w:r>
      <w:r>
        <w:rPr>
          <w:rStyle w:val="mi"/>
          <w:rFonts w:ascii="MathJax_Math" w:hAnsi="MathJax_Math"/>
          <w:i/>
          <w:iCs/>
          <w:color w:val="333333"/>
          <w:sz w:val="20"/>
          <w:szCs w:val="20"/>
        </w:rPr>
        <w:t>i</w:t>
      </w:r>
      <w:r>
        <w:rPr>
          <w:rStyle w:val="mi"/>
          <w:rFonts w:ascii="MathJax_Math" w:hAnsi="MathJax_Math"/>
          <w:i/>
          <w:iCs/>
          <w:color w:val="333333"/>
          <w:sz w:val="15"/>
          <w:szCs w:val="15"/>
        </w:rPr>
        <w:t>th</w:t>
      </w:r>
      <w:r>
        <w:rPr>
          <w:rStyle w:val="apple-converted-space"/>
          <w:rFonts w:ascii="Georgia" w:hAnsi="Georgia"/>
          <w:color w:val="333333"/>
          <w:sz w:val="21"/>
          <w:szCs w:val="21"/>
        </w:rPr>
        <w:t> </w:t>
      </w:r>
      <w:r>
        <w:rPr>
          <w:rFonts w:ascii="Georgia" w:hAnsi="Georgia"/>
          <w:color w:val="333333"/>
          <w:sz w:val="21"/>
          <w:szCs w:val="21"/>
        </w:rPr>
        <w:t>row total and</w:t>
      </w:r>
      <w:r>
        <w:rPr>
          <w:rStyle w:val="apple-converted-space"/>
          <w:rFonts w:ascii="Georgia" w:hAnsi="Georgia"/>
          <w:color w:val="333333"/>
          <w:sz w:val="21"/>
          <w:szCs w:val="21"/>
        </w:rPr>
        <w:t> </w:t>
      </w:r>
      <w:r>
        <w:rPr>
          <w:rStyle w:val="Emphasis"/>
          <w:rFonts w:ascii="Georgia" w:hAnsi="Georgia"/>
          <w:color w:val="333333"/>
          <w:sz w:val="20"/>
          <w:szCs w:val="20"/>
        </w:rPr>
        <w:t>C</w:t>
      </w:r>
      <w:r>
        <w:rPr>
          <w:rStyle w:val="Emphasis"/>
          <w:rFonts w:ascii="Georgia" w:hAnsi="Georgia"/>
          <w:color w:val="333333"/>
          <w:sz w:val="15"/>
          <w:szCs w:val="15"/>
          <w:vertAlign w:val="subscript"/>
        </w:rPr>
        <w:t>j</w:t>
      </w:r>
      <w:r>
        <w:rPr>
          <w:rStyle w:val="apple-converted-space"/>
          <w:rFonts w:ascii="Georgia" w:hAnsi="Georgia"/>
          <w:color w:val="333333"/>
          <w:sz w:val="21"/>
          <w:szCs w:val="21"/>
        </w:rPr>
        <w:t> </w:t>
      </w:r>
      <w:r>
        <w:rPr>
          <w:rFonts w:ascii="Georgia" w:hAnsi="Georgia"/>
          <w:color w:val="333333"/>
          <w:sz w:val="21"/>
          <w:szCs w:val="21"/>
        </w:rPr>
        <w:t>for the</w:t>
      </w:r>
      <w:r>
        <w:rPr>
          <w:rStyle w:val="apple-converted-space"/>
          <w:rFonts w:ascii="Georgia" w:hAnsi="Georgia"/>
          <w:color w:val="333333"/>
          <w:sz w:val="21"/>
          <w:szCs w:val="21"/>
        </w:rPr>
        <w:t> </w:t>
      </w:r>
      <w:r>
        <w:rPr>
          <w:rStyle w:val="mi"/>
          <w:rFonts w:ascii="MathJax_Math" w:hAnsi="MathJax_Math"/>
          <w:i/>
          <w:iCs/>
          <w:color w:val="333333"/>
          <w:sz w:val="20"/>
          <w:szCs w:val="20"/>
        </w:rPr>
        <w:t>j</w:t>
      </w:r>
      <w:r>
        <w:rPr>
          <w:rStyle w:val="mi"/>
          <w:rFonts w:ascii="MathJax_Math" w:hAnsi="MathJax_Math"/>
          <w:i/>
          <w:iCs/>
          <w:color w:val="333333"/>
          <w:sz w:val="15"/>
          <w:szCs w:val="15"/>
        </w:rPr>
        <w:t>th</w:t>
      </w:r>
      <w:r>
        <w:rPr>
          <w:rStyle w:val="apple-converted-space"/>
          <w:rFonts w:ascii="Georgia" w:hAnsi="Georgia"/>
          <w:color w:val="333333"/>
          <w:sz w:val="21"/>
          <w:szCs w:val="21"/>
        </w:rPr>
        <w:t> </w:t>
      </w:r>
      <w:r>
        <w:rPr>
          <w:rFonts w:ascii="Georgia" w:hAnsi="Georgia"/>
          <w:color w:val="333333"/>
          <w:sz w:val="21"/>
          <w:szCs w:val="21"/>
        </w:rPr>
        <w:t>column total. To simplify the notation we will drop the indices so</w:t>
      </w:r>
      <w:r>
        <w:rPr>
          <w:rStyle w:val="apple-converted-space"/>
          <w:rFonts w:ascii="Georgia" w:hAnsi="Georgia"/>
          <w:color w:val="333333"/>
          <w:sz w:val="21"/>
          <w:szCs w:val="21"/>
        </w:rPr>
        <w:t> </w:t>
      </w:r>
      <w:r>
        <w:rPr>
          <w:rFonts w:ascii="Georgia" w:hAnsi="Georgia"/>
          <w:color w:val="2689C6"/>
          <w:sz w:val="21"/>
          <w:szCs w:val="21"/>
        </w:rPr>
        <w:t>Table 11.3 "General Contingency Table"</w:t>
      </w:r>
      <w:r>
        <w:rPr>
          <w:rStyle w:val="apple-converted-space"/>
          <w:rFonts w:ascii="Georgia" w:hAnsi="Georgia"/>
          <w:color w:val="333333"/>
          <w:sz w:val="21"/>
          <w:szCs w:val="21"/>
        </w:rPr>
        <w:t> </w:t>
      </w:r>
      <w:r>
        <w:rPr>
          <w:rFonts w:ascii="Georgia" w:hAnsi="Georgia"/>
          <w:color w:val="333333"/>
          <w:sz w:val="21"/>
          <w:szCs w:val="21"/>
        </w:rPr>
        <w:t>becomes</w:t>
      </w:r>
      <w:r>
        <w:rPr>
          <w:rStyle w:val="apple-converted-space"/>
          <w:rFonts w:ascii="Georgia" w:hAnsi="Georgia"/>
          <w:color w:val="333333"/>
          <w:sz w:val="21"/>
          <w:szCs w:val="21"/>
        </w:rPr>
        <w:t> </w:t>
      </w:r>
      <w:r>
        <w:rPr>
          <w:rFonts w:ascii="Georgia" w:hAnsi="Georgia"/>
          <w:color w:val="2689C6"/>
          <w:sz w:val="21"/>
          <w:szCs w:val="21"/>
        </w:rPr>
        <w:t xml:space="preserve">Table 11.4 "Simplified </w:t>
      </w:r>
      <w:r>
        <w:rPr>
          <w:rFonts w:ascii="Georgia" w:hAnsi="Georgia"/>
          <w:color w:val="2689C6"/>
          <w:sz w:val="21"/>
          <w:szCs w:val="21"/>
        </w:rPr>
        <w:lastRenderedPageBreak/>
        <w:t>General Contingency Table"</w:t>
      </w:r>
      <w:r>
        <w:rPr>
          <w:rFonts w:ascii="Georgia" w:hAnsi="Georgia"/>
          <w:color w:val="333333"/>
          <w:sz w:val="21"/>
          <w:szCs w:val="21"/>
        </w:rPr>
        <w:t>. Nevertheless it is important to keep in mind that the</w:t>
      </w:r>
      <w:r>
        <w:rPr>
          <w:rStyle w:val="apple-converted-space"/>
          <w:rFonts w:ascii="Georgia" w:hAnsi="Georgia"/>
          <w:color w:val="333333"/>
          <w:sz w:val="21"/>
          <w:szCs w:val="21"/>
        </w:rPr>
        <w:t> </w:t>
      </w:r>
      <w:r>
        <w:rPr>
          <w:rStyle w:val="Emphasis"/>
          <w:rFonts w:ascii="Georgia" w:hAnsi="Georgia"/>
          <w:color w:val="333333"/>
          <w:sz w:val="20"/>
          <w:szCs w:val="20"/>
        </w:rPr>
        <w:t>O</w:t>
      </w:r>
      <w:r>
        <w:rPr>
          <w:rFonts w:ascii="Georgia" w:hAnsi="Georgia"/>
          <w:color w:val="333333"/>
          <w:sz w:val="21"/>
          <w:szCs w:val="21"/>
        </w:rPr>
        <w:t>s, the</w:t>
      </w:r>
      <w:r>
        <w:rPr>
          <w:rStyle w:val="apple-converted-space"/>
          <w:rFonts w:ascii="Georgia" w:hAnsi="Georgia"/>
          <w:color w:val="333333"/>
          <w:sz w:val="21"/>
          <w:szCs w:val="21"/>
        </w:rPr>
        <w:t> </w:t>
      </w:r>
      <w:r>
        <w:rPr>
          <w:rStyle w:val="Emphasis"/>
          <w:rFonts w:ascii="Georgia" w:hAnsi="Georgia"/>
          <w:color w:val="333333"/>
          <w:sz w:val="20"/>
          <w:szCs w:val="20"/>
        </w:rPr>
        <w:t>R</w:t>
      </w:r>
      <w:r>
        <w:rPr>
          <w:rFonts w:ascii="Georgia" w:hAnsi="Georgia"/>
          <w:color w:val="333333"/>
          <w:sz w:val="21"/>
          <w:szCs w:val="21"/>
        </w:rPr>
        <w:t>s and the</w:t>
      </w:r>
      <w:r>
        <w:rPr>
          <w:rStyle w:val="apple-converted-space"/>
          <w:rFonts w:ascii="Georgia" w:hAnsi="Georgia"/>
          <w:color w:val="333333"/>
          <w:sz w:val="21"/>
          <w:szCs w:val="21"/>
        </w:rPr>
        <w:t> </w:t>
      </w:r>
      <w:r>
        <w:rPr>
          <w:rStyle w:val="Emphasis"/>
          <w:rFonts w:ascii="Georgia" w:hAnsi="Georgia"/>
          <w:color w:val="333333"/>
          <w:sz w:val="20"/>
          <w:szCs w:val="20"/>
        </w:rPr>
        <w:t>C</w:t>
      </w:r>
      <w:r>
        <w:rPr>
          <w:rFonts w:ascii="Georgia" w:hAnsi="Georgia"/>
          <w:color w:val="333333"/>
          <w:sz w:val="21"/>
          <w:szCs w:val="21"/>
        </w:rPr>
        <w:t>s, though denoted by the same symbols, are in fact different numbers.</w:t>
      </w:r>
    </w:p>
    <w:p w:rsidR="00AD77BB" w:rsidRDefault="00B45BA0">
      <w:pPr>
        <w:pStyle w:val="Title9"/>
        <w:shd w:val="clear" w:color="auto" w:fill="FFFFFF"/>
        <w:spacing w:before="0" w:beforeAutospacing="0" w:after="0" w:afterAutospacing="0" w:line="360" w:lineRule="auto"/>
        <w:textAlignment w:val="baseline"/>
        <w:rPr>
          <w:rFonts w:ascii="Georgia" w:hAnsi="Georgia"/>
          <w:color w:val="333333"/>
          <w:sz w:val="20"/>
          <w:szCs w:val="20"/>
        </w:rPr>
      </w:pPr>
      <w:r>
        <w:rPr>
          <w:rStyle w:val="title-prefix"/>
          <w:rFonts w:ascii="Georgia" w:hAnsi="Georgia"/>
          <w:color w:val="333333"/>
          <w:sz w:val="20"/>
          <w:szCs w:val="20"/>
        </w:rPr>
        <w:t>Table 11.3</w:t>
      </w:r>
      <w:r>
        <w:rPr>
          <w:rStyle w:val="apple-converted-space"/>
          <w:rFonts w:ascii="Georgia" w:hAnsi="Georgia"/>
          <w:color w:val="333333"/>
          <w:sz w:val="20"/>
          <w:szCs w:val="20"/>
        </w:rPr>
        <w:t> </w:t>
      </w:r>
      <w:r>
        <w:rPr>
          <w:rFonts w:ascii="Georgia" w:hAnsi="Georgia"/>
          <w:color w:val="333333"/>
          <w:sz w:val="20"/>
          <w:szCs w:val="20"/>
        </w:rPr>
        <w:t>General Contingency Table</w:t>
      </w:r>
    </w:p>
    <w:tbl>
      <w:tblPr>
        <w:tblW w:w="0" w:type="auto"/>
        <w:tblCellMar>
          <w:left w:w="0" w:type="dxa"/>
          <w:right w:w="0" w:type="dxa"/>
        </w:tblCellMar>
        <w:tblLook w:val="04A0" w:firstRow="1" w:lastRow="0" w:firstColumn="1" w:lastColumn="0" w:noHBand="0" w:noVBand="1"/>
      </w:tblPr>
      <w:tblGrid>
        <w:gridCol w:w="1354"/>
        <w:gridCol w:w="252"/>
        <w:gridCol w:w="383"/>
        <w:gridCol w:w="448"/>
        <w:gridCol w:w="367"/>
        <w:gridCol w:w="448"/>
        <w:gridCol w:w="387"/>
        <w:gridCol w:w="989"/>
        <w:gridCol w:w="156"/>
      </w:tblGrid>
      <w:tr w:rsidR="00AD77BB">
        <w:trPr>
          <w:gridAfter w:val="1"/>
          <w:tblHeader/>
        </w:trPr>
        <w:tc>
          <w:tcPr>
            <w:tcW w:w="0" w:type="auto"/>
            <w:gridSpan w:val="2"/>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rPr>
                <w:b/>
                <w:bCs/>
                <w:color w:val="F48800"/>
                <w:sz w:val="20"/>
                <w:szCs w:val="20"/>
              </w:rPr>
            </w:pPr>
            <w:r>
              <w:rPr>
                <w:b/>
                <w:bCs/>
                <w:color w:val="F48800"/>
                <w:sz w:val="20"/>
                <w:szCs w:val="20"/>
              </w:rPr>
              <w:t> </w:t>
            </w:r>
          </w:p>
        </w:tc>
        <w:tc>
          <w:tcPr>
            <w:tcW w:w="0" w:type="auto"/>
            <w:gridSpan w:val="5"/>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Factor 2 Levels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spacing w:after="0"/>
              <w:rPr>
                <w:rFonts w:cs="Times New Roman"/>
              </w:rPr>
            </w:pPr>
          </w:p>
        </w:tc>
      </w:tr>
      <w:tr w:rsidR="00AD77BB">
        <w:trPr>
          <w:tblHeader/>
        </w:trPr>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b/>
                <w:bCs/>
                <w:color w:val="F48800"/>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rStyle w:val="mtext"/>
                <w:rFonts w:ascii="MathJax_Main" w:hAnsi="MathJax_Main"/>
                <w:color w:val="F48800"/>
                <w:sz w:val="17"/>
                <w:szCs w:val="17"/>
              </w:rPr>
              <w:t> </w:t>
            </w:r>
            <w:r>
              <w:rPr>
                <w:rStyle w:val="mtext"/>
                <w:rFonts w:ascii="Cambria Math" w:hAnsi="Cambria Math" w:cs="Cambria Math"/>
                <w:color w:val="F48800"/>
                <w:sz w:val="17"/>
                <w:szCs w:val="17"/>
              </w:rPr>
              <w:t>⋅</w:t>
            </w:r>
            <w:r>
              <w:rPr>
                <w:rStyle w:val="mtext"/>
                <w:rFonts w:ascii="MathJax_Main" w:hAnsi="MathJax_Main"/>
                <w:color w:val="F48800"/>
                <w:sz w:val="17"/>
                <w:szCs w:val="17"/>
              </w:rPr>
              <w:t xml:space="preserve"> </w:t>
            </w:r>
            <w:r>
              <w:rPr>
                <w:rStyle w:val="mtext"/>
                <w:rFonts w:ascii="Cambria Math" w:hAnsi="Cambria Math" w:cs="Cambria Math"/>
                <w:color w:val="F48800"/>
                <w:sz w:val="17"/>
                <w:szCs w:val="17"/>
              </w:rPr>
              <w:t>⋅</w:t>
            </w:r>
            <w:r>
              <w:rPr>
                <w:rStyle w:val="mtext"/>
                <w:rFonts w:ascii="MathJax_Main" w:hAnsi="MathJax_Main"/>
                <w:color w:val="F48800"/>
                <w:sz w:val="17"/>
                <w:szCs w:val="17"/>
              </w:rPr>
              <w:t xml:space="preserve"> </w:t>
            </w:r>
            <w:r>
              <w:rPr>
                <w:rStyle w:val="mtext"/>
                <w:rFonts w:ascii="Cambria Math" w:hAnsi="Cambria Math" w:cs="Cambria Math"/>
                <w:color w:val="F48800"/>
                <w:sz w:val="17"/>
                <w:szCs w:val="17"/>
              </w:rPr>
              <w:t>⋅</w:t>
            </w:r>
            <w:r>
              <w:rPr>
                <w:rStyle w:val="mtext"/>
                <w:rFonts w:ascii="MathJax_Main" w:hAnsi="MathJax_Main"/>
                <w:color w:val="F48800"/>
                <w:sz w:val="17"/>
                <w:szCs w:val="17"/>
              </w:rPr>
              <w: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rStyle w:val="Emphasis"/>
                <w:b/>
                <w:bCs/>
                <w:color w:val="F48800"/>
                <w:sz w:val="20"/>
                <w:szCs w:val="20"/>
              </w:rPr>
              <w:t>j</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rStyle w:val="mtext"/>
                <w:rFonts w:ascii="MathJax_Main" w:hAnsi="MathJax_Main"/>
                <w:color w:val="F48800"/>
                <w:sz w:val="17"/>
                <w:szCs w:val="17"/>
              </w:rPr>
              <w:t> </w:t>
            </w:r>
            <w:r>
              <w:rPr>
                <w:rStyle w:val="mtext"/>
                <w:rFonts w:ascii="Cambria Math" w:hAnsi="Cambria Math" w:cs="Cambria Math"/>
                <w:color w:val="F48800"/>
                <w:sz w:val="17"/>
                <w:szCs w:val="17"/>
              </w:rPr>
              <w:t>⋅</w:t>
            </w:r>
            <w:r>
              <w:rPr>
                <w:rStyle w:val="mtext"/>
                <w:rFonts w:ascii="MathJax_Main" w:hAnsi="MathJax_Main"/>
                <w:color w:val="F48800"/>
                <w:sz w:val="17"/>
                <w:szCs w:val="17"/>
              </w:rPr>
              <w:t xml:space="preserve"> </w:t>
            </w:r>
            <w:r>
              <w:rPr>
                <w:rStyle w:val="mtext"/>
                <w:rFonts w:ascii="Cambria Math" w:hAnsi="Cambria Math" w:cs="Cambria Math"/>
                <w:color w:val="F48800"/>
                <w:sz w:val="17"/>
                <w:szCs w:val="17"/>
              </w:rPr>
              <w:t>⋅</w:t>
            </w:r>
            <w:r>
              <w:rPr>
                <w:rStyle w:val="mtext"/>
                <w:rFonts w:ascii="MathJax_Main" w:hAnsi="MathJax_Main"/>
                <w:color w:val="F48800"/>
                <w:sz w:val="17"/>
                <w:szCs w:val="17"/>
              </w:rPr>
              <w:t xml:space="preserve"> </w:t>
            </w:r>
            <w:r>
              <w:rPr>
                <w:rStyle w:val="mtext"/>
                <w:rFonts w:ascii="Cambria Math" w:hAnsi="Cambria Math" w:cs="Cambria Math"/>
                <w:color w:val="F48800"/>
                <w:sz w:val="17"/>
                <w:szCs w:val="17"/>
              </w:rPr>
              <w:t>⋅</w:t>
            </w:r>
            <w:r>
              <w:rPr>
                <w:rStyle w:val="mtext"/>
                <w:rFonts w:ascii="MathJax_Main" w:hAnsi="MathJax_Main"/>
                <w:color w:val="F48800"/>
                <w:sz w:val="17"/>
                <w:szCs w:val="17"/>
              </w:rPr>
              <w: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rStyle w:val="Emphasis"/>
                <w:b/>
                <w:bCs/>
                <w:color w:val="F48800"/>
                <w:sz w:val="20"/>
                <w:szCs w:val="20"/>
              </w:rPr>
              <w:t>J</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Row Total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spacing w:after="0"/>
              <w:rPr>
                <w:rFonts w:cs="Times New Roman"/>
              </w:rPr>
            </w:pPr>
          </w:p>
        </w:tc>
      </w:tr>
      <w:tr w:rsidR="00AD77BB">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Factor 1 Levels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O</w:t>
            </w:r>
            <w:r>
              <w:rPr>
                <w:sz w:val="15"/>
                <w:szCs w:val="15"/>
                <w:vertAlign w:val="subscript"/>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text"/>
                <w:rFonts w:ascii="MathJax_Main" w:hAnsi="MathJax_Main"/>
                <w:sz w:val="17"/>
                <w:szCs w:val="17"/>
              </w:rPr>
              <w:t>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i"/>
                <w:rFonts w:ascii="MathJax_Math" w:hAnsi="MathJax_Math"/>
                <w:i/>
                <w:iCs/>
                <w:sz w:val="17"/>
                <w:szCs w:val="17"/>
              </w:rPr>
              <w:t>O</w:t>
            </w:r>
            <w:r>
              <w:rPr>
                <w:rStyle w:val="mn"/>
                <w:rFonts w:ascii="MathJax_Main" w:hAnsi="MathJax_Main"/>
                <w:sz w:val="12"/>
                <w:szCs w:val="12"/>
              </w:rPr>
              <w:t>1</w:t>
            </w:r>
            <w:r>
              <w:rPr>
                <w:rStyle w:val="mi"/>
                <w:rFonts w:ascii="MathJax_Math" w:hAnsi="MathJax_Math"/>
                <w:i/>
                <w:iCs/>
                <w:sz w:val="12"/>
                <w:szCs w:val="12"/>
              </w:rPr>
              <w:t>j</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text"/>
                <w:rFonts w:ascii="MathJax_Main" w:hAnsi="MathJax_Main"/>
                <w:sz w:val="17"/>
                <w:szCs w:val="17"/>
              </w:rPr>
              <w:t>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i"/>
                <w:rFonts w:ascii="MathJax_Math" w:hAnsi="MathJax_Math"/>
                <w:i/>
                <w:iCs/>
                <w:sz w:val="17"/>
                <w:szCs w:val="17"/>
              </w:rPr>
              <w:t>O</w:t>
            </w:r>
            <w:r>
              <w:rPr>
                <w:rStyle w:val="mn"/>
                <w:rFonts w:ascii="MathJax_Main" w:hAnsi="MathJax_Main"/>
                <w:sz w:val="12"/>
                <w:szCs w:val="12"/>
              </w:rPr>
              <w:t>1</w:t>
            </w:r>
            <w:r>
              <w:rPr>
                <w:rStyle w:val="mi"/>
                <w:rFonts w:ascii="MathJax_Math" w:hAnsi="MathJax_Math"/>
                <w:i/>
                <w:iCs/>
                <w:sz w:val="12"/>
                <w:szCs w:val="12"/>
              </w:rPr>
              <w:t>J</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R</w:t>
            </w:r>
            <w:r>
              <w:rPr>
                <w:sz w:val="15"/>
                <w:szCs w:val="15"/>
                <w:vertAlign w:val="subscript"/>
              </w:rPr>
              <w:t>1</w:t>
            </w:r>
          </w:p>
        </w:tc>
        <w:tc>
          <w:tcPr>
            <w:tcW w:w="0" w:type="auto"/>
            <w:vAlign w:val="bottom"/>
            <w:hideMark/>
          </w:tcPr>
          <w:p w:rsidR="00AD77BB" w:rsidRDefault="00AD77BB">
            <w:pPr>
              <w:spacing w:after="0"/>
              <w:rPr>
                <w:rFonts w:cs="Times New Roman"/>
              </w:rPr>
            </w:pPr>
          </w:p>
        </w:tc>
      </w:tr>
      <w:tr w:rsidR="00AD77BB">
        <w:tc>
          <w:tcPr>
            <w:tcW w:w="0" w:type="auto"/>
            <w:vMerge/>
            <w:tcBorders>
              <w:top w:val="single" w:sz="6" w:space="0" w:color="auto"/>
              <w:left w:val="single" w:sz="6" w:space="0" w:color="auto"/>
              <w:bottom w:val="single" w:sz="6" w:space="0" w:color="auto"/>
              <w:right w:val="single" w:sz="6" w:space="0" w:color="auto"/>
            </w:tcBorders>
            <w:vAlign w:val="center"/>
            <w:hideMark/>
          </w:tcPr>
          <w:p w:rsidR="00AD77BB" w:rsidRDefault="00AD77BB">
            <w:pPr>
              <w:spacing w:after="0" w:line="24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vAlign w:val="bottom"/>
            <w:hideMark/>
          </w:tcPr>
          <w:p w:rsidR="00AD77BB" w:rsidRDefault="00AD77BB">
            <w:pPr>
              <w:spacing w:after="0"/>
              <w:rPr>
                <w:rFonts w:cs="Times New Roman"/>
              </w:rPr>
            </w:pPr>
          </w:p>
        </w:tc>
      </w:tr>
      <w:tr w:rsidR="00AD77BB">
        <w:tc>
          <w:tcPr>
            <w:tcW w:w="0" w:type="auto"/>
            <w:vMerge/>
            <w:tcBorders>
              <w:top w:val="single" w:sz="6" w:space="0" w:color="auto"/>
              <w:left w:val="single" w:sz="6" w:space="0" w:color="auto"/>
              <w:bottom w:val="single" w:sz="6" w:space="0" w:color="auto"/>
              <w:right w:val="single" w:sz="6" w:space="0" w:color="auto"/>
            </w:tcBorders>
            <w:vAlign w:val="center"/>
            <w:hideMark/>
          </w:tcPr>
          <w:p w:rsidR="00AD77BB" w:rsidRDefault="00AD77BB">
            <w:pPr>
              <w:spacing w:after="0" w:line="24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i"/>
                <w:rFonts w:ascii="MathJax_Math" w:hAnsi="MathJax_Math"/>
                <w:i/>
                <w:iCs/>
                <w:sz w:val="17"/>
                <w:szCs w:val="17"/>
              </w:rPr>
              <w:t>O</w:t>
            </w:r>
            <w:r>
              <w:rPr>
                <w:rStyle w:val="mi"/>
                <w:rFonts w:ascii="MathJax_Math" w:hAnsi="MathJax_Math"/>
                <w:i/>
                <w:iCs/>
                <w:sz w:val="12"/>
                <w:szCs w:val="12"/>
              </w:rPr>
              <w:t>i</w:t>
            </w:r>
            <w:r>
              <w:rPr>
                <w:rStyle w:val="mn"/>
                <w:rFonts w:ascii="MathJax_Main" w:hAnsi="MathJax_Main"/>
                <w:sz w:val="12"/>
                <w:szCs w:val="12"/>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text"/>
                <w:rFonts w:ascii="MathJax_Main" w:hAnsi="MathJax_Main"/>
                <w:sz w:val="17"/>
                <w:szCs w:val="17"/>
              </w:rPr>
              <w:t>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i"/>
                <w:rFonts w:ascii="MathJax_Math" w:hAnsi="MathJax_Math"/>
                <w:i/>
                <w:iCs/>
                <w:sz w:val="17"/>
                <w:szCs w:val="17"/>
              </w:rPr>
              <w:t>O</w:t>
            </w:r>
            <w:r>
              <w:rPr>
                <w:rStyle w:val="mi"/>
                <w:rFonts w:ascii="MathJax_Math" w:hAnsi="MathJax_Math"/>
                <w:i/>
                <w:iCs/>
                <w:sz w:val="12"/>
                <w:szCs w:val="12"/>
              </w:rPr>
              <w:t>ij</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text"/>
                <w:rFonts w:ascii="MathJax_Main" w:hAnsi="MathJax_Main"/>
                <w:sz w:val="17"/>
                <w:szCs w:val="17"/>
              </w:rPr>
              <w:t>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i"/>
                <w:rFonts w:ascii="MathJax_Math" w:hAnsi="MathJax_Math"/>
                <w:i/>
                <w:iCs/>
                <w:sz w:val="17"/>
                <w:szCs w:val="17"/>
              </w:rPr>
              <w:t>O</w:t>
            </w:r>
            <w:r>
              <w:rPr>
                <w:rStyle w:val="mi"/>
                <w:rFonts w:ascii="MathJax_Math" w:hAnsi="MathJax_Math"/>
                <w:i/>
                <w:iCs/>
                <w:sz w:val="12"/>
                <w:szCs w:val="12"/>
              </w:rPr>
              <w:t>iJ</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R</w:t>
            </w:r>
            <w:r>
              <w:rPr>
                <w:rStyle w:val="Emphasis"/>
                <w:sz w:val="15"/>
                <w:szCs w:val="15"/>
                <w:vertAlign w:val="subscript"/>
              </w:rPr>
              <w:t>i</w:t>
            </w:r>
          </w:p>
        </w:tc>
        <w:tc>
          <w:tcPr>
            <w:tcW w:w="0" w:type="auto"/>
            <w:vAlign w:val="bottom"/>
            <w:hideMark/>
          </w:tcPr>
          <w:p w:rsidR="00AD77BB" w:rsidRDefault="00AD77BB">
            <w:pPr>
              <w:spacing w:after="0"/>
              <w:rPr>
                <w:rFonts w:cs="Times New Roman"/>
              </w:rPr>
            </w:pPr>
          </w:p>
        </w:tc>
      </w:tr>
      <w:tr w:rsidR="00AD77BB">
        <w:tc>
          <w:tcPr>
            <w:tcW w:w="0" w:type="auto"/>
            <w:vMerge/>
            <w:tcBorders>
              <w:top w:val="single" w:sz="6" w:space="0" w:color="auto"/>
              <w:left w:val="single" w:sz="6" w:space="0" w:color="auto"/>
              <w:bottom w:val="single" w:sz="6" w:space="0" w:color="auto"/>
              <w:right w:val="single" w:sz="6" w:space="0" w:color="auto"/>
            </w:tcBorders>
            <w:vAlign w:val="center"/>
            <w:hideMark/>
          </w:tcPr>
          <w:p w:rsidR="00AD77BB" w:rsidRDefault="00AD77BB">
            <w:pPr>
              <w:spacing w:after="0" w:line="24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vAlign w:val="bottom"/>
            <w:hideMark/>
          </w:tcPr>
          <w:p w:rsidR="00AD77BB" w:rsidRDefault="00AD77BB">
            <w:pPr>
              <w:spacing w:after="0"/>
              <w:rPr>
                <w:rFonts w:cs="Times New Roman"/>
              </w:rPr>
            </w:pPr>
          </w:p>
        </w:tc>
      </w:tr>
      <w:tr w:rsidR="00AD77BB">
        <w:tc>
          <w:tcPr>
            <w:tcW w:w="0" w:type="auto"/>
            <w:vMerge/>
            <w:tcBorders>
              <w:top w:val="single" w:sz="6" w:space="0" w:color="auto"/>
              <w:left w:val="single" w:sz="6" w:space="0" w:color="auto"/>
              <w:bottom w:val="single" w:sz="6" w:space="0" w:color="auto"/>
              <w:right w:val="single" w:sz="6" w:space="0" w:color="auto"/>
            </w:tcBorders>
            <w:vAlign w:val="center"/>
            <w:hideMark/>
          </w:tcPr>
          <w:p w:rsidR="00AD77BB" w:rsidRDefault="00AD77BB">
            <w:pPr>
              <w:spacing w:after="0" w:line="24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i"/>
                <w:rFonts w:ascii="MathJax_Math" w:hAnsi="MathJax_Math"/>
                <w:i/>
                <w:iCs/>
                <w:sz w:val="17"/>
                <w:szCs w:val="17"/>
              </w:rPr>
              <w:t>O</w:t>
            </w:r>
            <w:r>
              <w:rPr>
                <w:rStyle w:val="mi"/>
                <w:rFonts w:ascii="MathJax_Math" w:hAnsi="MathJax_Math"/>
                <w:i/>
                <w:iCs/>
                <w:sz w:val="12"/>
                <w:szCs w:val="12"/>
              </w:rPr>
              <w:t>I</w:t>
            </w:r>
            <w:r>
              <w:rPr>
                <w:rStyle w:val="mn"/>
                <w:rFonts w:ascii="MathJax_Main" w:hAnsi="MathJax_Main"/>
                <w:sz w:val="12"/>
                <w:szCs w:val="12"/>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text"/>
                <w:rFonts w:ascii="MathJax_Main" w:hAnsi="MathJax_Main"/>
                <w:sz w:val="17"/>
                <w:szCs w:val="17"/>
              </w:rPr>
              <w:t>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i"/>
                <w:rFonts w:ascii="MathJax_Math" w:hAnsi="MathJax_Math"/>
                <w:i/>
                <w:iCs/>
                <w:sz w:val="17"/>
                <w:szCs w:val="17"/>
              </w:rPr>
              <w:t>O</w:t>
            </w:r>
            <w:r>
              <w:rPr>
                <w:rStyle w:val="mi"/>
                <w:rFonts w:ascii="MathJax_Math" w:hAnsi="MathJax_Math"/>
                <w:i/>
                <w:iCs/>
                <w:sz w:val="12"/>
                <w:szCs w:val="12"/>
              </w:rPr>
              <w:t>Ij</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text"/>
                <w:rFonts w:ascii="MathJax_Main" w:hAnsi="MathJax_Main"/>
                <w:sz w:val="17"/>
                <w:szCs w:val="17"/>
              </w:rPr>
              <w:t>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i"/>
                <w:rFonts w:ascii="MathJax_Math" w:hAnsi="MathJax_Math"/>
                <w:i/>
                <w:iCs/>
                <w:sz w:val="17"/>
                <w:szCs w:val="17"/>
              </w:rPr>
              <w:t>O</w:t>
            </w:r>
            <w:r>
              <w:rPr>
                <w:rStyle w:val="mi"/>
                <w:rFonts w:ascii="MathJax_Math" w:hAnsi="MathJax_Math"/>
                <w:i/>
                <w:iCs/>
                <w:sz w:val="12"/>
                <w:szCs w:val="12"/>
              </w:rPr>
              <w:t>IJ</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R</w:t>
            </w:r>
            <w:r>
              <w:rPr>
                <w:rStyle w:val="Emphasis"/>
                <w:sz w:val="15"/>
                <w:szCs w:val="15"/>
                <w:vertAlign w:val="subscript"/>
              </w:rPr>
              <w:t>I</w:t>
            </w:r>
          </w:p>
        </w:tc>
        <w:tc>
          <w:tcPr>
            <w:tcW w:w="0" w:type="auto"/>
            <w:vAlign w:val="bottom"/>
            <w:hideMark/>
          </w:tcPr>
          <w:p w:rsidR="00AD77BB" w:rsidRDefault="00AD77BB">
            <w:pPr>
              <w:spacing w:after="0"/>
              <w:rPr>
                <w:rFonts w:cs="Times New Roman"/>
              </w:rPr>
            </w:pPr>
          </w:p>
        </w:tc>
      </w:tr>
      <w:tr w:rsidR="00AD77BB">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Column 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C</w:t>
            </w:r>
            <w:r>
              <w:rPr>
                <w:sz w:val="15"/>
                <w:szCs w:val="15"/>
                <w:vertAlign w:val="subscript"/>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text"/>
                <w:rFonts w:ascii="MathJax_Main" w:hAnsi="MathJax_Main"/>
                <w:sz w:val="17"/>
                <w:szCs w:val="17"/>
              </w:rPr>
              <w:t>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C</w:t>
            </w:r>
            <w:r>
              <w:rPr>
                <w:rStyle w:val="Emphasis"/>
                <w:sz w:val="15"/>
                <w:szCs w:val="15"/>
                <w:vertAlign w:val="subscript"/>
              </w:rPr>
              <w:t>j</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text"/>
                <w:rFonts w:ascii="MathJax_Main" w:hAnsi="MathJax_Main"/>
                <w:sz w:val="17"/>
                <w:szCs w:val="17"/>
              </w:rPr>
              <w:t>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C</w:t>
            </w:r>
            <w:r>
              <w:rPr>
                <w:rStyle w:val="Emphasis"/>
                <w:sz w:val="15"/>
                <w:szCs w:val="15"/>
                <w:vertAlign w:val="subscript"/>
              </w:rPr>
              <w:t>J</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n</w:t>
            </w:r>
          </w:p>
        </w:tc>
        <w:tc>
          <w:tcPr>
            <w:tcW w:w="0" w:type="auto"/>
            <w:vAlign w:val="bottom"/>
            <w:hideMark/>
          </w:tcPr>
          <w:p w:rsidR="00AD77BB" w:rsidRDefault="00AD77BB">
            <w:pPr>
              <w:spacing w:after="0"/>
              <w:rPr>
                <w:rFonts w:cs="Times New Roman"/>
              </w:rPr>
            </w:pPr>
          </w:p>
        </w:tc>
      </w:tr>
    </w:tbl>
    <w:p w:rsidR="00AD77BB" w:rsidRDefault="00B45BA0">
      <w:pPr>
        <w:pStyle w:val="Title9"/>
        <w:shd w:val="clear" w:color="auto" w:fill="FFFFFF"/>
        <w:spacing w:before="0" w:beforeAutospacing="0" w:after="0" w:afterAutospacing="0" w:line="360" w:lineRule="auto"/>
        <w:textAlignment w:val="baseline"/>
        <w:rPr>
          <w:rFonts w:ascii="Georgia" w:hAnsi="Georgia"/>
          <w:color w:val="333333"/>
          <w:sz w:val="20"/>
          <w:szCs w:val="20"/>
        </w:rPr>
      </w:pPr>
      <w:r>
        <w:rPr>
          <w:rStyle w:val="title-prefix"/>
          <w:rFonts w:ascii="Georgia" w:hAnsi="Georgia"/>
          <w:color w:val="333333"/>
          <w:sz w:val="20"/>
          <w:szCs w:val="20"/>
        </w:rPr>
        <w:t>Table 11.4</w:t>
      </w:r>
      <w:r>
        <w:rPr>
          <w:rStyle w:val="apple-converted-space"/>
          <w:rFonts w:ascii="Georgia" w:hAnsi="Georgia"/>
          <w:color w:val="333333"/>
          <w:sz w:val="20"/>
          <w:szCs w:val="20"/>
        </w:rPr>
        <w:t> </w:t>
      </w:r>
      <w:r>
        <w:rPr>
          <w:rFonts w:ascii="Georgia" w:hAnsi="Georgia"/>
          <w:color w:val="333333"/>
          <w:sz w:val="20"/>
          <w:szCs w:val="20"/>
        </w:rPr>
        <w:t>Simplified General Contingency Table</w:t>
      </w:r>
    </w:p>
    <w:tbl>
      <w:tblPr>
        <w:tblW w:w="0" w:type="auto"/>
        <w:tblCellMar>
          <w:left w:w="0" w:type="dxa"/>
          <w:right w:w="0" w:type="dxa"/>
        </w:tblCellMar>
        <w:tblLook w:val="04A0" w:firstRow="1" w:lastRow="0" w:firstColumn="1" w:lastColumn="0" w:noHBand="0" w:noVBand="1"/>
      </w:tblPr>
      <w:tblGrid>
        <w:gridCol w:w="1354"/>
        <w:gridCol w:w="252"/>
        <w:gridCol w:w="281"/>
        <w:gridCol w:w="448"/>
        <w:gridCol w:w="281"/>
        <w:gridCol w:w="448"/>
        <w:gridCol w:w="281"/>
        <w:gridCol w:w="989"/>
        <w:gridCol w:w="156"/>
      </w:tblGrid>
      <w:tr w:rsidR="00AD77BB">
        <w:trPr>
          <w:gridAfter w:val="1"/>
          <w:tblHeader/>
        </w:trPr>
        <w:tc>
          <w:tcPr>
            <w:tcW w:w="0" w:type="auto"/>
            <w:gridSpan w:val="2"/>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rPr>
                <w:b/>
                <w:bCs/>
                <w:color w:val="F48800"/>
                <w:sz w:val="20"/>
                <w:szCs w:val="20"/>
              </w:rPr>
            </w:pPr>
            <w:r>
              <w:rPr>
                <w:b/>
                <w:bCs/>
                <w:color w:val="F48800"/>
                <w:sz w:val="20"/>
                <w:szCs w:val="20"/>
              </w:rPr>
              <w:t> </w:t>
            </w:r>
          </w:p>
        </w:tc>
        <w:tc>
          <w:tcPr>
            <w:tcW w:w="0" w:type="auto"/>
            <w:gridSpan w:val="5"/>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Factor 2 Levels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spacing w:after="0"/>
              <w:rPr>
                <w:rFonts w:cs="Times New Roman"/>
              </w:rPr>
            </w:pPr>
          </w:p>
        </w:tc>
      </w:tr>
      <w:tr w:rsidR="00AD77BB">
        <w:trPr>
          <w:tblHeader/>
        </w:trPr>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b/>
                <w:bCs/>
                <w:color w:val="F48800"/>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rStyle w:val="mtext"/>
                <w:rFonts w:ascii="MathJax_Main" w:hAnsi="MathJax_Main"/>
                <w:color w:val="F48800"/>
                <w:sz w:val="17"/>
                <w:szCs w:val="17"/>
              </w:rPr>
              <w:t> </w:t>
            </w:r>
            <w:r>
              <w:rPr>
                <w:rStyle w:val="mtext"/>
                <w:rFonts w:ascii="Cambria Math" w:hAnsi="Cambria Math" w:cs="Cambria Math"/>
                <w:color w:val="F48800"/>
                <w:sz w:val="17"/>
                <w:szCs w:val="17"/>
              </w:rPr>
              <w:t>⋅</w:t>
            </w:r>
            <w:r>
              <w:rPr>
                <w:rStyle w:val="mtext"/>
                <w:rFonts w:ascii="MathJax_Main" w:hAnsi="MathJax_Main"/>
                <w:color w:val="F48800"/>
                <w:sz w:val="17"/>
                <w:szCs w:val="17"/>
              </w:rPr>
              <w:t xml:space="preserve"> </w:t>
            </w:r>
            <w:r>
              <w:rPr>
                <w:rStyle w:val="mtext"/>
                <w:rFonts w:ascii="Cambria Math" w:hAnsi="Cambria Math" w:cs="Cambria Math"/>
                <w:color w:val="F48800"/>
                <w:sz w:val="17"/>
                <w:szCs w:val="17"/>
              </w:rPr>
              <w:t>⋅</w:t>
            </w:r>
            <w:r>
              <w:rPr>
                <w:rStyle w:val="mtext"/>
                <w:rFonts w:ascii="MathJax_Main" w:hAnsi="MathJax_Main"/>
                <w:color w:val="F48800"/>
                <w:sz w:val="17"/>
                <w:szCs w:val="17"/>
              </w:rPr>
              <w:t xml:space="preserve"> </w:t>
            </w:r>
            <w:r>
              <w:rPr>
                <w:rStyle w:val="mtext"/>
                <w:rFonts w:ascii="Cambria Math" w:hAnsi="Cambria Math" w:cs="Cambria Math"/>
                <w:color w:val="F48800"/>
                <w:sz w:val="17"/>
                <w:szCs w:val="17"/>
              </w:rPr>
              <w:t>⋅</w:t>
            </w:r>
            <w:r>
              <w:rPr>
                <w:rStyle w:val="mtext"/>
                <w:rFonts w:ascii="MathJax_Main" w:hAnsi="MathJax_Main"/>
                <w:color w:val="F48800"/>
                <w:sz w:val="17"/>
                <w:szCs w:val="17"/>
              </w:rPr>
              <w: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rStyle w:val="Emphasis"/>
                <w:b/>
                <w:bCs/>
                <w:color w:val="F48800"/>
                <w:sz w:val="20"/>
                <w:szCs w:val="20"/>
              </w:rPr>
              <w:t>j</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rStyle w:val="mtext"/>
                <w:rFonts w:ascii="MathJax_Main" w:hAnsi="MathJax_Main"/>
                <w:color w:val="F48800"/>
                <w:sz w:val="17"/>
                <w:szCs w:val="17"/>
              </w:rPr>
              <w:t> </w:t>
            </w:r>
            <w:r>
              <w:rPr>
                <w:rStyle w:val="mtext"/>
                <w:rFonts w:ascii="Cambria Math" w:hAnsi="Cambria Math" w:cs="Cambria Math"/>
                <w:color w:val="F48800"/>
                <w:sz w:val="17"/>
                <w:szCs w:val="17"/>
              </w:rPr>
              <w:t>⋅</w:t>
            </w:r>
            <w:r>
              <w:rPr>
                <w:rStyle w:val="mtext"/>
                <w:rFonts w:ascii="MathJax_Main" w:hAnsi="MathJax_Main"/>
                <w:color w:val="F48800"/>
                <w:sz w:val="17"/>
                <w:szCs w:val="17"/>
              </w:rPr>
              <w:t xml:space="preserve"> </w:t>
            </w:r>
            <w:r>
              <w:rPr>
                <w:rStyle w:val="mtext"/>
                <w:rFonts w:ascii="Cambria Math" w:hAnsi="Cambria Math" w:cs="Cambria Math"/>
                <w:color w:val="F48800"/>
                <w:sz w:val="17"/>
                <w:szCs w:val="17"/>
              </w:rPr>
              <w:t>⋅</w:t>
            </w:r>
            <w:r>
              <w:rPr>
                <w:rStyle w:val="mtext"/>
                <w:rFonts w:ascii="MathJax_Main" w:hAnsi="MathJax_Main"/>
                <w:color w:val="F48800"/>
                <w:sz w:val="17"/>
                <w:szCs w:val="17"/>
              </w:rPr>
              <w:t xml:space="preserve"> </w:t>
            </w:r>
            <w:r>
              <w:rPr>
                <w:rStyle w:val="mtext"/>
                <w:rFonts w:ascii="Cambria Math" w:hAnsi="Cambria Math" w:cs="Cambria Math"/>
                <w:color w:val="F48800"/>
                <w:sz w:val="17"/>
                <w:szCs w:val="17"/>
              </w:rPr>
              <w:t>⋅</w:t>
            </w:r>
            <w:r>
              <w:rPr>
                <w:rStyle w:val="mtext"/>
                <w:rFonts w:ascii="MathJax_Main" w:hAnsi="MathJax_Main"/>
                <w:color w:val="F48800"/>
                <w:sz w:val="17"/>
                <w:szCs w:val="17"/>
              </w:rPr>
              <w: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rStyle w:val="Emphasis"/>
                <w:b/>
                <w:bCs/>
                <w:color w:val="F48800"/>
                <w:sz w:val="20"/>
                <w:szCs w:val="20"/>
              </w:rPr>
              <w:t>J</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Row Total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spacing w:after="0"/>
              <w:rPr>
                <w:rFonts w:cs="Times New Roman"/>
              </w:rPr>
            </w:pPr>
          </w:p>
        </w:tc>
      </w:tr>
      <w:tr w:rsidR="00AD77BB">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Factor 1 Levels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text"/>
                <w:rFonts w:ascii="MathJax_Main" w:hAnsi="MathJax_Main"/>
                <w:sz w:val="17"/>
                <w:szCs w:val="17"/>
              </w:rPr>
              <w:t>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text"/>
                <w:rFonts w:ascii="MathJax_Main" w:hAnsi="MathJax_Main"/>
                <w:sz w:val="17"/>
                <w:szCs w:val="17"/>
              </w:rPr>
              <w:t>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R</w:t>
            </w:r>
          </w:p>
        </w:tc>
        <w:tc>
          <w:tcPr>
            <w:tcW w:w="0" w:type="auto"/>
            <w:vAlign w:val="bottom"/>
            <w:hideMark/>
          </w:tcPr>
          <w:p w:rsidR="00AD77BB" w:rsidRDefault="00AD77BB">
            <w:pPr>
              <w:spacing w:after="0"/>
              <w:rPr>
                <w:rFonts w:cs="Times New Roman"/>
              </w:rPr>
            </w:pPr>
          </w:p>
        </w:tc>
      </w:tr>
      <w:tr w:rsidR="00AD77BB">
        <w:tc>
          <w:tcPr>
            <w:tcW w:w="0" w:type="auto"/>
            <w:vMerge/>
            <w:tcBorders>
              <w:top w:val="single" w:sz="6" w:space="0" w:color="auto"/>
              <w:left w:val="single" w:sz="6" w:space="0" w:color="auto"/>
              <w:bottom w:val="single" w:sz="6" w:space="0" w:color="auto"/>
              <w:right w:val="single" w:sz="6" w:space="0" w:color="auto"/>
            </w:tcBorders>
            <w:vAlign w:val="center"/>
            <w:hideMark/>
          </w:tcPr>
          <w:p w:rsidR="00AD77BB" w:rsidRDefault="00AD77BB">
            <w:pPr>
              <w:spacing w:after="0" w:line="24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vAlign w:val="bottom"/>
            <w:hideMark/>
          </w:tcPr>
          <w:p w:rsidR="00AD77BB" w:rsidRDefault="00AD77BB">
            <w:pPr>
              <w:spacing w:after="0"/>
              <w:rPr>
                <w:rFonts w:cs="Times New Roman"/>
              </w:rPr>
            </w:pPr>
          </w:p>
        </w:tc>
      </w:tr>
      <w:tr w:rsidR="00AD77BB">
        <w:tc>
          <w:tcPr>
            <w:tcW w:w="0" w:type="auto"/>
            <w:vMerge/>
            <w:tcBorders>
              <w:top w:val="single" w:sz="6" w:space="0" w:color="auto"/>
              <w:left w:val="single" w:sz="6" w:space="0" w:color="auto"/>
              <w:bottom w:val="single" w:sz="6" w:space="0" w:color="auto"/>
              <w:right w:val="single" w:sz="6" w:space="0" w:color="auto"/>
            </w:tcBorders>
            <w:vAlign w:val="center"/>
            <w:hideMark/>
          </w:tcPr>
          <w:p w:rsidR="00AD77BB" w:rsidRDefault="00AD77BB">
            <w:pPr>
              <w:spacing w:after="0" w:line="24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text"/>
                <w:rFonts w:ascii="MathJax_Main" w:hAnsi="MathJax_Main"/>
                <w:sz w:val="17"/>
                <w:szCs w:val="17"/>
              </w:rPr>
              <w:t>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text"/>
                <w:rFonts w:ascii="MathJax_Main" w:hAnsi="MathJax_Main"/>
                <w:sz w:val="17"/>
                <w:szCs w:val="17"/>
              </w:rPr>
              <w:t>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R</w:t>
            </w:r>
          </w:p>
        </w:tc>
        <w:tc>
          <w:tcPr>
            <w:tcW w:w="0" w:type="auto"/>
            <w:vAlign w:val="bottom"/>
            <w:hideMark/>
          </w:tcPr>
          <w:p w:rsidR="00AD77BB" w:rsidRDefault="00AD77BB">
            <w:pPr>
              <w:spacing w:after="0"/>
              <w:rPr>
                <w:rFonts w:cs="Times New Roman"/>
              </w:rPr>
            </w:pPr>
          </w:p>
        </w:tc>
      </w:tr>
      <w:tr w:rsidR="00AD77BB">
        <w:tc>
          <w:tcPr>
            <w:tcW w:w="0" w:type="auto"/>
            <w:vMerge/>
            <w:tcBorders>
              <w:top w:val="single" w:sz="6" w:space="0" w:color="auto"/>
              <w:left w:val="single" w:sz="6" w:space="0" w:color="auto"/>
              <w:bottom w:val="single" w:sz="6" w:space="0" w:color="auto"/>
              <w:right w:val="single" w:sz="6" w:space="0" w:color="auto"/>
            </w:tcBorders>
            <w:vAlign w:val="center"/>
            <w:hideMark/>
          </w:tcPr>
          <w:p w:rsidR="00AD77BB" w:rsidRDefault="00AD77BB">
            <w:pPr>
              <w:spacing w:after="0" w:line="24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vAlign w:val="bottom"/>
            <w:hideMark/>
          </w:tcPr>
          <w:p w:rsidR="00AD77BB" w:rsidRDefault="00AD77BB">
            <w:pPr>
              <w:spacing w:after="0"/>
              <w:rPr>
                <w:rFonts w:cs="Times New Roman"/>
              </w:rPr>
            </w:pPr>
          </w:p>
        </w:tc>
      </w:tr>
      <w:tr w:rsidR="00AD77BB">
        <w:tc>
          <w:tcPr>
            <w:tcW w:w="0" w:type="auto"/>
            <w:vMerge/>
            <w:tcBorders>
              <w:top w:val="single" w:sz="6" w:space="0" w:color="auto"/>
              <w:left w:val="single" w:sz="6" w:space="0" w:color="auto"/>
              <w:bottom w:val="single" w:sz="6" w:space="0" w:color="auto"/>
              <w:right w:val="single" w:sz="6" w:space="0" w:color="auto"/>
            </w:tcBorders>
            <w:vAlign w:val="center"/>
            <w:hideMark/>
          </w:tcPr>
          <w:p w:rsidR="00AD77BB" w:rsidRDefault="00AD77BB">
            <w:pPr>
              <w:spacing w:after="0" w:line="24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text"/>
                <w:rFonts w:ascii="MathJax_Main" w:hAnsi="MathJax_Main"/>
                <w:sz w:val="17"/>
                <w:szCs w:val="17"/>
              </w:rPr>
              <w:t>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text"/>
                <w:rFonts w:ascii="MathJax_Main" w:hAnsi="MathJax_Main"/>
                <w:sz w:val="17"/>
                <w:szCs w:val="17"/>
              </w:rPr>
              <w:t>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R</w:t>
            </w:r>
          </w:p>
        </w:tc>
        <w:tc>
          <w:tcPr>
            <w:tcW w:w="0" w:type="auto"/>
            <w:vAlign w:val="bottom"/>
            <w:hideMark/>
          </w:tcPr>
          <w:p w:rsidR="00AD77BB" w:rsidRDefault="00AD77BB">
            <w:pPr>
              <w:spacing w:after="0"/>
              <w:rPr>
                <w:rFonts w:cs="Times New Roman"/>
              </w:rPr>
            </w:pPr>
          </w:p>
        </w:tc>
      </w:tr>
      <w:tr w:rsidR="00AD77BB">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lastRenderedPageBreak/>
              <w:t>Column 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text"/>
                <w:rFonts w:ascii="MathJax_Main" w:hAnsi="MathJax_Main"/>
                <w:sz w:val="17"/>
                <w:szCs w:val="17"/>
              </w:rPr>
              <w:t>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mtext"/>
                <w:rFonts w:ascii="MathJax_Main" w:hAnsi="MathJax_Main"/>
                <w:sz w:val="17"/>
                <w:szCs w:val="17"/>
              </w:rPr>
              <w:t>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xml:space="preserve"> </w:t>
            </w:r>
            <w:r>
              <w:rPr>
                <w:rStyle w:val="mtext"/>
                <w:rFonts w:ascii="Cambria Math" w:hAnsi="Cambria Math" w:cs="Cambria Math"/>
                <w:sz w:val="17"/>
                <w:szCs w:val="17"/>
              </w:rPr>
              <w:t>⋅</w:t>
            </w:r>
            <w:r>
              <w:rPr>
                <w:rStyle w:val="mtext"/>
                <w:rFonts w:ascii="MathJax_Main" w:hAnsi="MathJax_Main"/>
                <w:sz w:val="17"/>
                <w:szCs w:val="17"/>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n</w:t>
            </w:r>
          </w:p>
        </w:tc>
        <w:tc>
          <w:tcPr>
            <w:tcW w:w="0" w:type="auto"/>
            <w:vAlign w:val="bottom"/>
            <w:hideMark/>
          </w:tcPr>
          <w:p w:rsidR="00AD77BB" w:rsidRDefault="00AD77BB">
            <w:pPr>
              <w:spacing w:after="0"/>
              <w:rPr>
                <w:rFonts w:cs="Times New Roman"/>
              </w:rPr>
            </w:pPr>
          </w:p>
        </w:tc>
      </w:tr>
    </w:tbl>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As in the example, for each core cell in the table we compute what would be the</w:t>
      </w:r>
      <w:r>
        <w:rPr>
          <w:rStyle w:val="apple-converted-space"/>
          <w:rFonts w:ascii="Georgia" w:hAnsi="Georgia"/>
          <w:color w:val="333333"/>
          <w:sz w:val="21"/>
          <w:szCs w:val="21"/>
        </w:rPr>
        <w:t> </w:t>
      </w:r>
      <w:r>
        <w:rPr>
          <w:rStyle w:val="Emphasis"/>
          <w:rFonts w:ascii="Georgia" w:hAnsi="Georgia"/>
          <w:color w:val="333333"/>
          <w:sz w:val="20"/>
          <w:szCs w:val="20"/>
        </w:rPr>
        <w:t>expected number</w:t>
      </w:r>
      <w:r>
        <w:rPr>
          <w:rStyle w:val="apple-converted-space"/>
          <w:rFonts w:ascii="Georgia" w:hAnsi="Georgia"/>
          <w:color w:val="333333"/>
          <w:sz w:val="21"/>
          <w:szCs w:val="21"/>
        </w:rPr>
        <w:t> </w:t>
      </w:r>
      <w:r>
        <w:rPr>
          <w:rStyle w:val="Emphasis"/>
          <w:rFonts w:ascii="Georgia" w:hAnsi="Georgia"/>
          <w:color w:val="333333"/>
          <w:sz w:val="20"/>
          <w:szCs w:val="20"/>
        </w:rPr>
        <w:t>E</w:t>
      </w:r>
      <w:r>
        <w:rPr>
          <w:rStyle w:val="apple-converted-space"/>
          <w:rFonts w:ascii="Georgia" w:hAnsi="Georgia"/>
          <w:color w:val="333333"/>
          <w:sz w:val="21"/>
          <w:szCs w:val="21"/>
        </w:rPr>
        <w:t> </w:t>
      </w:r>
      <w:r>
        <w:rPr>
          <w:rFonts w:ascii="Georgia" w:hAnsi="Georgia"/>
          <w:color w:val="333333"/>
          <w:sz w:val="21"/>
          <w:szCs w:val="21"/>
        </w:rPr>
        <w:t>of observations if the two factors were independent.</w:t>
      </w:r>
      <w:r>
        <w:rPr>
          <w:rStyle w:val="apple-converted-space"/>
          <w:rFonts w:ascii="Georgia" w:hAnsi="Georgia"/>
          <w:color w:val="333333"/>
          <w:sz w:val="21"/>
          <w:szCs w:val="21"/>
        </w:rPr>
        <w:t> </w:t>
      </w:r>
      <w:r>
        <w:rPr>
          <w:rStyle w:val="Emphasis"/>
          <w:rFonts w:ascii="Georgia" w:hAnsi="Georgia"/>
          <w:color w:val="333333"/>
          <w:sz w:val="20"/>
          <w:szCs w:val="20"/>
        </w:rPr>
        <w:t xml:space="preserve">E </w:t>
      </w:r>
      <w:r>
        <w:rPr>
          <w:rFonts w:ascii="Georgia" w:hAnsi="Georgia"/>
          <w:color w:val="333333"/>
          <w:sz w:val="21"/>
          <w:szCs w:val="21"/>
        </w:rPr>
        <w:t>is computed for each core cell (each cell with an</w:t>
      </w:r>
      <w:r>
        <w:rPr>
          <w:rStyle w:val="apple-converted-space"/>
          <w:rFonts w:ascii="Georgia" w:hAnsi="Georgia"/>
          <w:color w:val="333333"/>
          <w:sz w:val="21"/>
          <w:szCs w:val="21"/>
        </w:rPr>
        <w:t> </w:t>
      </w:r>
      <w:r>
        <w:rPr>
          <w:rStyle w:val="Emphasis"/>
          <w:rFonts w:ascii="Georgia" w:hAnsi="Georgia"/>
          <w:color w:val="333333"/>
          <w:sz w:val="20"/>
          <w:szCs w:val="20"/>
        </w:rPr>
        <w:t>O</w:t>
      </w:r>
      <w:r>
        <w:rPr>
          <w:rStyle w:val="apple-converted-space"/>
          <w:rFonts w:ascii="Georgia" w:hAnsi="Georgia"/>
          <w:color w:val="333333"/>
          <w:sz w:val="21"/>
          <w:szCs w:val="21"/>
        </w:rPr>
        <w:t> </w:t>
      </w:r>
      <w:r>
        <w:rPr>
          <w:rFonts w:ascii="Georgia" w:hAnsi="Georgia"/>
          <w:color w:val="333333"/>
          <w:sz w:val="21"/>
          <w:szCs w:val="21"/>
        </w:rPr>
        <w:t>in it) of</w:t>
      </w:r>
      <w:r>
        <w:rPr>
          <w:rStyle w:val="apple-converted-space"/>
          <w:rFonts w:ascii="Georgia" w:hAnsi="Georgia"/>
          <w:color w:val="333333"/>
          <w:sz w:val="21"/>
          <w:szCs w:val="21"/>
        </w:rPr>
        <w:t> </w:t>
      </w:r>
      <w:r>
        <w:rPr>
          <w:rFonts w:ascii="Georgia" w:hAnsi="Georgia"/>
          <w:color w:val="2689C6"/>
          <w:sz w:val="21"/>
          <w:szCs w:val="21"/>
        </w:rPr>
        <w:t>Table 11.4 "Simplified General Contingency Table"</w:t>
      </w:r>
      <w:r>
        <w:rPr>
          <w:rStyle w:val="apple-converted-space"/>
          <w:rFonts w:ascii="Georgia" w:hAnsi="Georgia"/>
          <w:color w:val="333333"/>
          <w:sz w:val="21"/>
          <w:szCs w:val="21"/>
        </w:rPr>
        <w:t> </w:t>
      </w:r>
      <w:r>
        <w:rPr>
          <w:rFonts w:ascii="Georgia" w:hAnsi="Georgia"/>
          <w:color w:val="333333"/>
          <w:sz w:val="21"/>
          <w:szCs w:val="21"/>
        </w:rPr>
        <w:t>by the rule applied in the example:</w:t>
      </w:r>
    </w:p>
    <w:p w:rsidR="00AD77BB" w:rsidRDefault="00B45BA0">
      <w:pPr>
        <w:tabs>
          <w:tab w:val="left" w:pos="5547"/>
        </w:tabs>
        <w:spacing w:line="360" w:lineRule="auto"/>
        <w:rPr>
          <w:rFonts w:ascii="Calibri" w:eastAsia="Times New Roman" w:hAnsi="Calibri" w:cs="Times New Roman"/>
          <w:sz w:val="20"/>
          <w:szCs w:val="20"/>
        </w:rPr>
      </w:pPr>
      <w:r>
        <w:rPr>
          <w:rFonts w:ascii="Calibri" w:eastAsia="Times New Roman" w:hAnsi="Calibri" w:cs="Times New Roman"/>
          <w:noProof/>
          <w:sz w:val="20"/>
          <w:szCs w:val="20"/>
        </w:rPr>
        <w:drawing>
          <wp:inline distT="0" distB="0" distL="0" distR="0" wp14:anchorId="4A83B0B2" wp14:editId="391E8929">
            <wp:extent cx="4591050" cy="5838825"/>
            <wp:effectExtent l="0" t="0" r="0" b="9525"/>
            <wp:docPr id="437"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4591050" cy="5838825"/>
                    </a:xfrm>
                    <a:prstGeom prst="rect">
                      <a:avLst/>
                    </a:prstGeom>
                    <a:noFill/>
                    <a:ln>
                      <a:noFill/>
                    </a:ln>
                  </pic:spPr>
                </pic:pic>
              </a:graphicData>
            </a:graphic>
          </wp:inline>
        </w:drawing>
      </w:r>
    </w:p>
    <w:p w:rsidR="00AD77BB" w:rsidRDefault="00B45BA0">
      <w:pPr>
        <w:tabs>
          <w:tab w:val="left" w:pos="5547"/>
        </w:tabs>
        <w:spacing w:line="360" w:lineRule="auto"/>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6380C455" wp14:editId="5DF8D3EF">
            <wp:extent cx="5248275" cy="4772025"/>
            <wp:effectExtent l="0" t="0" r="9525" b="9525"/>
            <wp:docPr id="438"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248275" cy="4772025"/>
                    </a:xfrm>
                    <a:prstGeom prst="rect">
                      <a:avLst/>
                    </a:prstGeom>
                    <a:noFill/>
                    <a:ln>
                      <a:noFill/>
                    </a:ln>
                  </pic:spPr>
                </pic:pic>
              </a:graphicData>
            </a:graphic>
          </wp:inline>
        </w:drawing>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1</w:t>
      </w:r>
    </w:p>
    <w:p w:rsidR="00AD77BB" w:rsidRDefault="00B45BA0">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A researcher wishes to investigate whether students’ scores on a college entrance examination (CEE) have any indicative power for future college performance as measured by GPA. In other words, he wishes to investigate whether the factors CEE and GPA are independent or not. He randomly selects</w:t>
      </w:r>
      <w:r>
        <w:rPr>
          <w:rStyle w:val="apple-converted-space"/>
          <w:rFonts w:ascii="Calibri" w:hAnsi="Calibri"/>
          <w:color w:val="333333"/>
          <w:sz w:val="21"/>
          <w:szCs w:val="21"/>
        </w:rPr>
        <w:t> </w:t>
      </w:r>
      <w:r>
        <w:rPr>
          <w:rStyle w:val="Emphasis"/>
          <w:rFonts w:ascii="Calibri" w:hAnsi="Calibri"/>
          <w:color w:val="333333"/>
          <w:sz w:val="20"/>
          <w:szCs w:val="20"/>
        </w:rPr>
        <w:t>n</w:t>
      </w:r>
      <w:r>
        <w:rPr>
          <w:rStyle w:val="apple-converted-space"/>
          <w:rFonts w:ascii="Calibri" w:hAnsi="Calibri"/>
          <w:color w:val="333333"/>
          <w:sz w:val="21"/>
          <w:szCs w:val="21"/>
        </w:rPr>
        <w:t> </w:t>
      </w:r>
      <w:r>
        <w:rPr>
          <w:rFonts w:ascii="Calibri" w:hAnsi="Calibri"/>
          <w:color w:val="333333"/>
          <w:sz w:val="21"/>
          <w:szCs w:val="21"/>
        </w:rPr>
        <w:t xml:space="preserve">= 100 students in a college and notes each student’s score on the entrance examination and his grade point average at the end of the sophomore year. He divides entrance exam scores into two levels and grade point averages into three levels. Sorting the data according to these divisions, he forms the contingency table shown as </w:t>
      </w:r>
      <w:r>
        <w:rPr>
          <w:rFonts w:ascii="Calibri" w:eastAsiaTheme="majorEastAsia" w:hAnsi="Calibri"/>
          <w:color w:val="2689C6"/>
          <w:sz w:val="21"/>
          <w:szCs w:val="21"/>
        </w:rPr>
        <w:t>Table 11.6 "CEE versus GPA Contingency Table"</w:t>
      </w:r>
      <w:r>
        <w:rPr>
          <w:rFonts w:ascii="Calibri" w:hAnsi="Calibri"/>
          <w:color w:val="333333"/>
          <w:sz w:val="21"/>
          <w:szCs w:val="21"/>
        </w:rPr>
        <w:t>, in which the row and column totals have already been computed.</w:t>
      </w:r>
    </w:p>
    <w:p w:rsidR="00AD77BB" w:rsidRDefault="00AD77BB">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p>
    <w:p w:rsidR="00AD77BB" w:rsidRDefault="00AD77BB">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p>
    <w:p w:rsidR="00AD77BB" w:rsidRDefault="00AD77BB">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p>
    <w:p w:rsidR="00AD77BB" w:rsidRDefault="00B45BA0">
      <w:pPr>
        <w:pStyle w:val="Title9"/>
        <w:shd w:val="clear" w:color="auto" w:fill="08629A"/>
        <w:spacing w:before="0" w:beforeAutospacing="0" w:after="0" w:afterAutospacing="0" w:line="439" w:lineRule="atLeast"/>
        <w:ind w:left="300" w:right="375"/>
        <w:jc w:val="center"/>
        <w:textAlignment w:val="baseline"/>
        <w:rPr>
          <w:rFonts w:ascii="Calibri" w:hAnsi="Calibri"/>
          <w:caps/>
          <w:color w:val="FFFFFF"/>
          <w:spacing w:val="30"/>
          <w:sz w:val="25"/>
          <w:szCs w:val="25"/>
        </w:rPr>
      </w:pPr>
      <w:r>
        <w:rPr>
          <w:rStyle w:val="title-prefix"/>
          <w:rFonts w:ascii="Calibri" w:hAnsi="Calibri"/>
          <w:caps/>
          <w:color w:val="FFFFFF"/>
          <w:spacing w:val="30"/>
          <w:sz w:val="25"/>
          <w:szCs w:val="25"/>
        </w:rPr>
        <w:lastRenderedPageBreak/>
        <w:t>TABLE 11.6</w:t>
      </w:r>
      <w:r>
        <w:rPr>
          <w:rStyle w:val="apple-converted-space"/>
          <w:rFonts w:ascii="Calibri" w:hAnsi="Calibri"/>
          <w:caps/>
          <w:color w:val="FFFFFF"/>
          <w:spacing w:val="30"/>
          <w:sz w:val="25"/>
          <w:szCs w:val="25"/>
        </w:rPr>
        <w:t> </w:t>
      </w:r>
      <w:r>
        <w:rPr>
          <w:rFonts w:ascii="Calibri" w:hAnsi="Calibri"/>
          <w:caps/>
          <w:color w:val="FFFFFF"/>
          <w:spacing w:val="30"/>
          <w:sz w:val="25"/>
          <w:szCs w:val="25"/>
        </w:rPr>
        <w:t>CEE VERSUS GPA CONTINGENCY TABLE</w:t>
      </w:r>
    </w:p>
    <w:tbl>
      <w:tblPr>
        <w:tblW w:w="0" w:type="auto"/>
        <w:tblCellMar>
          <w:left w:w="0" w:type="dxa"/>
          <w:right w:w="0" w:type="dxa"/>
        </w:tblCellMar>
        <w:tblLook w:val="04A0" w:firstRow="1" w:lastRow="0" w:firstColumn="1" w:lastColumn="0" w:noHBand="0" w:noVBand="1"/>
      </w:tblPr>
      <w:tblGrid>
        <w:gridCol w:w="538"/>
        <w:gridCol w:w="697"/>
        <w:gridCol w:w="506"/>
        <w:gridCol w:w="930"/>
        <w:gridCol w:w="506"/>
        <w:gridCol w:w="989"/>
        <w:gridCol w:w="156"/>
      </w:tblGrid>
      <w:tr w:rsidR="00AD77BB">
        <w:trPr>
          <w:gridAfter w:val="1"/>
          <w:tblHeader/>
        </w:trPr>
        <w:tc>
          <w:tcPr>
            <w:tcW w:w="0" w:type="auto"/>
            <w:gridSpan w:val="2"/>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rPr>
                <w:b/>
                <w:bCs/>
                <w:color w:val="F48800"/>
                <w:sz w:val="20"/>
                <w:szCs w:val="20"/>
              </w:rPr>
            </w:pPr>
            <w:r>
              <w:rPr>
                <w:b/>
                <w:bCs/>
                <w:color w:val="F48800"/>
                <w:sz w:val="20"/>
                <w:szCs w:val="20"/>
              </w:rPr>
              <w:t> </w:t>
            </w: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b/>
                <w:bCs/>
                <w:color w:val="F48800"/>
                <w:sz w:val="20"/>
                <w:szCs w:val="20"/>
              </w:rPr>
            </w:pPr>
            <w:r>
              <w:rPr>
                <w:b/>
                <w:bCs/>
                <w:color w:val="F48800"/>
                <w:sz w:val="20"/>
                <w:szCs w:val="20"/>
              </w:rPr>
              <w:t>GPA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spacing w:after="0"/>
              <w:rPr>
                <w:rFonts w:cs="Times New Roman"/>
              </w:rPr>
            </w:pPr>
          </w:p>
        </w:tc>
      </w:tr>
      <w:tr w:rsidR="00AD77BB">
        <w:trPr>
          <w:tblHeader/>
        </w:trPr>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b/>
                <w:bCs/>
                <w:color w:val="F48800"/>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b/>
                <w:bCs/>
                <w:color w:val="F48800"/>
                <w:sz w:val="20"/>
                <w:szCs w:val="20"/>
              </w:rPr>
            </w:pPr>
            <w:r>
              <w:rPr>
                <w:b/>
                <w:bCs/>
                <w:color w:val="F48800"/>
                <w:sz w:val="20"/>
                <w:szCs w:val="20"/>
              </w:rPr>
              <w:t>&lt;2.7</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b/>
                <w:bCs/>
                <w:color w:val="F48800"/>
                <w:sz w:val="20"/>
                <w:szCs w:val="20"/>
              </w:rPr>
            </w:pPr>
            <w:r>
              <w:rPr>
                <w:b/>
                <w:bCs/>
                <w:color w:val="F48800"/>
                <w:sz w:val="20"/>
                <w:szCs w:val="20"/>
              </w:rPr>
              <w:t>2.7 to 3.2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b/>
                <w:bCs/>
                <w:color w:val="F48800"/>
                <w:sz w:val="20"/>
                <w:szCs w:val="20"/>
              </w:rPr>
            </w:pPr>
            <w:r>
              <w:rPr>
                <w:b/>
                <w:bCs/>
                <w:color w:val="F48800"/>
                <w:sz w:val="20"/>
                <w:szCs w:val="20"/>
              </w:rPr>
              <w:t>&gt;3.2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b/>
                <w:bCs/>
                <w:color w:val="F48800"/>
                <w:sz w:val="20"/>
                <w:szCs w:val="20"/>
              </w:rPr>
            </w:pPr>
            <w:r>
              <w:rPr>
                <w:b/>
                <w:bCs/>
                <w:color w:val="F48800"/>
                <w:sz w:val="20"/>
                <w:szCs w:val="20"/>
              </w:rPr>
              <w:t>Row Total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spacing w:after="0"/>
              <w:rPr>
                <w:rFonts w:cs="Times New Roman"/>
              </w:rPr>
            </w:pPr>
          </w:p>
        </w:tc>
      </w:tr>
      <w:tr w:rsidR="00AD77BB">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CEE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rStyle w:val="mo"/>
                <w:rFonts w:ascii="MathJax_Main" w:hAnsi="MathJax_Main"/>
                <w:sz w:val="17"/>
                <w:szCs w:val="17"/>
              </w:rPr>
              <w:t>&lt;</w:t>
            </w:r>
            <w:r>
              <w:rPr>
                <w:rStyle w:val="mn"/>
                <w:rFonts w:ascii="MathJax_Main" w:hAnsi="MathJax_Main"/>
                <w:sz w:val="17"/>
                <w:szCs w:val="17"/>
              </w:rPr>
              <w:t>1800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rStyle w:val="Strong"/>
                <w:sz w:val="20"/>
                <w:szCs w:val="20"/>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rStyle w:val="Strong"/>
                <w:sz w:val="20"/>
                <w:szCs w:val="20"/>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rStyle w:val="Strong"/>
                <w:sz w:val="20"/>
                <w:szCs w:val="20"/>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52</w:t>
            </w:r>
          </w:p>
        </w:tc>
        <w:tc>
          <w:tcPr>
            <w:tcW w:w="0" w:type="auto"/>
            <w:vAlign w:val="bottom"/>
            <w:hideMark/>
          </w:tcPr>
          <w:p w:rsidR="00AD77BB" w:rsidRDefault="00AD77BB">
            <w:pPr>
              <w:spacing w:after="0"/>
              <w:rPr>
                <w:rFonts w:cs="Times New Roman"/>
              </w:rPr>
            </w:pPr>
          </w:p>
        </w:tc>
      </w:tr>
      <w:tr w:rsidR="00AD77BB">
        <w:tc>
          <w:tcPr>
            <w:tcW w:w="0" w:type="auto"/>
            <w:vMerge/>
            <w:tcBorders>
              <w:top w:val="single" w:sz="6" w:space="0" w:color="auto"/>
              <w:left w:val="single" w:sz="6" w:space="0" w:color="auto"/>
              <w:bottom w:val="single" w:sz="6" w:space="0" w:color="auto"/>
              <w:right w:val="single" w:sz="6" w:space="0" w:color="auto"/>
            </w:tcBorders>
            <w:vAlign w:val="center"/>
            <w:hideMark/>
          </w:tcPr>
          <w:p w:rsidR="00AD77BB" w:rsidRDefault="00AD77BB">
            <w:pPr>
              <w:spacing w:after="0" w:line="240" w:lineRule="auto"/>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rStyle w:val="mo"/>
                <w:rFonts w:ascii="MathJax_Main" w:hAnsi="MathJax_Main"/>
                <w:sz w:val="17"/>
                <w:szCs w:val="17"/>
              </w:rPr>
              <w:t>≥</w:t>
            </w:r>
            <w:r>
              <w:rPr>
                <w:rStyle w:val="mn"/>
                <w:rFonts w:ascii="MathJax_Main" w:hAnsi="MathJax_Main"/>
                <w:sz w:val="17"/>
                <w:szCs w:val="17"/>
              </w:rPr>
              <w:t>1800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rStyle w:val="Strong"/>
                <w:sz w:val="20"/>
                <w:szCs w:val="20"/>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rStyle w:val="Strong"/>
                <w:sz w:val="20"/>
                <w:szCs w:val="20"/>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rStyle w:val="Strong"/>
                <w:sz w:val="20"/>
                <w:szCs w:val="20"/>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48</w:t>
            </w:r>
          </w:p>
        </w:tc>
        <w:tc>
          <w:tcPr>
            <w:tcW w:w="0" w:type="auto"/>
            <w:vAlign w:val="bottom"/>
            <w:hideMark/>
          </w:tcPr>
          <w:p w:rsidR="00AD77BB" w:rsidRDefault="00AD77BB">
            <w:pPr>
              <w:spacing w:after="0"/>
              <w:rPr>
                <w:rFonts w:cs="Times New Roman"/>
              </w:rPr>
            </w:pPr>
          </w:p>
        </w:tc>
      </w:tr>
      <w:tr w:rsidR="00AD77BB">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Column 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rStyle w:val="mtext"/>
                <w:rFonts w:ascii="MathJax_Main" w:hAnsi="MathJax_Main"/>
                <w:sz w:val="17"/>
                <w:szCs w:val="17"/>
              </w:rPr>
              <w:t>Total</w:t>
            </w:r>
            <w:r>
              <w:rPr>
                <w:rStyle w:val="mo"/>
                <w:rFonts w:ascii="MathJax_Main" w:hAnsi="MathJax_Main"/>
                <w:sz w:val="17"/>
                <w:szCs w:val="17"/>
              </w:rPr>
              <w:t>=</w:t>
            </w:r>
            <w:r>
              <w:rPr>
                <w:rStyle w:val="mn"/>
                <w:rFonts w:ascii="MathJax_Main" w:hAnsi="MathJax_Main"/>
                <w:sz w:val="17"/>
                <w:szCs w:val="17"/>
              </w:rPr>
              <w:t>100</w:t>
            </w:r>
          </w:p>
        </w:tc>
        <w:tc>
          <w:tcPr>
            <w:tcW w:w="0" w:type="auto"/>
            <w:vAlign w:val="bottom"/>
            <w:hideMark/>
          </w:tcPr>
          <w:p w:rsidR="00AD77BB" w:rsidRDefault="00AD77BB">
            <w:pPr>
              <w:spacing w:after="0"/>
              <w:rPr>
                <w:rFonts w:cs="Times New Roman"/>
              </w:rPr>
            </w:pPr>
          </w:p>
        </w:tc>
      </w:tr>
    </w:tbl>
    <w:p w:rsidR="00AD77BB" w:rsidRDefault="00B45BA0">
      <w:pPr>
        <w:pStyle w:val="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Test, at the 1% level of significance, whether these data provide sufficient evidence to conclude that CEE scores indicate future performance levels of incoming college freshmen as measured by GPA.</w:t>
      </w:r>
    </w:p>
    <w:p w:rsidR="00AD77BB" w:rsidRDefault="00B45BA0">
      <w:pPr>
        <w:pStyle w:val="simpara"/>
        <w:shd w:val="clear" w:color="auto" w:fill="DAEEF3" w:themeFill="accent5" w:themeFillTint="33"/>
        <w:spacing w:before="15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Solution:</w:t>
      </w:r>
    </w:p>
    <w:p w:rsidR="00AD77BB" w:rsidRDefault="00B45BA0">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We perform the test using the critical value approach, following the usual five-step method outlined at the end of </w:t>
      </w:r>
      <w:r>
        <w:rPr>
          <w:rFonts w:ascii="Calibri" w:eastAsia="Times New Roman" w:hAnsi="Calibri" w:cs="Times New Roman"/>
          <w:color w:val="2689C6"/>
          <w:sz w:val="21"/>
          <w:szCs w:val="21"/>
        </w:rPr>
        <w:t>Section 8.1 "The Elements of Hypothesis Testing"</w:t>
      </w:r>
      <w:r>
        <w:rPr>
          <w:rFonts w:ascii="Calibri" w:eastAsia="Times New Roman" w:hAnsi="Calibri" w:cs="Times New Roman"/>
          <w:color w:val="333333"/>
          <w:sz w:val="21"/>
          <w:szCs w:val="21"/>
        </w:rPr>
        <w:t> in </w:t>
      </w:r>
      <w:r>
        <w:rPr>
          <w:rFonts w:ascii="Calibri" w:eastAsia="Times New Roman" w:hAnsi="Calibri" w:cs="Times New Roman"/>
          <w:color w:val="2689C6"/>
          <w:sz w:val="21"/>
          <w:szCs w:val="21"/>
        </w:rPr>
        <w:t>Chapter 8 "Testing Hypotheses"</w:t>
      </w:r>
      <w:r>
        <w:rPr>
          <w:rFonts w:ascii="Calibri" w:eastAsia="Times New Roman" w:hAnsi="Calibri" w:cs="Times New Roman"/>
          <w:color w:val="333333"/>
          <w:sz w:val="21"/>
          <w:szCs w:val="21"/>
        </w:rPr>
        <w:t>.</w:t>
      </w:r>
    </w:p>
    <w:p w:rsidR="00AD77BB" w:rsidRDefault="00B45BA0">
      <w:pPr>
        <w:numPr>
          <w:ilvl w:val="0"/>
          <w:numId w:val="304"/>
        </w:numPr>
        <w:shd w:val="clear" w:color="auto" w:fill="DAEEF3" w:themeFill="accent5" w:themeFillTint="33"/>
        <w:spacing w:before="150" w:after="0" w:line="360" w:lineRule="auto"/>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Step 1. The hypotheses are</w:t>
      </w:r>
    </w:p>
    <w:p w:rsidR="00AD77BB" w:rsidRDefault="00B45BA0">
      <w:pPr>
        <w:shd w:val="clear" w:color="auto" w:fill="DAEEF3" w:themeFill="accent5" w:themeFillTint="33"/>
        <w:spacing w:line="360" w:lineRule="auto"/>
        <w:ind w:left="300" w:right="375"/>
        <w:jc w:val="center"/>
        <w:textAlignment w:val="baseline"/>
        <w:rPr>
          <w:rFonts w:ascii="MathJax_Main" w:eastAsia="Times New Roman" w:hAnsi="MathJax_Main" w:cs="Times New Roman"/>
          <w:color w:val="333333"/>
          <w:sz w:val="17"/>
          <w:szCs w:val="17"/>
        </w:rPr>
      </w:pPr>
      <w:r>
        <w:rPr>
          <w:rFonts w:ascii="MathJax_Math" w:eastAsia="Times New Roman" w:hAnsi="MathJax_Math" w:cs="Times New Roman"/>
          <w:i/>
          <w:iCs/>
          <w:color w:val="333333"/>
          <w:sz w:val="17"/>
          <w:szCs w:val="17"/>
        </w:rPr>
        <w:t>H</w:t>
      </w:r>
      <w:r>
        <w:rPr>
          <w:rFonts w:ascii="MathJax_Main" w:eastAsia="Times New Roman" w:hAnsi="MathJax_Main" w:cs="Times New Roman"/>
          <w:color w:val="333333"/>
          <w:sz w:val="12"/>
          <w:szCs w:val="12"/>
        </w:rPr>
        <w:t>0</w:t>
      </w:r>
      <w:r>
        <w:rPr>
          <w:rFonts w:ascii="MathJax_Main" w:eastAsia="Times New Roman" w:hAnsi="MathJax_Main" w:cs="Times New Roman"/>
          <w:color w:val="333333"/>
          <w:sz w:val="17"/>
          <w:szCs w:val="17"/>
        </w:rPr>
        <w:t>: CEE and GPA are independent factors</w:t>
      </w:r>
    </w:p>
    <w:p w:rsidR="00AD77BB" w:rsidRDefault="00B45BA0">
      <w:pPr>
        <w:shd w:val="clear" w:color="auto" w:fill="DAEEF3" w:themeFill="accent5" w:themeFillTint="33"/>
        <w:spacing w:line="360" w:lineRule="auto"/>
        <w:ind w:left="300" w:right="375"/>
        <w:jc w:val="center"/>
        <w:textAlignment w:val="baseline"/>
        <w:rPr>
          <w:rFonts w:ascii="Calibri" w:eastAsia="Times New Roman" w:hAnsi="Calibri" w:cs="Times New Roman"/>
          <w:color w:val="333333"/>
          <w:sz w:val="20"/>
          <w:szCs w:val="20"/>
        </w:rPr>
      </w:pPr>
      <w:r>
        <w:rPr>
          <w:rFonts w:ascii="MathJax_Main" w:eastAsia="Times New Roman" w:hAnsi="MathJax_Main" w:cs="Times New Roman"/>
          <w:color w:val="333333"/>
          <w:sz w:val="17"/>
          <w:szCs w:val="17"/>
        </w:rPr>
        <w:t>vs. </w:t>
      </w:r>
      <w:r>
        <w:rPr>
          <w:rFonts w:ascii="MathJax_Math" w:eastAsia="Times New Roman" w:hAnsi="MathJax_Math" w:cs="Times New Roman"/>
          <w:i/>
          <w:iCs/>
          <w:color w:val="333333"/>
          <w:sz w:val="17"/>
          <w:szCs w:val="17"/>
        </w:rPr>
        <w:t>H</w:t>
      </w:r>
      <w:r>
        <w:rPr>
          <w:rFonts w:ascii="MathJax_Math" w:eastAsia="Times New Roman" w:hAnsi="MathJax_Math" w:cs="Times New Roman"/>
          <w:i/>
          <w:iCs/>
          <w:color w:val="333333"/>
          <w:sz w:val="12"/>
          <w:szCs w:val="12"/>
        </w:rPr>
        <w:t>a</w:t>
      </w:r>
      <w:r>
        <w:rPr>
          <w:rFonts w:ascii="MathJax_Main" w:eastAsia="Times New Roman" w:hAnsi="MathJax_Main" w:cs="Times New Roman"/>
          <w:color w:val="333333"/>
          <w:sz w:val="17"/>
          <w:szCs w:val="17"/>
        </w:rPr>
        <w:t>: CEE and GPA are not independent factors</w:t>
      </w:r>
    </w:p>
    <w:p w:rsidR="00AD77BB" w:rsidRDefault="00B45BA0">
      <w:pPr>
        <w:numPr>
          <w:ilvl w:val="0"/>
          <w:numId w:val="304"/>
        </w:numPr>
        <w:shd w:val="clear" w:color="auto" w:fill="DAEEF3" w:themeFill="accent5" w:themeFillTint="33"/>
        <w:spacing w:after="0"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Step 2. The distribution is chi-square.</w:t>
      </w:r>
    </w:p>
    <w:p w:rsidR="00AD77BB" w:rsidRDefault="00B45BA0">
      <w:pPr>
        <w:numPr>
          <w:ilvl w:val="0"/>
          <w:numId w:val="304"/>
        </w:numPr>
        <w:shd w:val="clear" w:color="auto" w:fill="DAEEF3" w:themeFill="accent5" w:themeFillTint="33"/>
        <w:spacing w:before="150" w:after="0" w:line="360" w:lineRule="auto"/>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Step 3. To compute the value of the test statistic we must first computed the expected number for each of the six core cells (the ones whose entries are boldface):</w:t>
      </w:r>
    </w:p>
    <w:p w:rsidR="00AD77BB" w:rsidRDefault="00B45BA0">
      <w:pPr>
        <w:numPr>
          <w:ilvl w:val="1"/>
          <w:numId w:val="304"/>
        </w:num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1st row and 1st column: </w:t>
      </w:r>
      <w:r>
        <w:rPr>
          <w:rFonts w:ascii="MathJax_Math" w:eastAsia="Times New Roman" w:hAnsi="MathJax_Math" w:cs="Times New Roman"/>
          <w:b/>
          <w:i/>
          <w:iCs/>
          <w:color w:val="333333"/>
          <w:sz w:val="17"/>
          <w:szCs w:val="17"/>
        </w:rPr>
        <w:t>E</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R</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C</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n</w:t>
      </w:r>
      <w:r>
        <w:rPr>
          <w:rFonts w:ascii="MathJax_Main" w:eastAsia="Times New Roman" w:hAnsi="MathJax_Main" w:cs="Times New Roman"/>
          <w:b/>
          <w:color w:val="333333"/>
          <w:sz w:val="17"/>
          <w:szCs w:val="17"/>
        </w:rPr>
        <w:t>=41×52/100=21.32</w:t>
      </w:r>
    </w:p>
    <w:p w:rsidR="00AD77BB" w:rsidRDefault="00B45BA0">
      <w:pPr>
        <w:numPr>
          <w:ilvl w:val="1"/>
          <w:numId w:val="304"/>
        </w:num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1st row and 2nd column: </w:t>
      </w:r>
      <w:r>
        <w:rPr>
          <w:rFonts w:ascii="MathJax_Math" w:eastAsia="Times New Roman" w:hAnsi="MathJax_Math" w:cs="Times New Roman"/>
          <w:b/>
          <w:i/>
          <w:iCs/>
          <w:color w:val="333333"/>
          <w:sz w:val="17"/>
          <w:szCs w:val="17"/>
        </w:rPr>
        <w:t>E</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R</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C</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n</w:t>
      </w:r>
      <w:r>
        <w:rPr>
          <w:rFonts w:ascii="MathJax_Main" w:eastAsia="Times New Roman" w:hAnsi="MathJax_Main" w:cs="Times New Roman"/>
          <w:b/>
          <w:color w:val="333333"/>
          <w:sz w:val="17"/>
          <w:szCs w:val="17"/>
        </w:rPr>
        <w:t>=36×52/100=18.72</w:t>
      </w:r>
    </w:p>
    <w:p w:rsidR="00AD77BB" w:rsidRDefault="00B45BA0">
      <w:pPr>
        <w:numPr>
          <w:ilvl w:val="1"/>
          <w:numId w:val="304"/>
        </w:num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1st row and 3rd column: </w:t>
      </w:r>
      <w:r>
        <w:rPr>
          <w:rFonts w:ascii="MathJax_Math" w:eastAsia="Times New Roman" w:hAnsi="MathJax_Math" w:cs="Times New Roman"/>
          <w:b/>
          <w:i/>
          <w:iCs/>
          <w:color w:val="333333"/>
          <w:sz w:val="17"/>
          <w:szCs w:val="17"/>
        </w:rPr>
        <w:t>E</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R</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C</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n</w:t>
      </w:r>
      <w:r>
        <w:rPr>
          <w:rFonts w:ascii="MathJax_Main" w:eastAsia="Times New Roman" w:hAnsi="MathJax_Main" w:cs="Times New Roman"/>
          <w:b/>
          <w:color w:val="333333"/>
          <w:sz w:val="17"/>
          <w:szCs w:val="17"/>
        </w:rPr>
        <w:t>=23×52/100=11.96</w:t>
      </w:r>
    </w:p>
    <w:p w:rsidR="00AD77BB" w:rsidRDefault="00B45BA0">
      <w:pPr>
        <w:numPr>
          <w:ilvl w:val="1"/>
          <w:numId w:val="304"/>
        </w:num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2nd row and 1st column: </w:t>
      </w:r>
      <w:r>
        <w:rPr>
          <w:rFonts w:ascii="MathJax_Math" w:eastAsia="Times New Roman" w:hAnsi="MathJax_Math" w:cs="Times New Roman"/>
          <w:b/>
          <w:i/>
          <w:iCs/>
          <w:color w:val="333333"/>
          <w:sz w:val="17"/>
          <w:szCs w:val="17"/>
        </w:rPr>
        <w:t>E</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R</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C</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n</w:t>
      </w:r>
      <w:r>
        <w:rPr>
          <w:rFonts w:ascii="MathJax_Main" w:eastAsia="Times New Roman" w:hAnsi="MathJax_Main" w:cs="Times New Roman"/>
          <w:b/>
          <w:color w:val="333333"/>
          <w:sz w:val="17"/>
          <w:szCs w:val="17"/>
        </w:rPr>
        <w:t>=41×48/100=19.68</w:t>
      </w:r>
    </w:p>
    <w:p w:rsidR="00AD77BB" w:rsidRDefault="00B45BA0">
      <w:pPr>
        <w:numPr>
          <w:ilvl w:val="1"/>
          <w:numId w:val="304"/>
        </w:num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2nd row and 2nd column: </w:t>
      </w:r>
      <w:r>
        <w:rPr>
          <w:rFonts w:ascii="MathJax_Math" w:eastAsia="Times New Roman" w:hAnsi="MathJax_Math" w:cs="Times New Roman"/>
          <w:b/>
          <w:i/>
          <w:iCs/>
          <w:color w:val="333333"/>
          <w:sz w:val="17"/>
          <w:szCs w:val="17"/>
        </w:rPr>
        <w:t>E</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R</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C</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n</w:t>
      </w:r>
      <w:r>
        <w:rPr>
          <w:rFonts w:ascii="MathJax_Main" w:eastAsia="Times New Roman" w:hAnsi="MathJax_Main" w:cs="Times New Roman"/>
          <w:b/>
          <w:color w:val="333333"/>
          <w:sz w:val="17"/>
          <w:szCs w:val="17"/>
        </w:rPr>
        <w:t>=36×48/100=17.28</w:t>
      </w:r>
    </w:p>
    <w:p w:rsidR="00AD77BB" w:rsidRDefault="00B45BA0">
      <w:pPr>
        <w:numPr>
          <w:ilvl w:val="1"/>
          <w:numId w:val="304"/>
        </w:num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2nd row and 3rd column: </w:t>
      </w:r>
      <w:r>
        <w:rPr>
          <w:rFonts w:ascii="MathJax_Math" w:eastAsia="Times New Roman" w:hAnsi="MathJax_Math" w:cs="Times New Roman"/>
          <w:b/>
          <w:i/>
          <w:iCs/>
          <w:color w:val="333333"/>
          <w:sz w:val="17"/>
          <w:szCs w:val="17"/>
        </w:rPr>
        <w:t>E</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R</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C</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n</w:t>
      </w:r>
      <w:r>
        <w:rPr>
          <w:rFonts w:ascii="MathJax_Main" w:eastAsia="Times New Roman" w:hAnsi="MathJax_Main" w:cs="Times New Roman"/>
          <w:b/>
          <w:color w:val="333333"/>
          <w:sz w:val="17"/>
          <w:szCs w:val="17"/>
        </w:rPr>
        <w:t>=23×48/100=11.04</w:t>
      </w:r>
    </w:p>
    <w:p w:rsidR="00AD77BB" w:rsidRDefault="00B45BA0">
      <w:p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Table 11.6 "CEE versus GPA Contingency Table"</w:t>
      </w:r>
      <w:r>
        <w:rPr>
          <w:rFonts w:ascii="Calibri" w:eastAsia="Times New Roman" w:hAnsi="Calibri" w:cs="Times New Roman"/>
          <w:color w:val="333333"/>
          <w:sz w:val="20"/>
          <w:szCs w:val="20"/>
        </w:rPr>
        <w:t> is updated to</w:t>
      </w:r>
      <w:r>
        <w:rPr>
          <w:rFonts w:ascii="Calibri" w:eastAsia="Times New Roman" w:hAnsi="Calibri" w:cs="Times New Roman"/>
          <w:color w:val="2689C6"/>
          <w:sz w:val="20"/>
          <w:szCs w:val="20"/>
        </w:rPr>
        <w:t>Table 11.7 "Updated CEE versus GPA Contingency Table"</w:t>
      </w:r>
      <w:r>
        <w:rPr>
          <w:rFonts w:ascii="Calibri" w:eastAsia="Times New Roman" w:hAnsi="Calibri" w:cs="Times New Roman"/>
          <w:color w:val="333333"/>
          <w:sz w:val="20"/>
          <w:szCs w:val="20"/>
        </w:rPr>
        <w:t>.</w:t>
      </w:r>
    </w:p>
    <w:p w:rsidR="00AD77BB" w:rsidRDefault="00B45BA0">
      <w:pPr>
        <w:shd w:val="clear" w:color="auto" w:fill="DAEEF3" w:themeFill="accent5" w:themeFillTint="33"/>
        <w:spacing w:after="0" w:line="360" w:lineRule="auto"/>
        <w:ind w:left="600" w:right="750"/>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2DE7569C" wp14:editId="1EF26FE6">
            <wp:extent cx="5029200" cy="6477000"/>
            <wp:effectExtent l="0" t="0" r="0" b="0"/>
            <wp:docPr id="439"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029200" cy="6477000"/>
                    </a:xfrm>
                    <a:prstGeom prst="rect">
                      <a:avLst/>
                    </a:prstGeom>
                    <a:noFill/>
                    <a:ln>
                      <a:noFill/>
                    </a:ln>
                  </pic:spPr>
                </pic:pic>
              </a:graphicData>
            </a:graphic>
          </wp:inline>
        </w:drawing>
      </w:r>
    </w:p>
    <w:p w:rsidR="00AD77BB" w:rsidRDefault="00B45BA0">
      <w:pPr>
        <w:numPr>
          <w:ilvl w:val="0"/>
          <w:numId w:val="305"/>
        </w:numPr>
        <w:shd w:val="clear" w:color="auto" w:fill="DAEEF3" w:themeFill="accent5" w:themeFillTint="33"/>
        <w:spacing w:after="0" w:line="360" w:lineRule="auto"/>
        <w:ind w:left="360" w:right="374"/>
        <w:textAlignment w:val="baseline"/>
        <w:rPr>
          <w:rFonts w:ascii="Calibri" w:hAnsi="Calibri"/>
          <w:color w:val="333333"/>
          <w:sz w:val="20"/>
          <w:szCs w:val="20"/>
        </w:rPr>
      </w:pPr>
      <w:r>
        <w:rPr>
          <w:rFonts w:ascii="Calibri" w:hAnsi="Calibri"/>
          <w:color w:val="333333"/>
          <w:sz w:val="20"/>
          <w:szCs w:val="20"/>
        </w:rPr>
        <w:t>Step 5. Since 31.75 &gt; 9.21 the decision is to reject the null hypothesis. See</w:t>
      </w:r>
      <w:r>
        <w:rPr>
          <w:rStyle w:val="apple-converted-space"/>
          <w:rFonts w:ascii="Calibri" w:hAnsi="Calibri"/>
          <w:color w:val="333333"/>
          <w:sz w:val="20"/>
          <w:szCs w:val="20"/>
        </w:rPr>
        <w:t> </w:t>
      </w:r>
      <w:r>
        <w:rPr>
          <w:rFonts w:ascii="Calibri" w:hAnsi="Calibri"/>
          <w:color w:val="2689C6"/>
          <w:sz w:val="20"/>
          <w:szCs w:val="20"/>
        </w:rPr>
        <w:t>Figure 11.4</w:t>
      </w:r>
      <w:r>
        <w:rPr>
          <w:rFonts w:ascii="Calibri" w:hAnsi="Calibri"/>
          <w:color w:val="333333"/>
          <w:sz w:val="20"/>
          <w:szCs w:val="20"/>
        </w:rPr>
        <w:t>. The data provide sufficient evidence, at the 1% level of significance, to conclude that CEE score and GPA are not independent: the entrance exam score has predictive power.</w:t>
      </w:r>
    </w:p>
    <w:p w:rsidR="00AD77BB" w:rsidRDefault="00AD77BB">
      <w:pPr>
        <w:pStyle w:val="Title9"/>
        <w:spacing w:before="0" w:beforeAutospacing="0" w:after="0" w:afterAutospacing="0" w:line="439" w:lineRule="atLeast"/>
        <w:ind w:left="300" w:right="375"/>
        <w:textAlignment w:val="baseline"/>
        <w:rPr>
          <w:rStyle w:val="title-prefix"/>
          <w:rFonts w:eastAsiaTheme="majorEastAsia"/>
          <w:i/>
          <w:iCs/>
          <w:color w:val="000000"/>
        </w:rPr>
      </w:pPr>
    </w:p>
    <w:p w:rsidR="00AD77BB" w:rsidRDefault="00AD77BB">
      <w:pPr>
        <w:pStyle w:val="Title9"/>
        <w:spacing w:before="0" w:beforeAutospacing="0" w:after="0" w:afterAutospacing="0" w:line="439" w:lineRule="atLeast"/>
        <w:ind w:left="300" w:right="375"/>
        <w:textAlignment w:val="baseline"/>
        <w:rPr>
          <w:rStyle w:val="title-prefix"/>
          <w:rFonts w:ascii="Calibri" w:eastAsiaTheme="majorEastAsia" w:hAnsi="Calibri"/>
          <w:i/>
          <w:iCs/>
          <w:color w:val="000000"/>
          <w:sz w:val="20"/>
          <w:szCs w:val="20"/>
        </w:rPr>
      </w:pPr>
    </w:p>
    <w:p w:rsidR="00AD77BB" w:rsidRDefault="00AD77BB">
      <w:pPr>
        <w:pStyle w:val="Title9"/>
        <w:spacing w:before="0" w:beforeAutospacing="0" w:after="0" w:afterAutospacing="0" w:line="439" w:lineRule="atLeast"/>
        <w:ind w:left="300" w:right="375"/>
        <w:textAlignment w:val="baseline"/>
        <w:rPr>
          <w:rStyle w:val="title-prefix"/>
          <w:rFonts w:ascii="Calibri" w:eastAsiaTheme="majorEastAsia" w:hAnsi="Calibri"/>
          <w:i/>
          <w:iCs/>
          <w:color w:val="000000"/>
          <w:sz w:val="20"/>
          <w:szCs w:val="20"/>
        </w:rPr>
      </w:pPr>
    </w:p>
    <w:p w:rsidR="00AD77BB" w:rsidRDefault="00B45BA0">
      <w:pPr>
        <w:pStyle w:val="Title9"/>
        <w:spacing w:before="0" w:beforeAutospacing="0" w:after="0" w:afterAutospacing="0" w:line="439" w:lineRule="atLeast"/>
        <w:ind w:left="300" w:right="375"/>
        <w:textAlignment w:val="baseline"/>
        <w:rPr>
          <w:color w:val="BB9966"/>
          <w:sz w:val="22"/>
          <w:szCs w:val="22"/>
        </w:rPr>
      </w:pPr>
      <w:r>
        <w:rPr>
          <w:rStyle w:val="title-prefix"/>
          <w:rFonts w:ascii="Calibri" w:eastAsiaTheme="majorEastAsia" w:hAnsi="Calibri"/>
          <w:i/>
          <w:iCs/>
          <w:color w:val="000000"/>
          <w:sz w:val="20"/>
          <w:szCs w:val="20"/>
        </w:rPr>
        <w:lastRenderedPageBreak/>
        <w:t>Figure 11.4</w:t>
      </w:r>
      <w:r>
        <w:rPr>
          <w:rFonts w:ascii="Calibri" w:hAnsi="Calibri"/>
          <w:i/>
          <w:iCs/>
          <w:color w:val="2689C6"/>
          <w:sz w:val="22"/>
          <w:szCs w:val="22"/>
        </w:rPr>
        <w:t>Note 11.9 "Example 1"</w:t>
      </w:r>
    </w:p>
    <w:p w:rsidR="00AD77BB" w:rsidRDefault="00B45BA0">
      <w:pPr>
        <w:spacing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14:anchorId="55BB7A22" wp14:editId="1449514E">
            <wp:extent cx="3667125" cy="2038350"/>
            <wp:effectExtent l="0" t="0" r="9525" b="0"/>
            <wp:docPr id="440" name="Picture 461" descr="http://images.flatworldknowledge.com/shafer/shafer-fig1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http://images.flatworldknowledge.com/shafer/shafer-fig11_004.jpg"/>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flipH="1">
                      <a:off x="0" y="0"/>
                      <a:ext cx="3667125" cy="2038350"/>
                    </a:xfrm>
                    <a:prstGeom prst="rect">
                      <a:avLst/>
                    </a:prstGeom>
                    <a:noFill/>
                    <a:ln>
                      <a:noFill/>
                    </a:ln>
                  </pic:spPr>
                </pic:pic>
              </a:graphicData>
            </a:graphic>
          </wp:inline>
        </w:drawing>
      </w:r>
    </w:p>
    <w:p w:rsidR="00AD77BB" w:rsidRDefault="00AD77BB">
      <w:pPr>
        <w:shd w:val="clear" w:color="auto" w:fill="FFFFFF" w:themeFill="background1"/>
        <w:spacing w:after="0" w:line="360" w:lineRule="auto"/>
        <w:ind w:left="600" w:right="750"/>
        <w:textAlignment w:val="baseline"/>
        <w:rPr>
          <w:rFonts w:ascii="Calibri" w:eastAsia="Times New Roman" w:hAnsi="Calibri" w:cs="Times New Roman"/>
          <w:color w:val="333333"/>
          <w:sz w:val="20"/>
          <w:szCs w:val="20"/>
        </w:rPr>
      </w:pPr>
    </w:p>
    <w:p w:rsidR="00AD77BB" w:rsidRDefault="00B45BA0">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KEY TAKEAWAYS</w:t>
      </w:r>
    </w:p>
    <w:p w:rsidR="00AD77BB" w:rsidRDefault="00B45BA0">
      <w:pPr>
        <w:numPr>
          <w:ilvl w:val="0"/>
          <w:numId w:val="306"/>
        </w:numPr>
        <w:spacing w:after="0" w:line="360" w:lineRule="auto"/>
        <w:ind w:left="360" w:right="374"/>
        <w:textAlignment w:val="baseline"/>
        <w:rPr>
          <w:rFonts w:ascii="Calibri" w:hAnsi="Calibri"/>
          <w:color w:val="333333"/>
          <w:sz w:val="20"/>
          <w:szCs w:val="20"/>
        </w:rPr>
      </w:pPr>
      <w:r>
        <w:rPr>
          <w:rFonts w:ascii="Calibri" w:hAnsi="Calibri"/>
          <w:color w:val="333333"/>
          <w:sz w:val="20"/>
          <w:szCs w:val="20"/>
        </w:rPr>
        <w:t>Critical values of a chi-square distribution with degrees of freedom</w:t>
      </w:r>
      <w:r>
        <w:rPr>
          <w:rStyle w:val="apple-converted-space"/>
          <w:rFonts w:ascii="Calibri" w:hAnsi="Calibri"/>
          <w:color w:val="333333"/>
          <w:sz w:val="20"/>
          <w:szCs w:val="20"/>
        </w:rPr>
        <w:t> </w:t>
      </w:r>
      <w:r>
        <w:rPr>
          <w:rStyle w:val="mi"/>
          <w:rFonts w:ascii="MathJax_Math" w:hAnsi="MathJax_Math"/>
          <w:i/>
          <w:iCs/>
          <w:color w:val="333333"/>
          <w:sz w:val="17"/>
          <w:szCs w:val="17"/>
        </w:rPr>
        <w:t>df</w:t>
      </w:r>
      <w:r>
        <w:rPr>
          <w:rStyle w:val="apple-converted-space"/>
          <w:rFonts w:ascii="Calibri" w:hAnsi="Calibri"/>
          <w:color w:val="333333"/>
          <w:sz w:val="20"/>
          <w:szCs w:val="20"/>
        </w:rPr>
        <w:t> </w:t>
      </w:r>
      <w:r>
        <w:rPr>
          <w:rFonts w:ascii="Calibri" w:hAnsi="Calibri"/>
          <w:color w:val="333333"/>
          <w:sz w:val="20"/>
          <w:szCs w:val="20"/>
        </w:rPr>
        <w:t>are found in</w:t>
      </w:r>
      <w:r>
        <w:rPr>
          <w:rStyle w:val="apple-converted-space"/>
          <w:rFonts w:ascii="Calibri" w:hAnsi="Calibri"/>
          <w:color w:val="333333"/>
          <w:sz w:val="20"/>
          <w:szCs w:val="20"/>
        </w:rPr>
        <w:t> </w:t>
      </w:r>
      <w:r>
        <w:rPr>
          <w:rFonts w:ascii="Calibri" w:hAnsi="Calibri"/>
          <w:color w:val="2689C6"/>
          <w:sz w:val="20"/>
          <w:szCs w:val="20"/>
        </w:rPr>
        <w:t>Figure 12.4 "Critical Values of Chi-Square Distributions"</w:t>
      </w:r>
      <w:r>
        <w:rPr>
          <w:rFonts w:ascii="Calibri" w:hAnsi="Calibri"/>
          <w:color w:val="333333"/>
          <w:sz w:val="20"/>
          <w:szCs w:val="20"/>
        </w:rPr>
        <w:t>.</w:t>
      </w:r>
    </w:p>
    <w:p w:rsidR="00AD77BB" w:rsidRDefault="00B45BA0">
      <w:pPr>
        <w:numPr>
          <w:ilvl w:val="0"/>
          <w:numId w:val="306"/>
        </w:numPr>
        <w:spacing w:after="0" w:line="360" w:lineRule="auto"/>
        <w:ind w:left="360" w:right="374"/>
        <w:textAlignment w:val="baseline"/>
        <w:rPr>
          <w:rFonts w:ascii="Calibri" w:hAnsi="Calibri"/>
          <w:color w:val="333333"/>
          <w:sz w:val="20"/>
          <w:szCs w:val="20"/>
        </w:rPr>
      </w:pPr>
      <w:r>
        <w:rPr>
          <w:rFonts w:ascii="Calibri" w:hAnsi="Calibri"/>
          <w:color w:val="333333"/>
          <w:sz w:val="20"/>
          <w:szCs w:val="20"/>
        </w:rPr>
        <w:t>A</w:t>
      </w:r>
      <w:r>
        <w:rPr>
          <w:rStyle w:val="apple-converted-space"/>
          <w:rFonts w:ascii="Calibri" w:hAnsi="Calibri"/>
          <w:color w:val="333333"/>
          <w:sz w:val="20"/>
          <w:szCs w:val="20"/>
        </w:rPr>
        <w:t> </w:t>
      </w:r>
      <w:r>
        <w:rPr>
          <w:rStyle w:val="marginterm"/>
          <w:rFonts w:ascii="Calibri" w:hAnsi="Calibri"/>
          <w:color w:val="333333"/>
          <w:sz w:val="20"/>
          <w:szCs w:val="20"/>
        </w:rPr>
        <w:t>chi-square test</w:t>
      </w:r>
      <w:r>
        <w:rPr>
          <w:rStyle w:val="apple-converted-space"/>
          <w:rFonts w:ascii="Calibri" w:hAnsi="Calibri"/>
          <w:color w:val="333333"/>
          <w:sz w:val="20"/>
          <w:szCs w:val="20"/>
        </w:rPr>
        <w:t> </w:t>
      </w:r>
      <w:r>
        <w:rPr>
          <w:rFonts w:ascii="Calibri" w:hAnsi="Calibri"/>
          <w:color w:val="333333"/>
          <w:sz w:val="20"/>
          <w:szCs w:val="20"/>
        </w:rPr>
        <w:t>can be used to evaluate the hypothesis that two random variables or factors are independent.</w:t>
      </w:r>
    </w:p>
    <w:p w:rsidR="00AD77BB" w:rsidRDefault="00B45BA0">
      <w:pPr>
        <w:tabs>
          <w:tab w:val="left" w:pos="5547"/>
        </w:tabs>
        <w:spacing w:line="360" w:lineRule="auto"/>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5BC0E6D7" wp14:editId="1264A737">
            <wp:extent cx="5143500" cy="6800850"/>
            <wp:effectExtent l="0" t="0" r="0" b="0"/>
            <wp:docPr id="441"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143500" cy="6800850"/>
                    </a:xfrm>
                    <a:prstGeom prst="rect">
                      <a:avLst/>
                    </a:prstGeom>
                    <a:noFill/>
                    <a:ln>
                      <a:noFill/>
                    </a:ln>
                  </pic:spPr>
                </pic:pic>
              </a:graphicData>
            </a:graphic>
          </wp:inline>
        </w:drawing>
      </w:r>
    </w:p>
    <w:p w:rsidR="00AD77BB" w:rsidRDefault="00B45BA0">
      <w:pPr>
        <w:tabs>
          <w:tab w:val="left" w:pos="5547"/>
        </w:tabs>
        <w:spacing w:line="360" w:lineRule="auto"/>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3A6FAC0B" wp14:editId="6927EB46">
            <wp:extent cx="5200650" cy="5629275"/>
            <wp:effectExtent l="0" t="0" r="0" b="9525"/>
            <wp:docPr id="442"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200650" cy="5629275"/>
                    </a:xfrm>
                    <a:prstGeom prst="rect">
                      <a:avLst/>
                    </a:prstGeom>
                    <a:noFill/>
                    <a:ln>
                      <a:noFill/>
                    </a:ln>
                  </pic:spPr>
                </pic:pic>
              </a:graphicData>
            </a:graphic>
          </wp:inline>
        </w:drawing>
      </w:r>
    </w:p>
    <w:tbl>
      <w:tblPr>
        <w:tblW w:w="0" w:type="auto"/>
        <w:tblCellMar>
          <w:left w:w="0" w:type="dxa"/>
          <w:right w:w="0" w:type="dxa"/>
        </w:tblCellMar>
        <w:tblLook w:val="04A0" w:firstRow="1" w:lastRow="0" w:firstColumn="1" w:lastColumn="0" w:noHBand="0" w:noVBand="1"/>
      </w:tblPr>
      <w:tblGrid>
        <w:gridCol w:w="944"/>
        <w:gridCol w:w="877"/>
        <w:gridCol w:w="890"/>
        <w:gridCol w:w="890"/>
        <w:gridCol w:w="1224"/>
        <w:gridCol w:w="156"/>
      </w:tblGrid>
      <w:tr w:rsidR="00AD77BB">
        <w:trPr>
          <w:gridAfter w:val="1"/>
          <w:tblHeader/>
        </w:trPr>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 </w:t>
            </w:r>
          </w:p>
        </w:tc>
        <w:tc>
          <w:tcPr>
            <w:tcW w:w="0" w:type="auto"/>
            <w:gridSpan w:val="2"/>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Factor 1</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AD77BB">
            <w:pPr>
              <w:spacing w:after="0"/>
              <w:rPr>
                <w:rFonts w:cs="Times New Roman"/>
              </w:rPr>
            </w:pPr>
          </w:p>
        </w:tc>
      </w:tr>
      <w:tr w:rsidR="00AD77BB">
        <w:trPr>
          <w:tblHeader/>
        </w:trPr>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Level 1</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Level 2</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Row Total</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AD77BB">
            <w:pPr>
              <w:spacing w:after="0"/>
              <w:rPr>
                <w:rFonts w:cs="Times New Roman"/>
              </w:rPr>
            </w:pPr>
          </w:p>
        </w:tc>
      </w:tr>
      <w:tr w:rsidR="00AD77BB">
        <w:tc>
          <w:tcPr>
            <w:tcW w:w="0" w:type="auto"/>
            <w:vMerge w:val="restart"/>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Factor 2</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Level 1</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MathJax_Main" w:eastAsia="Times New Roman" w:hAnsi="MathJax_Main" w:cs="Times New Roman"/>
                <w:sz w:val="17"/>
                <w:szCs w:val="17"/>
              </w:rPr>
              <w:t>20</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MathJax_Main" w:eastAsia="Times New Roman" w:hAnsi="MathJax_Main" w:cs="Times New Roman"/>
                <w:sz w:val="17"/>
                <w:szCs w:val="17"/>
              </w:rPr>
              <w:t>10</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i/>
                <w:iCs/>
                <w:sz w:val="24"/>
                <w:szCs w:val="24"/>
              </w:rPr>
              <w:t>R</w:t>
            </w:r>
          </w:p>
        </w:tc>
        <w:tc>
          <w:tcPr>
            <w:tcW w:w="0" w:type="auto"/>
            <w:shd w:val="clear" w:color="auto" w:fill="DAEEF3" w:themeFill="accent5" w:themeFillTint="33"/>
            <w:vAlign w:val="bottom"/>
            <w:hideMark/>
          </w:tcPr>
          <w:p w:rsidR="00AD77BB" w:rsidRDefault="00AD77BB">
            <w:pPr>
              <w:spacing w:after="0"/>
              <w:rPr>
                <w:rFonts w:cs="Times New Roman"/>
              </w:rPr>
            </w:pPr>
          </w:p>
        </w:tc>
      </w:tr>
      <w:tr w:rsidR="00AD77BB">
        <w:tc>
          <w:tcPr>
            <w:tcW w:w="0" w:type="auto"/>
            <w:vMerge/>
            <w:tcBorders>
              <w:top w:val="single" w:sz="6" w:space="0" w:color="auto"/>
              <w:left w:val="single" w:sz="6" w:space="0" w:color="auto"/>
              <w:bottom w:val="single" w:sz="6" w:space="0" w:color="auto"/>
              <w:right w:val="single" w:sz="6" w:space="0" w:color="auto"/>
            </w:tcBorders>
            <w:vAlign w:val="center"/>
            <w:hideMark/>
          </w:tcPr>
          <w:p w:rsidR="00AD77BB" w:rsidRDefault="00AD77BB">
            <w:pPr>
              <w:spacing w:after="0" w:line="240" w:lineRule="auto"/>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Level 2</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MathJax_Main" w:eastAsia="Times New Roman" w:hAnsi="MathJax_Main" w:cs="Times New Roman"/>
                <w:sz w:val="17"/>
                <w:szCs w:val="17"/>
              </w:rPr>
              <w:t>15</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MathJax_Main" w:eastAsia="Times New Roman" w:hAnsi="MathJax_Main" w:cs="Times New Roman"/>
                <w:sz w:val="17"/>
                <w:szCs w:val="17"/>
              </w:rPr>
              <w:t>5</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i/>
                <w:iCs/>
                <w:sz w:val="24"/>
                <w:szCs w:val="24"/>
              </w:rPr>
              <w:t>R</w:t>
            </w:r>
          </w:p>
        </w:tc>
        <w:tc>
          <w:tcPr>
            <w:tcW w:w="0" w:type="auto"/>
            <w:shd w:val="clear" w:color="auto" w:fill="DAEEF3" w:themeFill="accent5" w:themeFillTint="33"/>
            <w:vAlign w:val="bottom"/>
            <w:hideMark/>
          </w:tcPr>
          <w:p w:rsidR="00AD77BB" w:rsidRDefault="00AD77BB">
            <w:pPr>
              <w:spacing w:after="0"/>
              <w:rPr>
                <w:rFonts w:cs="Times New Roman"/>
              </w:rPr>
            </w:pPr>
          </w:p>
        </w:tc>
      </w:tr>
      <w:tr w:rsidR="00AD77BB">
        <w:tc>
          <w:tcPr>
            <w:tcW w:w="0" w:type="auto"/>
            <w:vMerge/>
            <w:tcBorders>
              <w:top w:val="single" w:sz="6" w:space="0" w:color="auto"/>
              <w:left w:val="single" w:sz="6" w:space="0" w:color="auto"/>
              <w:bottom w:val="single" w:sz="6" w:space="0" w:color="auto"/>
              <w:right w:val="single" w:sz="6" w:space="0" w:color="auto"/>
            </w:tcBorders>
            <w:vAlign w:val="center"/>
            <w:hideMark/>
          </w:tcPr>
          <w:p w:rsidR="00AD77BB" w:rsidRDefault="00AD77BB">
            <w:pPr>
              <w:spacing w:after="0" w:line="240" w:lineRule="auto"/>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Level 3</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MathJax_Main" w:eastAsia="Times New Roman" w:hAnsi="MathJax_Main" w:cs="Times New Roman"/>
                <w:sz w:val="17"/>
                <w:szCs w:val="17"/>
              </w:rPr>
              <w:t>10</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MathJax_Main" w:eastAsia="Times New Roman" w:hAnsi="MathJax_Main" w:cs="Times New Roman"/>
                <w:sz w:val="17"/>
                <w:szCs w:val="17"/>
              </w:rPr>
              <w:t>20</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i/>
                <w:iCs/>
                <w:sz w:val="24"/>
                <w:szCs w:val="24"/>
              </w:rPr>
              <w:t>R</w:t>
            </w:r>
          </w:p>
        </w:tc>
        <w:tc>
          <w:tcPr>
            <w:tcW w:w="0" w:type="auto"/>
            <w:shd w:val="clear" w:color="auto" w:fill="DAEEF3" w:themeFill="accent5" w:themeFillTint="33"/>
            <w:vAlign w:val="bottom"/>
            <w:hideMark/>
          </w:tcPr>
          <w:p w:rsidR="00AD77BB" w:rsidRDefault="00AD77BB">
            <w:pPr>
              <w:spacing w:after="0"/>
              <w:rPr>
                <w:rFonts w:cs="Times New Roman"/>
              </w:rPr>
            </w:pPr>
          </w:p>
        </w:tc>
      </w:tr>
      <w:tr w:rsidR="00AD77BB">
        <w:tc>
          <w:tcPr>
            <w:tcW w:w="0" w:type="auto"/>
            <w:gridSpan w:val="2"/>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Column Total</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i/>
                <w:iCs/>
                <w:sz w:val="24"/>
                <w:szCs w:val="24"/>
              </w:rPr>
              <w:t>C</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i/>
                <w:iCs/>
                <w:sz w:val="24"/>
                <w:szCs w:val="24"/>
              </w:rPr>
              <w:t>C</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i/>
                <w:iCs/>
                <w:sz w:val="24"/>
                <w:szCs w:val="24"/>
              </w:rPr>
              <w:t>n</w:t>
            </w:r>
          </w:p>
        </w:tc>
        <w:tc>
          <w:tcPr>
            <w:tcW w:w="0" w:type="auto"/>
            <w:shd w:val="clear" w:color="auto" w:fill="DAEEF3" w:themeFill="accent5" w:themeFillTint="33"/>
            <w:vAlign w:val="bottom"/>
            <w:hideMark/>
          </w:tcPr>
          <w:p w:rsidR="00AD77BB" w:rsidRDefault="00AD77BB">
            <w:pPr>
              <w:spacing w:after="0"/>
              <w:rPr>
                <w:rFonts w:cs="Times New Roman"/>
              </w:rPr>
            </w:pPr>
          </w:p>
        </w:tc>
      </w:tr>
    </w:tbl>
    <w:p w:rsidR="00AD77BB" w:rsidRDefault="00B45BA0">
      <w:pPr>
        <w:numPr>
          <w:ilvl w:val="0"/>
          <w:numId w:val="307"/>
        </w:numPr>
        <w:shd w:val="clear" w:color="auto" w:fill="E3EFF7"/>
        <w:spacing w:after="0" w:line="366" w:lineRule="atLeast"/>
        <w:ind w:lef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column totals, the row totals, and the grand total,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of the table.</w:t>
      </w:r>
    </w:p>
    <w:p w:rsidR="00AD77BB" w:rsidRDefault="00B45BA0">
      <w:pPr>
        <w:numPr>
          <w:ilvl w:val="0"/>
          <w:numId w:val="307"/>
        </w:numPr>
        <w:shd w:val="clear" w:color="auto" w:fill="E3EFF7"/>
        <w:spacing w:after="0" w:line="366" w:lineRule="atLeast"/>
        <w:ind w:lef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Find the expected number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of observations for each cell based on the assumption that the two factors are independent (that is, just use the formula </w:t>
      </w:r>
      <w:r>
        <w:rPr>
          <w:rFonts w:ascii="MathJax_Math" w:eastAsia="Times New Roman" w:hAnsi="MathJax_Math" w:cs="Times New Roman"/>
          <w:i/>
          <w:iCs/>
          <w:color w:val="333333"/>
          <w:sz w:val="17"/>
          <w:szCs w:val="17"/>
        </w:rPr>
        <w:t>E</w:t>
      </w:r>
      <w:r>
        <w:rPr>
          <w:rFonts w:ascii="MathJax_Main" w:eastAsia="Times New Roman" w:hAnsi="MathJax_Main" w:cs="Times New Roman"/>
          <w:color w:val="333333"/>
          <w:sz w:val="17"/>
          <w:szCs w:val="17"/>
        </w:rPr>
        <w:t>=(</w:t>
      </w:r>
      <w:r>
        <w:rPr>
          <w:rFonts w:ascii="MathJax_Math" w:eastAsia="Times New Roman" w:hAnsi="MathJax_Math" w:cs="Times New Roman"/>
          <w:i/>
          <w:iCs/>
          <w:color w:val="333333"/>
          <w:sz w:val="17"/>
          <w:szCs w:val="17"/>
        </w:rPr>
        <w:t>R</w:t>
      </w:r>
      <w:r>
        <w:rPr>
          <w:rFonts w:ascii="MathJax_Main" w:eastAsia="Times New Roman" w:hAnsi="MathJax_Main" w:cs="Times New Roman"/>
          <w:color w:val="333333"/>
          <w:sz w:val="17"/>
          <w:szCs w:val="17"/>
        </w:rPr>
        <w:t>×</w:t>
      </w:r>
      <w:r>
        <w:rPr>
          <w:rFonts w:ascii="MathJax_Math" w:eastAsia="Times New Roman" w:hAnsi="MathJax_Math" w:cs="Times New Roman"/>
          <w:i/>
          <w:iCs/>
          <w:color w:val="333333"/>
          <w:sz w:val="17"/>
          <w:szCs w:val="17"/>
        </w:rPr>
        <w:t>C</w:t>
      </w:r>
      <w:r>
        <w:rPr>
          <w:rFonts w:ascii="MathJax_Main" w:eastAsia="Times New Roman" w:hAnsi="MathJax_Main" w:cs="Times New Roman"/>
          <w:color w:val="333333"/>
          <w:sz w:val="17"/>
          <w:szCs w:val="17"/>
        </w:rPr>
        <w:t>)/</w:t>
      </w:r>
      <w:r>
        <w:rPr>
          <w:rFonts w:ascii="MathJax_Math" w:eastAsia="Times New Roman" w:hAnsi="MathJax_Math" w:cs="Times New Roman"/>
          <w:i/>
          <w:iCs/>
          <w:color w:val="333333"/>
          <w:sz w:val="17"/>
          <w:szCs w:val="17"/>
        </w:rPr>
        <w:t>n</w:t>
      </w:r>
      <w:r>
        <w:rPr>
          <w:rFonts w:ascii="Calibri" w:eastAsia="Times New Roman" w:hAnsi="Calibri" w:cs="Times New Roman"/>
          <w:color w:val="333333"/>
          <w:sz w:val="20"/>
          <w:szCs w:val="20"/>
        </w:rPr>
        <w:t>).</w:t>
      </w:r>
    </w:p>
    <w:p w:rsidR="00AD77BB" w:rsidRDefault="00B45BA0">
      <w:pPr>
        <w:numPr>
          <w:ilvl w:val="0"/>
          <w:numId w:val="307"/>
        </w:numPr>
        <w:shd w:val="clear" w:color="auto" w:fill="E3EFF7"/>
        <w:spacing w:after="0" w:line="366" w:lineRule="atLeast"/>
        <w:ind w:lef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value of the chi-square test statistic </w:t>
      </w:r>
      <w:r>
        <w:rPr>
          <w:rFonts w:ascii="MathJax_Math" w:eastAsia="Times New Roman" w:hAnsi="MathJax_Math" w:cs="Times New Roman"/>
          <w:i/>
          <w:iCs/>
          <w:color w:val="333333"/>
          <w:sz w:val="17"/>
          <w:szCs w:val="17"/>
        </w:rPr>
        <w:t>χ</w:t>
      </w:r>
      <w:r>
        <w:rPr>
          <w:rFonts w:ascii="MathJax_Main" w:eastAsia="Times New Roman" w:hAnsi="MathJax_Main" w:cs="Times New Roman"/>
          <w:color w:val="333333"/>
          <w:sz w:val="12"/>
          <w:szCs w:val="12"/>
        </w:rPr>
        <w:t>2</w:t>
      </w:r>
      <w:r>
        <w:rPr>
          <w:rFonts w:ascii="MathJax_Main" w:eastAsia="Times New Roman" w:hAnsi="MathJax_Main" w:cs="Times New Roman"/>
          <w:color w:val="333333"/>
          <w:sz w:val="17"/>
          <w:szCs w:val="17"/>
        </w:rPr>
        <w:t>.</w:t>
      </w:r>
    </w:p>
    <w:p w:rsidR="00AD77BB" w:rsidRDefault="00B45BA0">
      <w:pPr>
        <w:numPr>
          <w:ilvl w:val="0"/>
          <w:numId w:val="307"/>
        </w:numPr>
        <w:shd w:val="clear" w:color="auto" w:fill="E3EFF7"/>
        <w:spacing w:after="0" w:line="366" w:lineRule="atLeast"/>
        <w:ind w:left="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number of degrees of freedom of the chi-square test statistic.</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APPLICATIONS</w:t>
      </w:r>
    </w:p>
    <w:p w:rsidR="00AD77BB" w:rsidRDefault="00B45BA0">
      <w:pPr>
        <w:numPr>
          <w:ilvl w:val="0"/>
          <w:numId w:val="308"/>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child psychologist believes that children perform better on tests when they are given perceived freedom of choice. To test this belief, the psychologist carried out an experiment in which 200 third graders were randomly assigned to two groups,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Each child was given the same simple logic test. However in group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each child was given the freedom to choose a text booklet from many with various drawings on the covers. The performance of each child was rated as Very Good, Good, and Fair. The results are summarized in the table provided. Test, at the 5% level of significance, whether there is sufficient evidence in the data to support the psychologist’s belief.</w:t>
      </w:r>
    </w:p>
    <w:tbl>
      <w:tblPr>
        <w:tblW w:w="0" w:type="auto"/>
        <w:tblInd w:w="450" w:type="dxa"/>
        <w:tblCellMar>
          <w:left w:w="0" w:type="dxa"/>
          <w:right w:w="0" w:type="dxa"/>
        </w:tblCellMar>
        <w:tblLook w:val="04A0" w:firstRow="1" w:lastRow="0" w:firstColumn="1" w:lastColumn="0" w:noHBand="0" w:noVBand="1"/>
      </w:tblPr>
      <w:tblGrid>
        <w:gridCol w:w="1377"/>
        <w:gridCol w:w="1224"/>
        <w:gridCol w:w="416"/>
        <w:gridCol w:w="416"/>
        <w:gridCol w:w="156"/>
      </w:tblGrid>
      <w:tr w:rsidR="00AD77BB">
        <w:trPr>
          <w:gridAfter w:val="1"/>
          <w:tblHeader/>
        </w:trPr>
        <w:tc>
          <w:tcPr>
            <w:tcW w:w="0" w:type="auto"/>
            <w:gridSpan w:val="2"/>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 </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Group</w:t>
            </w:r>
          </w:p>
        </w:tc>
      </w:tr>
      <w:tr w:rsidR="00AD77BB">
        <w:trPr>
          <w:tblHeader/>
        </w:trPr>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B</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spacing w:after="0"/>
              <w:rPr>
                <w:rFonts w:cs="Times New Roman"/>
              </w:rPr>
            </w:pPr>
          </w:p>
        </w:tc>
      </w:tr>
      <w:tr w:rsidR="00AD77BB">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Performance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Very Good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0" w:type="auto"/>
            <w:vAlign w:val="bottom"/>
            <w:hideMark/>
          </w:tcPr>
          <w:p w:rsidR="00AD77BB" w:rsidRDefault="00AD77BB">
            <w:pPr>
              <w:spacing w:after="0"/>
              <w:rPr>
                <w:rFonts w:cs="Times New Roman"/>
              </w:rPr>
            </w:pPr>
          </w:p>
        </w:tc>
      </w:tr>
      <w:tr w:rsidR="00AD77BB">
        <w:tc>
          <w:tcPr>
            <w:tcW w:w="0" w:type="auto"/>
            <w:vMerge/>
            <w:tcBorders>
              <w:top w:val="single" w:sz="6" w:space="0" w:color="auto"/>
              <w:left w:val="single" w:sz="6" w:space="0" w:color="auto"/>
              <w:bottom w:val="single" w:sz="6" w:space="0" w:color="auto"/>
              <w:right w:val="single" w:sz="6" w:space="0" w:color="auto"/>
            </w:tcBorders>
            <w:vAlign w:val="center"/>
            <w:hideMark/>
          </w:tcPr>
          <w:p w:rsidR="00AD77BB" w:rsidRDefault="00AD77BB">
            <w:pPr>
              <w:spacing w:after="0" w:line="240" w:lineRule="auto"/>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Good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61</w:t>
            </w:r>
          </w:p>
        </w:tc>
        <w:tc>
          <w:tcPr>
            <w:tcW w:w="0" w:type="auto"/>
            <w:vAlign w:val="bottom"/>
            <w:hideMark/>
          </w:tcPr>
          <w:p w:rsidR="00AD77BB" w:rsidRDefault="00AD77BB">
            <w:pPr>
              <w:spacing w:after="0"/>
              <w:rPr>
                <w:rFonts w:cs="Times New Roman"/>
              </w:rPr>
            </w:pPr>
          </w:p>
        </w:tc>
      </w:tr>
      <w:tr w:rsidR="00AD77BB">
        <w:tc>
          <w:tcPr>
            <w:tcW w:w="0" w:type="auto"/>
            <w:vMerge/>
            <w:tcBorders>
              <w:top w:val="single" w:sz="6" w:space="0" w:color="auto"/>
              <w:left w:val="single" w:sz="6" w:space="0" w:color="auto"/>
              <w:bottom w:val="single" w:sz="6" w:space="0" w:color="auto"/>
              <w:right w:val="single" w:sz="6" w:space="0" w:color="auto"/>
            </w:tcBorders>
            <w:vAlign w:val="center"/>
            <w:hideMark/>
          </w:tcPr>
          <w:p w:rsidR="00AD77BB" w:rsidRDefault="00AD77BB">
            <w:pPr>
              <w:spacing w:after="0" w:line="240" w:lineRule="auto"/>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Fair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0" w:type="auto"/>
            <w:vAlign w:val="bottom"/>
            <w:hideMark/>
          </w:tcPr>
          <w:p w:rsidR="00AD77BB" w:rsidRDefault="00AD77BB">
            <w:pPr>
              <w:spacing w:after="0"/>
              <w:rPr>
                <w:rFonts w:cs="Times New Roman"/>
              </w:rPr>
            </w:pPr>
          </w:p>
        </w:tc>
      </w:tr>
    </w:tbl>
    <w:p w:rsidR="00AD77BB" w:rsidRDefault="00B45BA0">
      <w:pPr>
        <w:numPr>
          <w:ilvl w:val="0"/>
          <w:numId w:val="308"/>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regard to wine tasting competitions, many experts claim that the first glass of wine served sets a reference taste and that a different reference wine may alter the relative ranking of the other wines in competition. To test this claim, three wines,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C</w:t>
      </w:r>
      <w:r>
        <w:rPr>
          <w:rFonts w:ascii="Calibri" w:eastAsia="Times New Roman" w:hAnsi="Calibri" w:cs="Times New Roman"/>
          <w:color w:val="333333"/>
          <w:sz w:val="20"/>
          <w:szCs w:val="20"/>
        </w:rPr>
        <w:t>, were served at a wine tasting event. Each person was served a single glass of each wine, but in different orders for different guests. At the close, each person was asked to name the best of the three. One hundred seventy-two people were at the event and their top picks are given in the table provided. Test, at the 1% level of significance, whether there is sufficient evidence in the data to support the claim that wine experts’ preference is dependent on the first served wine.</w:t>
      </w:r>
    </w:p>
    <w:tbl>
      <w:tblPr>
        <w:tblW w:w="0" w:type="auto"/>
        <w:tblInd w:w="450" w:type="dxa"/>
        <w:tblCellMar>
          <w:left w:w="0" w:type="dxa"/>
          <w:right w:w="0" w:type="dxa"/>
        </w:tblCellMar>
        <w:tblLook w:val="04A0" w:firstRow="1" w:lastRow="0" w:firstColumn="1" w:lastColumn="0" w:noHBand="0" w:noVBand="1"/>
      </w:tblPr>
      <w:tblGrid>
        <w:gridCol w:w="1184"/>
        <w:gridCol w:w="311"/>
        <w:gridCol w:w="390"/>
        <w:gridCol w:w="390"/>
        <w:gridCol w:w="390"/>
        <w:gridCol w:w="156"/>
      </w:tblGrid>
      <w:tr w:rsidR="00AD77BB">
        <w:trPr>
          <w:gridAfter w:val="1"/>
          <w:tblHeader/>
        </w:trPr>
        <w:tc>
          <w:tcPr>
            <w:tcW w:w="0" w:type="auto"/>
            <w:gridSpan w:val="2"/>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 </w:t>
            </w: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Top Pick</w:t>
            </w:r>
          </w:p>
        </w:tc>
      </w:tr>
      <w:tr w:rsidR="00AD77BB">
        <w:trPr>
          <w:tblHeader/>
        </w:trPr>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B</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i/>
                <w:iCs/>
                <w:color w:val="F48800"/>
                <w:sz w:val="24"/>
                <w:szCs w:val="24"/>
              </w:rPr>
              <w:t>C</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spacing w:after="0"/>
              <w:rPr>
                <w:rFonts w:cs="Times New Roman"/>
              </w:rPr>
            </w:pPr>
          </w:p>
        </w:tc>
      </w:tr>
      <w:tr w:rsidR="00AD77BB">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First Glass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i/>
                <w:iCs/>
                <w:sz w:val="24"/>
                <w:szCs w:val="24"/>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0" w:type="auto"/>
            <w:vAlign w:val="bottom"/>
            <w:hideMark/>
          </w:tcPr>
          <w:p w:rsidR="00AD77BB" w:rsidRDefault="00AD77BB">
            <w:pPr>
              <w:spacing w:after="0"/>
              <w:rPr>
                <w:rFonts w:cs="Times New Roman"/>
              </w:rPr>
            </w:pPr>
          </w:p>
        </w:tc>
      </w:tr>
      <w:tr w:rsidR="00AD77BB">
        <w:tc>
          <w:tcPr>
            <w:tcW w:w="0" w:type="auto"/>
            <w:vMerge/>
            <w:tcBorders>
              <w:top w:val="single" w:sz="6" w:space="0" w:color="auto"/>
              <w:left w:val="single" w:sz="6" w:space="0" w:color="auto"/>
              <w:bottom w:val="single" w:sz="6" w:space="0" w:color="auto"/>
              <w:right w:val="single" w:sz="6" w:space="0" w:color="auto"/>
            </w:tcBorders>
            <w:vAlign w:val="center"/>
            <w:hideMark/>
          </w:tcPr>
          <w:p w:rsidR="00AD77BB" w:rsidRDefault="00AD77BB">
            <w:pPr>
              <w:spacing w:after="0" w:line="240" w:lineRule="auto"/>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i/>
                <w:iCs/>
                <w:sz w:val="24"/>
                <w:szCs w:val="24"/>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0" w:type="auto"/>
            <w:vAlign w:val="bottom"/>
            <w:hideMark/>
          </w:tcPr>
          <w:p w:rsidR="00AD77BB" w:rsidRDefault="00AD77BB">
            <w:pPr>
              <w:spacing w:after="0"/>
              <w:rPr>
                <w:rFonts w:cs="Times New Roman"/>
              </w:rPr>
            </w:pPr>
          </w:p>
        </w:tc>
      </w:tr>
      <w:tr w:rsidR="00AD77BB">
        <w:tc>
          <w:tcPr>
            <w:tcW w:w="0" w:type="auto"/>
            <w:vMerge/>
            <w:tcBorders>
              <w:top w:val="single" w:sz="6" w:space="0" w:color="auto"/>
              <w:left w:val="single" w:sz="6" w:space="0" w:color="auto"/>
              <w:bottom w:val="single" w:sz="6" w:space="0" w:color="auto"/>
              <w:right w:val="single" w:sz="6" w:space="0" w:color="auto"/>
            </w:tcBorders>
            <w:vAlign w:val="center"/>
            <w:hideMark/>
          </w:tcPr>
          <w:p w:rsidR="00AD77BB" w:rsidRDefault="00AD77BB">
            <w:pPr>
              <w:spacing w:after="0" w:line="240" w:lineRule="auto"/>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i/>
                <w:iCs/>
                <w:sz w:val="24"/>
                <w:szCs w:val="24"/>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vAlign w:val="bottom"/>
            <w:hideMark/>
          </w:tcPr>
          <w:p w:rsidR="00AD77BB" w:rsidRDefault="00AD77BB">
            <w:pPr>
              <w:spacing w:after="0"/>
              <w:rPr>
                <w:rFonts w:cs="Times New Roman"/>
              </w:rPr>
            </w:pPr>
          </w:p>
        </w:tc>
      </w:tr>
    </w:tbl>
    <w:p w:rsidR="00AD77BB" w:rsidRDefault="00B45BA0">
      <w:pPr>
        <w:numPr>
          <w:ilvl w:val="0"/>
          <w:numId w:val="308"/>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Is being left-handed hereditary? To answer this question, 250 adults are randomly selected and their handedness and their parents’ handedness are noted. The results are summarized in the table provided. Test, at the 1% level of significance, whether there is sufficient evidence in the data to conclude that there is a hereditary element in handedness.</w:t>
      </w:r>
    </w:p>
    <w:tbl>
      <w:tblPr>
        <w:tblW w:w="0" w:type="auto"/>
        <w:tblInd w:w="450" w:type="dxa"/>
        <w:tblCellMar>
          <w:left w:w="0" w:type="dxa"/>
          <w:right w:w="0" w:type="dxa"/>
        </w:tblCellMar>
        <w:tblLook w:val="04A0" w:firstRow="1" w:lastRow="0" w:firstColumn="1" w:lastColumn="0" w:noHBand="0" w:noVBand="1"/>
      </w:tblPr>
      <w:tblGrid>
        <w:gridCol w:w="1310"/>
        <w:gridCol w:w="684"/>
        <w:gridCol w:w="1380"/>
        <w:gridCol w:w="1055"/>
        <w:gridCol w:w="1055"/>
        <w:gridCol w:w="156"/>
      </w:tblGrid>
      <w:tr w:rsidR="00AD77BB">
        <w:trPr>
          <w:gridAfter w:val="1"/>
          <w:tblHeader/>
        </w:trPr>
        <w:tc>
          <w:tcPr>
            <w:tcW w:w="0" w:type="auto"/>
            <w:gridSpan w:val="2"/>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 </w:t>
            </w: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Number of Parents Left-Handed</w:t>
            </w:r>
          </w:p>
        </w:tc>
      </w:tr>
      <w:tr w:rsidR="00AD77BB">
        <w:trPr>
          <w:tblHeader/>
        </w:trPr>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spacing w:after="0"/>
              <w:rPr>
                <w:rFonts w:cs="Times New Roman"/>
              </w:rPr>
            </w:pPr>
          </w:p>
        </w:tc>
      </w:tr>
      <w:tr w:rsidR="00AD77BB">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Handedness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Left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0" w:type="auto"/>
            <w:vAlign w:val="bottom"/>
            <w:hideMark/>
          </w:tcPr>
          <w:p w:rsidR="00AD77BB" w:rsidRDefault="00AD77BB">
            <w:pPr>
              <w:spacing w:after="0"/>
              <w:rPr>
                <w:rFonts w:cs="Times New Roman"/>
              </w:rPr>
            </w:pPr>
          </w:p>
        </w:tc>
      </w:tr>
      <w:tr w:rsidR="00AD77BB">
        <w:tc>
          <w:tcPr>
            <w:tcW w:w="0" w:type="auto"/>
            <w:vMerge/>
            <w:tcBorders>
              <w:top w:val="single" w:sz="6" w:space="0" w:color="auto"/>
              <w:left w:val="single" w:sz="6" w:space="0" w:color="auto"/>
              <w:bottom w:val="single" w:sz="6" w:space="0" w:color="auto"/>
              <w:right w:val="single" w:sz="6" w:space="0" w:color="auto"/>
            </w:tcBorders>
            <w:vAlign w:val="center"/>
            <w:hideMark/>
          </w:tcPr>
          <w:p w:rsidR="00AD77BB" w:rsidRDefault="00AD77BB">
            <w:pPr>
              <w:spacing w:after="0" w:line="240" w:lineRule="auto"/>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Right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0" w:type="auto"/>
            <w:vAlign w:val="bottom"/>
            <w:hideMark/>
          </w:tcPr>
          <w:p w:rsidR="00AD77BB" w:rsidRDefault="00AD77BB">
            <w:pPr>
              <w:spacing w:after="0"/>
              <w:rPr>
                <w:rFonts w:cs="Times New Roman"/>
              </w:rPr>
            </w:pPr>
          </w:p>
        </w:tc>
      </w:tr>
    </w:tbl>
    <w:p w:rsidR="00AD77BB" w:rsidRDefault="00B45BA0">
      <w:pPr>
        <w:numPr>
          <w:ilvl w:val="0"/>
          <w:numId w:val="308"/>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Some geneticists claim that the genes that determine left-handedness also govern development of the language centers of the brain. If this claim is true, then it would be reasonable to expect that left-handed people tend to have stronger language abilities. A study designed to text this claim randomly selected 807 students who took the Graduate Record Examination (GRE). Their scores on the language portion of the examination were classified into three categories: </w:t>
      </w:r>
      <w:r>
        <w:rPr>
          <w:rFonts w:ascii="Calibri" w:eastAsia="Times New Roman" w:hAnsi="Calibri" w:cs="Times New Roman"/>
          <w:i/>
          <w:iCs/>
          <w:color w:val="333333"/>
          <w:sz w:val="20"/>
          <w:szCs w:val="20"/>
        </w:rPr>
        <w:t>low</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average</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high</w:t>
      </w:r>
      <w:r>
        <w:rPr>
          <w:rFonts w:ascii="Calibri" w:eastAsia="Times New Roman" w:hAnsi="Calibri" w:cs="Times New Roman"/>
          <w:color w:val="333333"/>
          <w:sz w:val="20"/>
          <w:szCs w:val="20"/>
        </w:rPr>
        <w:t>, and their handedness was also noted. The results are given in the table provided. Test, at the 5% level of significance, whether there is sufficient evidence in the data to conclude that left-handed people tend to have stronger language abilities.</w:t>
      </w:r>
    </w:p>
    <w:tbl>
      <w:tblPr>
        <w:tblW w:w="0" w:type="auto"/>
        <w:tblInd w:w="450" w:type="dxa"/>
        <w:tblCellMar>
          <w:left w:w="0" w:type="dxa"/>
          <w:right w:w="0" w:type="dxa"/>
        </w:tblCellMar>
        <w:tblLook w:val="04A0" w:firstRow="1" w:lastRow="0" w:firstColumn="1" w:lastColumn="0" w:noHBand="0" w:noVBand="1"/>
      </w:tblPr>
      <w:tblGrid>
        <w:gridCol w:w="1310"/>
        <w:gridCol w:w="684"/>
        <w:gridCol w:w="604"/>
        <w:gridCol w:w="1003"/>
        <w:gridCol w:w="657"/>
        <w:gridCol w:w="156"/>
      </w:tblGrid>
      <w:tr w:rsidR="00AD77BB">
        <w:trPr>
          <w:gridAfter w:val="1"/>
          <w:tblHeader/>
        </w:trPr>
        <w:tc>
          <w:tcPr>
            <w:tcW w:w="0" w:type="auto"/>
            <w:gridSpan w:val="2"/>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 </w:t>
            </w: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GRE English Scores</w:t>
            </w:r>
          </w:p>
        </w:tc>
      </w:tr>
      <w:tr w:rsidR="00AD77BB">
        <w:trPr>
          <w:tblHeader/>
        </w:trPr>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Low</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Average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High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spacing w:after="0"/>
              <w:rPr>
                <w:rFonts w:cs="Times New Roman"/>
              </w:rPr>
            </w:pPr>
          </w:p>
        </w:tc>
      </w:tr>
      <w:tr w:rsidR="00AD77BB">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Handedness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Left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0" w:type="auto"/>
            <w:vAlign w:val="bottom"/>
            <w:hideMark/>
          </w:tcPr>
          <w:p w:rsidR="00AD77BB" w:rsidRDefault="00AD77BB">
            <w:pPr>
              <w:spacing w:after="0"/>
              <w:rPr>
                <w:rFonts w:cs="Times New Roman"/>
              </w:rPr>
            </w:pPr>
          </w:p>
        </w:tc>
      </w:tr>
      <w:tr w:rsidR="00AD77BB">
        <w:tc>
          <w:tcPr>
            <w:tcW w:w="0" w:type="auto"/>
            <w:vMerge/>
            <w:tcBorders>
              <w:top w:val="single" w:sz="6" w:space="0" w:color="auto"/>
              <w:left w:val="single" w:sz="6" w:space="0" w:color="auto"/>
              <w:bottom w:val="single" w:sz="6" w:space="0" w:color="auto"/>
              <w:right w:val="single" w:sz="6" w:space="0" w:color="auto"/>
            </w:tcBorders>
            <w:vAlign w:val="center"/>
            <w:hideMark/>
          </w:tcPr>
          <w:p w:rsidR="00AD77BB" w:rsidRDefault="00AD77BB">
            <w:pPr>
              <w:spacing w:after="0" w:line="240" w:lineRule="auto"/>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Right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166</w:t>
            </w:r>
          </w:p>
        </w:tc>
        <w:tc>
          <w:tcPr>
            <w:tcW w:w="0" w:type="auto"/>
            <w:vAlign w:val="bottom"/>
            <w:hideMark/>
          </w:tcPr>
          <w:p w:rsidR="00AD77BB" w:rsidRDefault="00AD77BB">
            <w:pPr>
              <w:spacing w:after="0"/>
              <w:rPr>
                <w:rFonts w:cs="Times New Roman"/>
              </w:rPr>
            </w:pPr>
          </w:p>
        </w:tc>
      </w:tr>
    </w:tbl>
    <w:p w:rsidR="00AD77BB" w:rsidRDefault="00B45BA0">
      <w:pPr>
        <w:numPr>
          <w:ilvl w:val="0"/>
          <w:numId w:val="308"/>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It is generally believed that children brought up in stable families tend to do well in school. To verify such a belief, a social scientist examined 290 randomly selected students’ records in a public high school and noted each student’s family structure and academic status four years after entering high school. The data were then sorted into a 2 × 3 contingency table with two factors. Factor 1 has two levels: </w:t>
      </w:r>
      <w:r>
        <w:rPr>
          <w:rFonts w:ascii="Calibri" w:eastAsia="Times New Roman" w:hAnsi="Calibri" w:cs="Times New Roman"/>
          <w:i/>
          <w:iCs/>
          <w:color w:val="333333"/>
          <w:sz w:val="20"/>
          <w:szCs w:val="20"/>
        </w:rPr>
        <w:t>graduated</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did not graduate</w:t>
      </w:r>
      <w:r>
        <w:rPr>
          <w:rFonts w:ascii="Calibri" w:eastAsia="Times New Roman" w:hAnsi="Calibri" w:cs="Times New Roman"/>
          <w:color w:val="333333"/>
          <w:sz w:val="20"/>
          <w:szCs w:val="20"/>
        </w:rPr>
        <w:t>. Factor 2 has three levels: </w:t>
      </w:r>
      <w:r>
        <w:rPr>
          <w:rFonts w:ascii="Calibri" w:eastAsia="Times New Roman" w:hAnsi="Calibri" w:cs="Times New Roman"/>
          <w:i/>
          <w:iCs/>
          <w:color w:val="333333"/>
          <w:sz w:val="20"/>
          <w:szCs w:val="20"/>
        </w:rPr>
        <w:t>no parent</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one parent</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two parents</w:t>
      </w:r>
      <w:r>
        <w:rPr>
          <w:rFonts w:ascii="Calibri" w:eastAsia="Times New Roman" w:hAnsi="Calibri" w:cs="Times New Roman"/>
          <w:color w:val="333333"/>
          <w:sz w:val="20"/>
          <w:szCs w:val="20"/>
        </w:rPr>
        <w:t>. The results are given in the table provided. Test, at the 1% level of significance, whether there is sufficient evidence in the data to conclude that family structure matters in school performance of the students.</w:t>
      </w:r>
    </w:p>
    <w:tbl>
      <w:tblPr>
        <w:tblW w:w="0" w:type="auto"/>
        <w:tblInd w:w="450" w:type="dxa"/>
        <w:tblCellMar>
          <w:left w:w="0" w:type="dxa"/>
          <w:right w:w="0" w:type="dxa"/>
        </w:tblCellMar>
        <w:tblLook w:val="04A0" w:firstRow="1" w:lastRow="0" w:firstColumn="1" w:lastColumn="0" w:noHBand="0" w:noVBand="1"/>
      </w:tblPr>
      <w:tblGrid>
        <w:gridCol w:w="831"/>
        <w:gridCol w:w="1343"/>
        <w:gridCol w:w="1271"/>
        <w:gridCol w:w="2004"/>
        <w:gridCol w:w="156"/>
      </w:tblGrid>
      <w:tr w:rsidR="00AD77BB">
        <w:trPr>
          <w:gridAfter w:val="1"/>
          <w:tblHeader/>
        </w:trPr>
        <w:tc>
          <w:tcPr>
            <w:tcW w:w="0" w:type="auto"/>
            <w:gridSpan w:val="2"/>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 </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Academic Status</w:t>
            </w:r>
          </w:p>
        </w:tc>
      </w:tr>
      <w:tr w:rsidR="00AD77BB">
        <w:trPr>
          <w:tblHeader/>
        </w:trPr>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Graduated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Did Not Graduate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spacing w:after="0"/>
              <w:rPr>
                <w:rFonts w:cs="Times New Roman"/>
              </w:rPr>
            </w:pPr>
          </w:p>
        </w:tc>
      </w:tr>
      <w:tr w:rsidR="00AD77BB">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Family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 parent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0" w:type="auto"/>
            <w:vAlign w:val="bottom"/>
            <w:hideMark/>
          </w:tcPr>
          <w:p w:rsidR="00AD77BB" w:rsidRDefault="00AD77BB">
            <w:pPr>
              <w:spacing w:after="0"/>
              <w:rPr>
                <w:rFonts w:cs="Times New Roman"/>
              </w:rPr>
            </w:pPr>
          </w:p>
        </w:tc>
      </w:tr>
      <w:tr w:rsidR="00AD77BB">
        <w:tc>
          <w:tcPr>
            <w:tcW w:w="0" w:type="auto"/>
            <w:vMerge/>
            <w:tcBorders>
              <w:top w:val="single" w:sz="6" w:space="0" w:color="auto"/>
              <w:left w:val="single" w:sz="6" w:space="0" w:color="auto"/>
              <w:bottom w:val="single" w:sz="6" w:space="0" w:color="auto"/>
              <w:right w:val="single" w:sz="6" w:space="0" w:color="auto"/>
            </w:tcBorders>
            <w:vAlign w:val="center"/>
            <w:hideMark/>
          </w:tcPr>
          <w:p w:rsidR="00AD77BB" w:rsidRDefault="00AD77BB">
            <w:pPr>
              <w:spacing w:after="0" w:line="240" w:lineRule="auto"/>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One parent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c>
          <w:tcPr>
            <w:tcW w:w="0" w:type="auto"/>
            <w:vAlign w:val="bottom"/>
            <w:hideMark/>
          </w:tcPr>
          <w:p w:rsidR="00AD77BB" w:rsidRDefault="00AD77BB">
            <w:pPr>
              <w:spacing w:after="0"/>
              <w:rPr>
                <w:rFonts w:cs="Times New Roman"/>
              </w:rPr>
            </w:pPr>
          </w:p>
        </w:tc>
      </w:tr>
      <w:tr w:rsidR="00AD77BB">
        <w:tc>
          <w:tcPr>
            <w:tcW w:w="0" w:type="auto"/>
            <w:vMerge/>
            <w:tcBorders>
              <w:top w:val="single" w:sz="6" w:space="0" w:color="auto"/>
              <w:left w:val="single" w:sz="6" w:space="0" w:color="auto"/>
              <w:bottom w:val="single" w:sz="6" w:space="0" w:color="auto"/>
              <w:right w:val="single" w:sz="6" w:space="0" w:color="auto"/>
            </w:tcBorders>
            <w:vAlign w:val="center"/>
            <w:hideMark/>
          </w:tcPr>
          <w:p w:rsidR="00AD77BB" w:rsidRDefault="00AD77BB">
            <w:pPr>
              <w:spacing w:after="0" w:line="240" w:lineRule="auto"/>
              <w:rPr>
                <w:rFonts w:ascii="Times New Roman" w:eastAsia="Times New Roman" w:hAnsi="Times New Roman" w:cs="Times New Roman"/>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Two parents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0" w:type="auto"/>
            <w:vAlign w:val="bottom"/>
            <w:hideMark/>
          </w:tcPr>
          <w:p w:rsidR="00AD77BB" w:rsidRDefault="00AD77BB">
            <w:pPr>
              <w:spacing w:after="0"/>
              <w:rPr>
                <w:rFonts w:cs="Times New Roman"/>
              </w:rPr>
            </w:pPr>
          </w:p>
        </w:tc>
      </w:tr>
    </w:tbl>
    <w:p w:rsidR="00AD77BB" w:rsidRDefault="00B45BA0">
      <w:pPr>
        <w:numPr>
          <w:ilvl w:val="0"/>
          <w:numId w:val="308"/>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large middle school administrator wishes to use celebrity influence to encourage students to make healthier choices in the school cafeteria. The cafeteria is situated at the center of an open space. Everyday at lunch time students get their lunch and a drink in three separate lines leading to three separate serving stations. As an experiment, the school administrator displayed a poster of a popular teen pop star drinking milk at each of the three areas where drinks are provided, except the milk in the poster is different at each location: one shows white milk, one shows strawberry-flavored pink milk, and one shows chocolate milk. After the first day of the experiment the administrator noted the students’ milk choices separately for the three lines. The data are given in the table provided. Test, at the 1% level of significance, whether there is sufficient evidence in the data to conclude that the posters had some impact on the students’ drink choices.</w:t>
      </w:r>
    </w:p>
    <w:tbl>
      <w:tblPr>
        <w:tblW w:w="0" w:type="auto"/>
        <w:tblInd w:w="450" w:type="dxa"/>
        <w:tblCellMar>
          <w:left w:w="0" w:type="dxa"/>
          <w:right w:w="0" w:type="dxa"/>
        </w:tblCellMar>
        <w:tblLook w:val="04A0" w:firstRow="1" w:lastRow="0" w:firstColumn="1" w:lastColumn="0" w:noHBand="0" w:noVBand="1"/>
      </w:tblPr>
      <w:tblGrid>
        <w:gridCol w:w="1217"/>
        <w:gridCol w:w="977"/>
        <w:gridCol w:w="1337"/>
        <w:gridCol w:w="1177"/>
      </w:tblGrid>
      <w:tr w:rsidR="00AD77BB">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AD77BB">
            <w:pPr>
              <w:rPr>
                <w:rFonts w:cs="Times New Roman"/>
              </w:rPr>
            </w:pP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Student Choice</w:t>
            </w:r>
          </w:p>
        </w:tc>
      </w:tr>
      <w:tr w:rsidR="00AD77BB">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cs="Times New Roman"/>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Regular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Strawberry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Chocolate</w:t>
            </w:r>
          </w:p>
        </w:tc>
      </w:tr>
      <w:tr w:rsidR="00AD77BB">
        <w:tc>
          <w:tcPr>
            <w:tcW w:w="0" w:type="auto"/>
            <w:gridSpan w:val="4"/>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Poster Choice</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Regular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Strawberry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Chocolate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w:t>
            </w:r>
          </w:p>
        </w:tc>
      </w:tr>
    </w:tbl>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LARGE DATA SET EXERCISE</w:t>
      </w:r>
    </w:p>
    <w:p w:rsidR="00AD77BB" w:rsidRDefault="00B45BA0">
      <w:pPr>
        <w:pStyle w:val="para"/>
        <w:numPr>
          <w:ilvl w:val="0"/>
          <w:numId w:val="309"/>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Large Data Set 8 records the result of a survey of 300 randomly selected adults who go to movie theaters regularly. For each person the gender and preferred type of movie were recorded. Test, at the 5% level of significance, whether there is sufficient evidence in the data to conclude that the factors “gender” and “preferred type of movie” are dependent.</w:t>
      </w:r>
    </w:p>
    <w:p w:rsidR="00AD77BB" w:rsidRDefault="00AD77BB">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p>
    <w:p w:rsidR="00AD77BB" w:rsidRDefault="00B45BA0">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2689C6"/>
          <w:sz w:val="20"/>
          <w:szCs w:val="20"/>
        </w:rPr>
        <w:t>http://www.8.xls</w:t>
      </w:r>
    </w:p>
    <w:p w:rsidR="00AD77BB" w:rsidRDefault="00B45BA0">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31356F31" wp14:editId="69F76D69">
            <wp:extent cx="4448175" cy="4924425"/>
            <wp:effectExtent l="0" t="0" r="9525" b="9525"/>
            <wp:docPr id="443"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4448175" cy="4924425"/>
                    </a:xfrm>
                    <a:prstGeom prst="rect">
                      <a:avLst/>
                    </a:prstGeom>
                    <a:noFill/>
                    <a:ln>
                      <a:noFill/>
                    </a:ln>
                  </pic:spPr>
                </pic:pic>
              </a:graphicData>
            </a:graphic>
          </wp:inline>
        </w:drawing>
      </w:r>
    </w:p>
    <w:p w:rsidR="00AD77BB" w:rsidRDefault="00AD77BB">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rsidR="00AD77BB" w:rsidRDefault="00AD77BB">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rsidR="00AD77BB" w:rsidRDefault="00AD77BB">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rsidR="00AD77BB" w:rsidRDefault="00AD77BB">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rsidR="00AD77BB" w:rsidRDefault="00AD77BB">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rsidR="00AD77BB" w:rsidRDefault="00AD77BB">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rsidR="00AD77BB" w:rsidRDefault="00AD77BB">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rsidR="00AD77BB" w:rsidRDefault="00AD77BB">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rsidR="00AD77BB" w:rsidRDefault="00AD77BB">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rsidR="00AD77BB" w:rsidRDefault="00AD77BB">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rsidR="00AD77BB" w:rsidRDefault="00AD77BB">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rsidR="00AD77BB" w:rsidRDefault="00B45B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3"/>
          <w:szCs w:val="33"/>
        </w:rPr>
        <w:lastRenderedPageBreak/>
        <w:t>11.2</w:t>
      </w:r>
      <w:r>
        <w:rPr>
          <w:rStyle w:val="apple-converted-space"/>
          <w:rFonts w:ascii="Calibri" w:hAnsi="Calibri"/>
          <w:color w:val="333333"/>
        </w:rPr>
        <w:t> </w:t>
      </w:r>
      <w:r>
        <w:rPr>
          <w:rFonts w:ascii="Calibri" w:hAnsi="Calibri"/>
          <w:color w:val="333333"/>
        </w:rPr>
        <w:t>Chi-Square One-Sample Goodness-of-Fit Tests</w:t>
      </w:r>
    </w:p>
    <w:p w:rsidR="00AD77BB" w:rsidRDefault="00AD77BB"/>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AD77BB" w:rsidRDefault="00B45BA0">
      <w:pPr>
        <w:numPr>
          <w:ilvl w:val="0"/>
          <w:numId w:val="310"/>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To understand how to use a chi-square test to judge whether a sample fits a particular population well.</w:t>
      </w:r>
    </w:p>
    <w:p w:rsidR="00AD77BB" w:rsidRDefault="00AD77BB">
      <w:pPr>
        <w:pStyle w:val="para"/>
        <w:shd w:val="clear" w:color="auto" w:fill="FFFFFF"/>
        <w:spacing w:before="0" w:beforeAutospacing="0" w:after="0" w:afterAutospacing="0"/>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Suppose we wish to determine if an ordinary-looking six-sided die is fair, or balanced, meaning that every face has probability 1/6 of landing on top when the die is tossed. We could toss the die dozens, maybe hundreds, of times and compare the actual number of times each face landed on top to the expected number, which would be 1/6 of the total number of tosses. We wouldn’t expect each number to be exactly 1/6 of the total, but it should be close. To be specific, suppose the die is tossed</w:t>
      </w:r>
      <w:r>
        <w:rPr>
          <w:rStyle w:val="apple-converted-space"/>
          <w:rFonts w:ascii="Georgia" w:hAnsi="Georgia"/>
          <w:color w:val="333333"/>
          <w:sz w:val="21"/>
          <w:szCs w:val="21"/>
        </w:rPr>
        <w:t> </w:t>
      </w:r>
      <w:r>
        <w:rPr>
          <w:rStyle w:val="Emphasis"/>
          <w:rFonts w:ascii="Georgia" w:hAnsi="Georgia"/>
          <w:color w:val="333333"/>
          <w:sz w:val="20"/>
          <w:szCs w:val="20"/>
        </w:rPr>
        <w:t>n</w:t>
      </w:r>
      <w:r>
        <w:rPr>
          <w:rStyle w:val="apple-converted-space"/>
          <w:rFonts w:ascii="Georgia" w:hAnsi="Georgia"/>
          <w:color w:val="333333"/>
          <w:sz w:val="21"/>
          <w:szCs w:val="21"/>
        </w:rPr>
        <w:t> </w:t>
      </w:r>
      <w:r>
        <w:rPr>
          <w:rFonts w:ascii="Georgia" w:hAnsi="Georgia"/>
          <w:color w:val="333333"/>
          <w:sz w:val="21"/>
          <w:szCs w:val="21"/>
        </w:rPr>
        <w:t>= 60 times with the results summarized in</w:t>
      </w:r>
      <w:r>
        <w:rPr>
          <w:rStyle w:val="apple-converted-space"/>
          <w:rFonts w:ascii="Georgia" w:hAnsi="Georgia"/>
          <w:color w:val="333333"/>
          <w:sz w:val="21"/>
          <w:szCs w:val="21"/>
        </w:rPr>
        <w:t> </w:t>
      </w:r>
      <w:r>
        <w:rPr>
          <w:rFonts w:ascii="Georgia" w:eastAsiaTheme="majorEastAsia" w:hAnsi="Georgia"/>
          <w:color w:val="2689C6"/>
          <w:sz w:val="21"/>
          <w:szCs w:val="21"/>
        </w:rPr>
        <w:t>Table 11.8 "Die Contingency Table"</w:t>
      </w:r>
      <w:r>
        <w:rPr>
          <w:rFonts w:ascii="Georgia" w:hAnsi="Georgia"/>
          <w:color w:val="333333"/>
          <w:sz w:val="21"/>
          <w:szCs w:val="21"/>
        </w:rPr>
        <w:t>. For ease of reference we add a column of expected frequencies, which in this simple example is simply a column of 10s. The result is shown as</w:t>
      </w:r>
      <w:r>
        <w:rPr>
          <w:rStyle w:val="apple-converted-space"/>
          <w:rFonts w:ascii="Georgia" w:hAnsi="Georgia"/>
          <w:color w:val="333333"/>
          <w:sz w:val="21"/>
          <w:szCs w:val="21"/>
        </w:rPr>
        <w:t> </w:t>
      </w:r>
      <w:r>
        <w:rPr>
          <w:rFonts w:ascii="Georgia" w:eastAsiaTheme="majorEastAsia" w:hAnsi="Georgia"/>
          <w:color w:val="2689C6"/>
          <w:sz w:val="21"/>
          <w:szCs w:val="21"/>
        </w:rPr>
        <w:t>Table 11.9 "Updated Die Contingency Table"</w:t>
      </w:r>
      <w:r>
        <w:rPr>
          <w:rFonts w:ascii="Georgia" w:hAnsi="Georgia"/>
          <w:color w:val="333333"/>
          <w:sz w:val="21"/>
          <w:szCs w:val="21"/>
        </w:rPr>
        <w:t>. In analogy with the previous section we call this an “updated” table. A measure of how much the data deviate from what we would expect to see if the die really were fair is the sum of the squares of the differences between the observed frequency</w:t>
      </w:r>
      <w:r>
        <w:rPr>
          <w:rStyle w:val="apple-converted-space"/>
          <w:rFonts w:ascii="Georgia" w:hAnsi="Georgia"/>
          <w:color w:val="333333"/>
          <w:sz w:val="21"/>
          <w:szCs w:val="21"/>
        </w:rPr>
        <w:t> </w:t>
      </w:r>
      <w:r>
        <w:rPr>
          <w:rStyle w:val="Emphasis"/>
          <w:rFonts w:ascii="Georgia" w:hAnsi="Georgia"/>
          <w:color w:val="333333"/>
          <w:sz w:val="20"/>
          <w:szCs w:val="20"/>
        </w:rPr>
        <w:t>O</w:t>
      </w:r>
      <w:r>
        <w:rPr>
          <w:rStyle w:val="apple-converted-space"/>
          <w:rFonts w:ascii="Georgia" w:hAnsi="Georgia"/>
          <w:color w:val="333333"/>
          <w:sz w:val="21"/>
          <w:szCs w:val="21"/>
        </w:rPr>
        <w:t> </w:t>
      </w:r>
      <w:r>
        <w:rPr>
          <w:rFonts w:ascii="Georgia" w:hAnsi="Georgia"/>
          <w:color w:val="333333"/>
          <w:sz w:val="21"/>
          <w:szCs w:val="21"/>
        </w:rPr>
        <w:t>and the expected frequency</w:t>
      </w:r>
      <w:r>
        <w:rPr>
          <w:rStyle w:val="apple-converted-space"/>
          <w:rFonts w:ascii="Georgia" w:hAnsi="Georgia"/>
          <w:color w:val="333333"/>
          <w:sz w:val="21"/>
          <w:szCs w:val="21"/>
        </w:rPr>
        <w:t> </w:t>
      </w:r>
      <w:r>
        <w:rPr>
          <w:rStyle w:val="Emphasis"/>
          <w:rFonts w:ascii="Georgia" w:hAnsi="Georgia"/>
          <w:color w:val="333333"/>
          <w:sz w:val="20"/>
          <w:szCs w:val="20"/>
        </w:rPr>
        <w:t>E</w:t>
      </w:r>
      <w:r>
        <w:rPr>
          <w:rFonts w:ascii="Georgia" w:hAnsi="Georgia"/>
          <w:color w:val="333333"/>
          <w:sz w:val="21"/>
          <w:szCs w:val="21"/>
        </w:rPr>
        <w:t>in each row, or, standardizing by dividing each square by the expected number, the sum</w:t>
      </w:r>
      <w:r>
        <w:rPr>
          <w:rStyle w:val="apple-converted-space"/>
          <w:rFonts w:ascii="Georgia" w:hAnsi="Georgia"/>
          <w:color w:val="333333"/>
          <w:sz w:val="21"/>
          <w:szCs w:val="21"/>
        </w:rPr>
        <w:t> </w:t>
      </w:r>
      <w:r>
        <w:rPr>
          <w:rStyle w:val="mi"/>
          <w:rFonts w:ascii="MathJax_Main" w:hAnsi="MathJax_Main"/>
          <w:b/>
          <w:color w:val="333333"/>
          <w:sz w:val="20"/>
          <w:szCs w:val="20"/>
        </w:rPr>
        <w:t>Σ</w:t>
      </w:r>
      <w:r>
        <w:rPr>
          <w:rStyle w:val="mo"/>
          <w:rFonts w:ascii="MathJax_Main" w:hAnsi="MathJax_Main"/>
          <w:b/>
          <w:color w:val="333333"/>
          <w:sz w:val="20"/>
          <w:szCs w:val="20"/>
        </w:rPr>
        <w:t>(</w:t>
      </w:r>
      <w:r>
        <w:rPr>
          <w:rStyle w:val="mi"/>
          <w:rFonts w:ascii="MathJax_Math" w:hAnsi="MathJax_Math"/>
          <w:b/>
          <w:i/>
          <w:iCs/>
          <w:color w:val="333333"/>
          <w:sz w:val="20"/>
          <w:szCs w:val="20"/>
        </w:rPr>
        <w:t>O</w:t>
      </w:r>
      <w:r>
        <w:rPr>
          <w:rStyle w:val="mo"/>
          <w:rFonts w:ascii="MathJax_Main" w:hAnsi="MathJax_Main"/>
          <w:b/>
          <w:color w:val="333333"/>
          <w:sz w:val="20"/>
          <w:szCs w:val="20"/>
        </w:rPr>
        <w:t>−</w:t>
      </w:r>
      <w:r>
        <w:rPr>
          <w:rStyle w:val="mi"/>
          <w:rFonts w:ascii="MathJax_Math" w:hAnsi="MathJax_Math"/>
          <w:b/>
          <w:i/>
          <w:iCs/>
          <w:color w:val="333333"/>
          <w:sz w:val="20"/>
          <w:szCs w:val="20"/>
        </w:rPr>
        <w:t>E</w:t>
      </w:r>
      <w:r>
        <w:rPr>
          <w:rStyle w:val="mo"/>
          <w:rFonts w:ascii="MathJax_Main" w:hAnsi="MathJax_Main"/>
          <w:b/>
          <w:color w:val="333333"/>
          <w:sz w:val="20"/>
          <w:szCs w:val="20"/>
        </w:rPr>
        <w:t>)</w:t>
      </w:r>
      <w:r>
        <w:rPr>
          <w:rStyle w:val="mn"/>
          <w:rFonts w:ascii="MathJax_Main" w:hAnsi="MathJax_Main"/>
          <w:b/>
          <w:color w:val="333333"/>
          <w:sz w:val="15"/>
          <w:szCs w:val="15"/>
        </w:rPr>
        <w:t>2</w:t>
      </w:r>
      <w:r>
        <w:rPr>
          <w:rStyle w:val="mo"/>
          <w:rFonts w:ascii="MathJax_Size2" w:hAnsi="MathJax_Size2"/>
          <w:b/>
          <w:color w:val="333333"/>
          <w:sz w:val="20"/>
          <w:szCs w:val="20"/>
        </w:rPr>
        <w:t>/</w:t>
      </w:r>
      <w:r>
        <w:rPr>
          <w:rStyle w:val="mi"/>
          <w:rFonts w:ascii="MathJax_Math" w:hAnsi="MathJax_Math"/>
          <w:b/>
          <w:i/>
          <w:iCs/>
          <w:color w:val="333333"/>
          <w:sz w:val="20"/>
          <w:szCs w:val="20"/>
        </w:rPr>
        <w:t>E</w:t>
      </w:r>
      <w:r>
        <w:rPr>
          <w:rStyle w:val="mo"/>
          <w:rFonts w:ascii="MathJax_Main" w:hAnsi="MathJax_Main"/>
          <w:color w:val="333333"/>
          <w:sz w:val="20"/>
          <w:szCs w:val="20"/>
        </w:rPr>
        <w:t>.</w:t>
      </w:r>
      <w:r>
        <w:rPr>
          <w:rStyle w:val="apple-converted-space"/>
          <w:rFonts w:ascii="Georgia" w:hAnsi="Georgia"/>
          <w:color w:val="333333"/>
          <w:sz w:val="21"/>
          <w:szCs w:val="21"/>
        </w:rPr>
        <w:t> </w:t>
      </w:r>
      <w:r>
        <w:rPr>
          <w:rFonts w:ascii="Georgia" w:hAnsi="Georgia"/>
          <w:color w:val="333333"/>
          <w:sz w:val="21"/>
          <w:szCs w:val="21"/>
        </w:rPr>
        <w:t>If we formulate the investigation as a test of hypotheses, the test is</w:t>
      </w:r>
    </w:p>
    <w:p w:rsidR="00AD77BB" w:rsidRDefault="00B45BA0">
      <w:pPr>
        <w:spacing w:line="270" w:lineRule="atLeast"/>
        <w:jc w:val="center"/>
        <w:textAlignment w:val="baseline"/>
        <w:rPr>
          <w:rFonts w:ascii="MathJax_Main" w:eastAsia="Times New Roman" w:hAnsi="MathJax_Main" w:cs="Times New Roman"/>
          <w:color w:val="555555"/>
          <w:sz w:val="20"/>
          <w:szCs w:val="20"/>
          <w:shd w:val="clear" w:color="auto" w:fill="FFFFFF"/>
        </w:rPr>
      </w:pPr>
      <w:r>
        <w:rPr>
          <w:rFonts w:ascii="MathJax_Math" w:eastAsia="Times New Roman" w:hAnsi="MathJax_Math" w:cs="Times New Roman"/>
          <w:i/>
          <w:iCs/>
          <w:color w:val="555555"/>
          <w:sz w:val="20"/>
          <w:szCs w:val="20"/>
          <w:shd w:val="clear" w:color="auto" w:fill="FFFFFF"/>
        </w:rPr>
        <w:br/>
        <w:t>H</w:t>
      </w:r>
      <w:r>
        <w:rPr>
          <w:rFonts w:ascii="MathJax_Main" w:eastAsia="Times New Roman" w:hAnsi="MathJax_Main" w:cs="Times New Roman"/>
          <w:color w:val="555555"/>
          <w:sz w:val="15"/>
          <w:szCs w:val="15"/>
          <w:shd w:val="clear" w:color="auto" w:fill="FFFFFF"/>
        </w:rPr>
        <w:t>0</w:t>
      </w:r>
      <w:r>
        <w:rPr>
          <w:rFonts w:ascii="MathJax_Main" w:eastAsia="Times New Roman" w:hAnsi="MathJax_Main" w:cs="Times New Roman"/>
          <w:color w:val="555555"/>
          <w:sz w:val="20"/>
          <w:szCs w:val="20"/>
          <w:shd w:val="clear" w:color="auto" w:fill="FFFFFF"/>
        </w:rPr>
        <w:t>: The die is fair</w:t>
      </w:r>
    </w:p>
    <w:p w:rsidR="00AD77BB" w:rsidRDefault="00B45BA0">
      <w:pPr>
        <w:spacing w:line="270" w:lineRule="atLeast"/>
        <w:jc w:val="center"/>
        <w:textAlignment w:val="baseline"/>
        <w:rPr>
          <w:rFonts w:ascii="Calibri" w:eastAsia="Times New Roman" w:hAnsi="Calibri" w:cs="Times New Roman"/>
          <w:color w:val="555555"/>
          <w:sz w:val="23"/>
          <w:szCs w:val="23"/>
          <w:shd w:val="clear" w:color="auto" w:fill="FFFFFF"/>
        </w:rPr>
      </w:pPr>
      <w:r>
        <w:rPr>
          <w:rFonts w:ascii="MathJax_Main" w:eastAsia="Times New Roman" w:hAnsi="MathJax_Main" w:cs="Times New Roman"/>
          <w:color w:val="555555"/>
          <w:sz w:val="20"/>
          <w:szCs w:val="20"/>
          <w:shd w:val="clear" w:color="auto" w:fill="FFFFFF"/>
        </w:rPr>
        <w:t>vs. </w:t>
      </w:r>
      <w:r>
        <w:rPr>
          <w:rFonts w:ascii="MathJax_Math" w:eastAsia="Times New Roman" w:hAnsi="MathJax_Math" w:cs="Times New Roman"/>
          <w:i/>
          <w:iCs/>
          <w:color w:val="555555"/>
          <w:sz w:val="20"/>
          <w:szCs w:val="20"/>
          <w:shd w:val="clear" w:color="auto" w:fill="FFFFFF"/>
        </w:rPr>
        <w:t>H</w:t>
      </w:r>
      <w:r>
        <w:rPr>
          <w:rFonts w:ascii="MathJax_Math" w:eastAsia="Times New Roman" w:hAnsi="MathJax_Math" w:cs="Times New Roman"/>
          <w:i/>
          <w:iCs/>
          <w:color w:val="555555"/>
          <w:sz w:val="15"/>
          <w:szCs w:val="15"/>
          <w:shd w:val="clear" w:color="auto" w:fill="FFFFFF"/>
        </w:rPr>
        <w:t>a</w:t>
      </w:r>
      <w:r>
        <w:rPr>
          <w:rFonts w:ascii="MathJax_Main" w:eastAsia="Times New Roman" w:hAnsi="MathJax_Main" w:cs="Times New Roman"/>
          <w:color w:val="555555"/>
          <w:sz w:val="20"/>
          <w:szCs w:val="20"/>
          <w:shd w:val="clear" w:color="auto" w:fill="FFFFFF"/>
        </w:rPr>
        <w:t>: The die is </w:t>
      </w:r>
      <w:r>
        <w:rPr>
          <w:rFonts w:ascii="MathJax_Math" w:eastAsia="Times New Roman" w:hAnsi="MathJax_Math" w:cs="Times New Roman"/>
          <w:i/>
          <w:iCs/>
          <w:color w:val="555555"/>
          <w:sz w:val="20"/>
          <w:szCs w:val="20"/>
          <w:shd w:val="clear" w:color="auto" w:fill="FFFFFF"/>
        </w:rPr>
        <w:t>not</w:t>
      </w:r>
      <w:r>
        <w:rPr>
          <w:rFonts w:ascii="MathJax_Main" w:eastAsia="Times New Roman" w:hAnsi="MathJax_Main" w:cs="Times New Roman"/>
          <w:color w:val="555555"/>
          <w:sz w:val="20"/>
          <w:szCs w:val="20"/>
          <w:shd w:val="clear" w:color="auto" w:fill="FFFFFF"/>
        </w:rPr>
        <w:t> fair</w:t>
      </w:r>
    </w:p>
    <w:p w:rsidR="00AD77BB" w:rsidRDefault="00B45BA0">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11.8 Die Contingency Table</w:t>
      </w:r>
    </w:p>
    <w:tbl>
      <w:tblPr>
        <w:tblW w:w="0" w:type="auto"/>
        <w:tblCellMar>
          <w:left w:w="0" w:type="dxa"/>
          <w:right w:w="0" w:type="dxa"/>
        </w:tblCellMar>
        <w:tblLook w:val="04A0" w:firstRow="1" w:lastRow="0" w:firstColumn="1" w:lastColumn="0" w:noHBand="0" w:noVBand="1"/>
      </w:tblPr>
      <w:tblGrid>
        <w:gridCol w:w="989"/>
        <w:gridCol w:w="2023"/>
        <w:gridCol w:w="1934"/>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0"/>
                <w:szCs w:val="20"/>
              </w:rPr>
            </w:pPr>
            <w:r>
              <w:rPr>
                <w:rFonts w:ascii="Times New Roman" w:eastAsia="Times New Roman" w:hAnsi="Times New Roman" w:cs="Times New Roman"/>
                <w:b/>
                <w:bCs/>
                <w:color w:val="F48800"/>
                <w:sz w:val="20"/>
                <w:szCs w:val="20"/>
              </w:rPr>
              <w:t>Die Value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0"/>
                <w:szCs w:val="20"/>
              </w:rPr>
            </w:pPr>
            <w:r>
              <w:rPr>
                <w:rFonts w:ascii="Times New Roman" w:eastAsia="Times New Roman" w:hAnsi="Times New Roman" w:cs="Times New Roman"/>
                <w:b/>
                <w:bCs/>
                <w:color w:val="F48800"/>
                <w:sz w:val="20"/>
                <w:szCs w:val="20"/>
              </w:rPr>
              <w:t>Assumed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0"/>
                <w:szCs w:val="20"/>
              </w:rPr>
            </w:pPr>
            <w:r>
              <w:rPr>
                <w:rFonts w:ascii="Times New Roman" w:eastAsia="Times New Roman" w:hAnsi="Times New Roman" w:cs="Times New Roman"/>
                <w:b/>
                <w:bCs/>
                <w:color w:val="F48800"/>
                <w:sz w:val="20"/>
                <w:szCs w:val="20"/>
              </w:rPr>
              <w:t>Observed Frequency</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13</w:t>
            </w:r>
          </w:p>
        </w:tc>
      </w:tr>
    </w:tbl>
    <w:p w:rsidR="00AD77BB" w:rsidRDefault="00AD77BB">
      <w:pPr>
        <w:shd w:val="clear" w:color="auto" w:fill="FFFFFF"/>
        <w:spacing w:line="439" w:lineRule="atLeast"/>
        <w:textAlignment w:val="baseline"/>
        <w:rPr>
          <w:rFonts w:ascii="Georgia" w:eastAsia="Times New Roman" w:hAnsi="Georgia" w:cs="Times New Roman"/>
          <w:color w:val="333333"/>
          <w:sz w:val="20"/>
          <w:szCs w:val="20"/>
        </w:rPr>
      </w:pPr>
    </w:p>
    <w:p w:rsidR="00AD77BB" w:rsidRDefault="00AD77BB">
      <w:pPr>
        <w:shd w:val="clear" w:color="auto" w:fill="FFFFFF"/>
        <w:spacing w:line="439" w:lineRule="atLeast"/>
        <w:textAlignment w:val="baseline"/>
        <w:rPr>
          <w:rFonts w:ascii="Georgia" w:eastAsia="Times New Roman" w:hAnsi="Georgia" w:cs="Times New Roman"/>
          <w:color w:val="333333"/>
          <w:sz w:val="20"/>
          <w:szCs w:val="20"/>
        </w:rPr>
      </w:pPr>
    </w:p>
    <w:p w:rsidR="00AD77BB" w:rsidRDefault="00B45BA0">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Table 11.9 Updated Die Contingency Table</w:t>
      </w:r>
    </w:p>
    <w:tbl>
      <w:tblPr>
        <w:tblW w:w="0" w:type="auto"/>
        <w:tblCellMar>
          <w:left w:w="0" w:type="dxa"/>
          <w:right w:w="0" w:type="dxa"/>
        </w:tblCellMar>
        <w:tblLook w:val="04A0" w:firstRow="1" w:lastRow="0" w:firstColumn="1" w:lastColumn="0" w:noHBand="0" w:noVBand="1"/>
      </w:tblPr>
      <w:tblGrid>
        <w:gridCol w:w="989"/>
        <w:gridCol w:w="2023"/>
        <w:gridCol w:w="1484"/>
        <w:gridCol w:w="145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0"/>
                <w:szCs w:val="20"/>
              </w:rPr>
            </w:pPr>
            <w:r>
              <w:rPr>
                <w:rFonts w:ascii="Times New Roman" w:eastAsia="Times New Roman" w:hAnsi="Times New Roman" w:cs="Times New Roman"/>
                <w:b/>
                <w:bCs/>
                <w:color w:val="F48800"/>
                <w:sz w:val="20"/>
                <w:szCs w:val="20"/>
              </w:rPr>
              <w:t>Die Value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0"/>
                <w:szCs w:val="20"/>
              </w:rPr>
            </w:pPr>
            <w:r>
              <w:rPr>
                <w:rFonts w:ascii="Times New Roman" w:eastAsia="Times New Roman" w:hAnsi="Times New Roman" w:cs="Times New Roman"/>
                <w:b/>
                <w:bCs/>
                <w:color w:val="F48800"/>
                <w:sz w:val="20"/>
                <w:szCs w:val="20"/>
              </w:rPr>
              <w:t>Assumed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0"/>
                <w:szCs w:val="20"/>
              </w:rPr>
            </w:pPr>
            <w:r>
              <w:rPr>
                <w:rFonts w:ascii="Times New Roman" w:eastAsia="Times New Roman" w:hAnsi="Times New Roman" w:cs="Times New Roman"/>
                <w:b/>
                <w:bCs/>
                <w:color w:val="F48800"/>
                <w:sz w:val="20"/>
                <w:szCs w:val="20"/>
              </w:rPr>
              <w:t>Observed Freq.</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0"/>
                <w:szCs w:val="20"/>
              </w:rPr>
            </w:pPr>
            <w:r>
              <w:rPr>
                <w:rFonts w:ascii="Times New Roman" w:eastAsia="Times New Roman" w:hAnsi="Times New Roman" w:cs="Times New Roman"/>
                <w:b/>
                <w:bCs/>
                <w:color w:val="F48800"/>
                <w:sz w:val="20"/>
                <w:szCs w:val="20"/>
              </w:rPr>
              <w:t>Expected Freq.</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r>
    </w:tbl>
    <w:p w:rsidR="00AD77BB" w:rsidRDefault="00AD77BB">
      <w:pPr>
        <w:pStyle w:val="para"/>
        <w:shd w:val="clear" w:color="auto" w:fill="FFFFFF" w:themeFill="background1"/>
        <w:spacing w:before="0" w:beforeAutospacing="0" w:after="0" w:afterAutospacing="0" w:line="439" w:lineRule="atLeast"/>
        <w:ind w:left="450"/>
        <w:textAlignment w:val="baseline"/>
        <w:rPr>
          <w:rFonts w:ascii="Calibri" w:hAnsi="Calibri"/>
          <w:color w:val="333333"/>
          <w:sz w:val="20"/>
          <w:szCs w:val="20"/>
        </w:rPr>
      </w:pPr>
    </w:p>
    <w:p w:rsidR="00AD77BB" w:rsidRDefault="00B45BA0">
      <w:pPr>
        <w:tabs>
          <w:tab w:val="left" w:pos="5547"/>
        </w:tabs>
        <w:spacing w:line="360" w:lineRule="auto"/>
        <w:rPr>
          <w:rFonts w:ascii="Georgia" w:hAnsi="Georgia"/>
          <w:color w:val="333333"/>
          <w:sz w:val="20"/>
          <w:szCs w:val="20"/>
          <w:shd w:val="clear" w:color="auto" w:fill="FFFFFF"/>
        </w:rPr>
      </w:pPr>
      <w:r>
        <w:rPr>
          <w:rFonts w:ascii="Georgia" w:hAnsi="Georgia"/>
          <w:color w:val="333333"/>
          <w:sz w:val="20"/>
          <w:szCs w:val="20"/>
          <w:shd w:val="clear" w:color="auto" w:fill="FFFFFF"/>
        </w:rPr>
        <w:t>We would reject the null hypothesis that the die is fair only if the number</w:t>
      </w:r>
      <w:r>
        <w:rPr>
          <w:rStyle w:val="apple-converted-space"/>
          <w:rFonts w:ascii="Georgia" w:hAnsi="Georgia"/>
          <w:color w:val="333333"/>
          <w:sz w:val="20"/>
          <w:szCs w:val="20"/>
          <w:shd w:val="clear" w:color="auto" w:fill="FFFFFF"/>
        </w:rPr>
        <w:t> </w:t>
      </w:r>
      <w:r>
        <w:rPr>
          <w:rStyle w:val="mi"/>
          <w:rFonts w:ascii="MathJax_Main" w:hAnsi="MathJax_Main"/>
          <w:color w:val="333333"/>
          <w:sz w:val="20"/>
          <w:szCs w:val="20"/>
          <w:shd w:val="clear" w:color="auto" w:fill="FFFFFF"/>
        </w:rPr>
        <w:t>Σ</w:t>
      </w:r>
      <w:r>
        <w:rPr>
          <w:rStyle w:val="mo"/>
          <w:rFonts w:ascii="MathJax_Main" w:hAnsi="MathJax_Main"/>
          <w:color w:val="333333"/>
          <w:sz w:val="20"/>
          <w:szCs w:val="20"/>
          <w:shd w:val="clear" w:color="auto" w:fill="FFFFFF"/>
        </w:rPr>
        <w:t>(</w:t>
      </w:r>
      <w:r>
        <w:rPr>
          <w:rStyle w:val="mi"/>
          <w:rFonts w:ascii="MathJax_Math" w:hAnsi="MathJax_Math"/>
          <w:i/>
          <w:iCs/>
          <w:color w:val="333333"/>
          <w:sz w:val="20"/>
          <w:szCs w:val="20"/>
          <w:shd w:val="clear" w:color="auto" w:fill="FFFFFF"/>
        </w:rPr>
        <w:t>O</w:t>
      </w:r>
      <w:r>
        <w:rPr>
          <w:rStyle w:val="mo"/>
          <w:rFonts w:ascii="MathJax_Main" w:hAnsi="MathJax_Main"/>
          <w:color w:val="333333"/>
          <w:sz w:val="20"/>
          <w:szCs w:val="20"/>
          <w:shd w:val="clear" w:color="auto" w:fill="FFFFFF"/>
        </w:rPr>
        <w:t>−</w:t>
      </w:r>
      <w:r>
        <w:rPr>
          <w:rStyle w:val="mi"/>
          <w:rFonts w:ascii="MathJax_Math" w:hAnsi="MathJax_Math"/>
          <w:i/>
          <w:iCs/>
          <w:color w:val="333333"/>
          <w:sz w:val="20"/>
          <w:szCs w:val="20"/>
          <w:shd w:val="clear" w:color="auto" w:fill="FFFFFF"/>
        </w:rPr>
        <w:t>E</w:t>
      </w:r>
      <w:r>
        <w:rPr>
          <w:rStyle w:val="mo"/>
          <w:rFonts w:ascii="MathJax_Main" w:hAnsi="MathJax_Main"/>
          <w:color w:val="333333"/>
          <w:sz w:val="20"/>
          <w:szCs w:val="20"/>
          <w:shd w:val="clear" w:color="auto" w:fill="FFFFFF"/>
        </w:rPr>
        <w:t>)</w:t>
      </w:r>
      <w:r>
        <w:rPr>
          <w:rStyle w:val="mn"/>
          <w:rFonts w:ascii="MathJax_Main" w:hAnsi="MathJax_Main"/>
          <w:color w:val="333333"/>
          <w:sz w:val="15"/>
          <w:szCs w:val="15"/>
          <w:shd w:val="clear" w:color="auto" w:fill="FFFFFF"/>
        </w:rPr>
        <w:t>2</w:t>
      </w:r>
      <w:r>
        <w:rPr>
          <w:rStyle w:val="mo"/>
          <w:rFonts w:ascii="MathJax_Size2" w:hAnsi="MathJax_Size2"/>
          <w:color w:val="333333"/>
          <w:sz w:val="20"/>
          <w:szCs w:val="20"/>
          <w:shd w:val="clear" w:color="auto" w:fill="FFFFFF"/>
        </w:rPr>
        <w:t>/</w:t>
      </w:r>
      <w:r>
        <w:rPr>
          <w:rStyle w:val="mi"/>
          <w:rFonts w:ascii="MathJax_Math" w:hAnsi="MathJax_Math"/>
          <w:i/>
          <w:iCs/>
          <w:color w:val="333333"/>
          <w:sz w:val="20"/>
          <w:szCs w:val="20"/>
          <w:shd w:val="clear" w:color="auto" w:fill="FFFFFF"/>
        </w:rPr>
        <w:t>E</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is large, so the test is right-tailed. In this example the random variable</w:t>
      </w:r>
      <w:r>
        <w:rPr>
          <w:rStyle w:val="apple-converted-space"/>
          <w:rFonts w:ascii="Georgia" w:hAnsi="Georgia"/>
          <w:color w:val="333333"/>
          <w:sz w:val="20"/>
          <w:szCs w:val="20"/>
          <w:shd w:val="clear" w:color="auto" w:fill="FFFFFF"/>
        </w:rPr>
        <w:t> </w:t>
      </w:r>
      <w:r>
        <w:rPr>
          <w:rStyle w:val="mi"/>
          <w:rFonts w:ascii="MathJax_Main" w:hAnsi="MathJax_Main"/>
          <w:color w:val="333333"/>
          <w:sz w:val="20"/>
          <w:szCs w:val="20"/>
          <w:shd w:val="clear" w:color="auto" w:fill="FFFFFF"/>
        </w:rPr>
        <w:t>Σ</w:t>
      </w:r>
      <w:r>
        <w:rPr>
          <w:rStyle w:val="mo"/>
          <w:rFonts w:ascii="MathJax_Main" w:hAnsi="MathJax_Main"/>
          <w:color w:val="333333"/>
          <w:sz w:val="20"/>
          <w:szCs w:val="20"/>
          <w:shd w:val="clear" w:color="auto" w:fill="FFFFFF"/>
        </w:rPr>
        <w:t>(</w:t>
      </w:r>
      <w:r>
        <w:rPr>
          <w:rStyle w:val="mi"/>
          <w:rFonts w:ascii="MathJax_Math" w:hAnsi="MathJax_Math"/>
          <w:i/>
          <w:iCs/>
          <w:color w:val="333333"/>
          <w:sz w:val="20"/>
          <w:szCs w:val="20"/>
          <w:shd w:val="clear" w:color="auto" w:fill="FFFFFF"/>
        </w:rPr>
        <w:t>O</w:t>
      </w:r>
      <w:r>
        <w:rPr>
          <w:rStyle w:val="mo"/>
          <w:rFonts w:ascii="MathJax_Main" w:hAnsi="MathJax_Main"/>
          <w:color w:val="333333"/>
          <w:sz w:val="20"/>
          <w:szCs w:val="20"/>
          <w:shd w:val="clear" w:color="auto" w:fill="FFFFFF"/>
        </w:rPr>
        <w:t>−</w:t>
      </w:r>
      <w:r>
        <w:rPr>
          <w:rStyle w:val="mi"/>
          <w:rFonts w:ascii="MathJax_Math" w:hAnsi="MathJax_Math"/>
          <w:i/>
          <w:iCs/>
          <w:color w:val="333333"/>
          <w:sz w:val="20"/>
          <w:szCs w:val="20"/>
          <w:shd w:val="clear" w:color="auto" w:fill="FFFFFF"/>
        </w:rPr>
        <w:t>E</w:t>
      </w:r>
      <w:r>
        <w:rPr>
          <w:rStyle w:val="mo"/>
          <w:rFonts w:ascii="MathJax_Main" w:hAnsi="MathJax_Main"/>
          <w:color w:val="333333"/>
          <w:sz w:val="20"/>
          <w:szCs w:val="20"/>
          <w:shd w:val="clear" w:color="auto" w:fill="FFFFFF"/>
        </w:rPr>
        <w:t>)</w:t>
      </w:r>
      <w:r>
        <w:rPr>
          <w:rStyle w:val="mn"/>
          <w:rFonts w:ascii="MathJax_Main" w:hAnsi="MathJax_Main"/>
          <w:color w:val="333333"/>
          <w:sz w:val="15"/>
          <w:szCs w:val="15"/>
          <w:shd w:val="clear" w:color="auto" w:fill="FFFFFF"/>
        </w:rPr>
        <w:t>2</w:t>
      </w:r>
      <w:r>
        <w:rPr>
          <w:rStyle w:val="mo"/>
          <w:rFonts w:ascii="MathJax_Size2" w:hAnsi="MathJax_Size2"/>
          <w:color w:val="333333"/>
          <w:sz w:val="20"/>
          <w:szCs w:val="20"/>
          <w:shd w:val="clear" w:color="auto" w:fill="FFFFFF"/>
        </w:rPr>
        <w:t>/</w:t>
      </w:r>
      <w:r>
        <w:rPr>
          <w:rStyle w:val="mi"/>
          <w:rFonts w:ascii="MathJax_Math" w:hAnsi="MathJax_Math"/>
          <w:i/>
          <w:iCs/>
          <w:color w:val="333333"/>
          <w:sz w:val="20"/>
          <w:szCs w:val="20"/>
          <w:shd w:val="clear" w:color="auto" w:fill="FFFFFF"/>
        </w:rPr>
        <w:t>E</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has the chi-square distribution with five degrees of freedom. If we had decided at the outset to test at the 10% level of significance, the critical value defining the rejection region would be, reading from</w:t>
      </w:r>
      <w:r>
        <w:rPr>
          <w:rStyle w:val="apple-converted-space"/>
          <w:rFonts w:ascii="Georgia" w:hAnsi="Georgia"/>
          <w:color w:val="333333"/>
          <w:sz w:val="20"/>
          <w:szCs w:val="20"/>
          <w:shd w:val="clear" w:color="auto" w:fill="FFFFFF"/>
        </w:rPr>
        <w:t> </w:t>
      </w:r>
      <w:r>
        <w:rPr>
          <w:rFonts w:ascii="Georgia" w:hAnsi="Georgia"/>
          <w:color w:val="2689C6"/>
          <w:sz w:val="20"/>
          <w:szCs w:val="20"/>
          <w:shd w:val="clear" w:color="auto" w:fill="FFFFFF"/>
        </w:rPr>
        <w:t>Figure 12.4 "Critical Values of Chi-Square Distributions"</w:t>
      </w:r>
      <w:r>
        <w:rPr>
          <w:rFonts w:ascii="Georgia" w:hAnsi="Georgia"/>
          <w:color w:val="333333"/>
          <w:sz w:val="20"/>
          <w:szCs w:val="20"/>
          <w:shd w:val="clear" w:color="auto" w:fill="FFFFFF"/>
        </w:rPr>
        <w:t>,</w:t>
      </w:r>
      <w:r>
        <w:rPr>
          <w:rStyle w:val="apple-converted-space"/>
          <w:rFonts w:ascii="Georgia" w:hAnsi="Georgia"/>
          <w:color w:val="333333"/>
          <w:sz w:val="20"/>
          <w:szCs w:val="20"/>
          <w:shd w:val="clear" w:color="auto" w:fill="FFFFFF"/>
        </w:rPr>
        <w:t> </w:t>
      </w:r>
      <w:r>
        <w:rPr>
          <w:rStyle w:val="mi"/>
          <w:rFonts w:ascii="MathJax_Math" w:hAnsi="MathJax_Math"/>
          <w:i/>
          <w:iCs/>
          <w:color w:val="333333"/>
          <w:sz w:val="20"/>
          <w:szCs w:val="20"/>
          <w:shd w:val="clear" w:color="auto" w:fill="FFFFFF"/>
        </w:rPr>
        <w:t>χ</w:t>
      </w:r>
      <w:r>
        <w:rPr>
          <w:rStyle w:val="mn"/>
          <w:rFonts w:ascii="MathJax_Main" w:hAnsi="MathJax_Main"/>
          <w:color w:val="333333"/>
          <w:sz w:val="15"/>
          <w:szCs w:val="15"/>
          <w:shd w:val="clear" w:color="auto" w:fill="FFFFFF"/>
        </w:rPr>
        <w:t>2</w:t>
      </w:r>
      <w:r>
        <w:rPr>
          <w:rStyle w:val="mi"/>
          <w:rFonts w:ascii="MathJax_Math" w:hAnsi="MathJax_Math"/>
          <w:i/>
          <w:iCs/>
          <w:color w:val="333333"/>
          <w:sz w:val="15"/>
          <w:szCs w:val="15"/>
          <w:shd w:val="clear" w:color="auto" w:fill="FFFFFF"/>
        </w:rPr>
        <w:t>α</w:t>
      </w:r>
      <w:r>
        <w:rPr>
          <w:rStyle w:val="mo"/>
          <w:rFonts w:ascii="MathJax_Main" w:hAnsi="MathJax_Main"/>
          <w:color w:val="333333"/>
          <w:sz w:val="20"/>
          <w:szCs w:val="20"/>
          <w:shd w:val="clear" w:color="auto" w:fill="FFFFFF"/>
        </w:rPr>
        <w:t>=</w:t>
      </w:r>
      <w:r>
        <w:rPr>
          <w:rStyle w:val="mi"/>
          <w:rFonts w:ascii="MathJax_Math" w:hAnsi="MathJax_Math"/>
          <w:i/>
          <w:iCs/>
          <w:color w:val="333333"/>
          <w:sz w:val="20"/>
          <w:szCs w:val="20"/>
          <w:shd w:val="clear" w:color="auto" w:fill="FFFFFF"/>
        </w:rPr>
        <w:t>χ</w:t>
      </w:r>
      <w:r>
        <w:rPr>
          <w:rStyle w:val="mn"/>
          <w:rFonts w:ascii="MathJax_Main" w:hAnsi="MathJax_Main"/>
          <w:color w:val="333333"/>
          <w:sz w:val="15"/>
          <w:szCs w:val="15"/>
          <w:shd w:val="clear" w:color="auto" w:fill="FFFFFF"/>
        </w:rPr>
        <w:t>20.10</w:t>
      </w:r>
      <w:r>
        <w:rPr>
          <w:rStyle w:val="mo"/>
          <w:rFonts w:ascii="MathJax_Main" w:hAnsi="MathJax_Main"/>
          <w:color w:val="333333"/>
          <w:sz w:val="20"/>
          <w:szCs w:val="20"/>
          <w:shd w:val="clear" w:color="auto" w:fill="FFFFFF"/>
        </w:rPr>
        <w:t>=</w:t>
      </w:r>
      <w:r>
        <w:rPr>
          <w:rStyle w:val="mn"/>
          <w:rFonts w:ascii="MathJax_Main" w:hAnsi="MathJax_Main"/>
          <w:color w:val="333333"/>
          <w:sz w:val="20"/>
          <w:szCs w:val="20"/>
          <w:shd w:val="clear" w:color="auto" w:fill="FFFFFF"/>
        </w:rPr>
        <w:t>9.236</w:t>
      </w:r>
      <w:r>
        <w:rPr>
          <w:rFonts w:ascii="Georgia" w:hAnsi="Georgia"/>
          <w:color w:val="333333"/>
          <w:sz w:val="20"/>
          <w:szCs w:val="20"/>
          <w:shd w:val="clear" w:color="auto" w:fill="FFFFFF"/>
        </w:rPr>
        <w:t>, so that the rejection region would be the interval</w:t>
      </w:r>
      <w:r>
        <w:rPr>
          <w:rStyle w:val="apple-converted-space"/>
          <w:rFonts w:ascii="Georgia" w:hAnsi="Georgia"/>
          <w:color w:val="333333"/>
          <w:sz w:val="20"/>
          <w:szCs w:val="20"/>
          <w:shd w:val="clear" w:color="auto" w:fill="FFFFFF"/>
        </w:rPr>
        <w:t> </w:t>
      </w:r>
      <w:r>
        <w:rPr>
          <w:rStyle w:val="mo"/>
          <w:rFonts w:ascii="MathJax_Main" w:hAnsi="MathJax_Main"/>
          <w:color w:val="333333"/>
          <w:sz w:val="20"/>
          <w:szCs w:val="20"/>
          <w:shd w:val="clear" w:color="auto" w:fill="FFFFFF"/>
        </w:rPr>
        <w:t>[</w:t>
      </w:r>
      <w:r>
        <w:rPr>
          <w:rStyle w:val="mn"/>
          <w:rFonts w:ascii="MathJax_Main" w:hAnsi="MathJax_Main"/>
          <w:color w:val="333333"/>
          <w:sz w:val="20"/>
          <w:szCs w:val="20"/>
          <w:shd w:val="clear" w:color="auto" w:fill="FFFFFF"/>
        </w:rPr>
        <w:t>9.236</w:t>
      </w:r>
      <w:r>
        <w:rPr>
          <w:rStyle w:val="mo"/>
          <w:rFonts w:ascii="MathJax_Main" w:hAnsi="MathJax_Main"/>
          <w:color w:val="333333"/>
          <w:sz w:val="20"/>
          <w:szCs w:val="20"/>
          <w:shd w:val="clear" w:color="auto" w:fill="FFFFFF"/>
        </w:rPr>
        <w:t>,</w:t>
      </w:r>
      <w:r>
        <w:rPr>
          <w:rStyle w:val="mi"/>
          <w:rFonts w:ascii="MathJax_Main" w:hAnsi="MathJax_Main"/>
          <w:color w:val="333333"/>
          <w:sz w:val="20"/>
          <w:szCs w:val="20"/>
          <w:shd w:val="clear" w:color="auto" w:fill="FFFFFF"/>
        </w:rPr>
        <w:t>∞</w:t>
      </w:r>
      <w:r>
        <w:rPr>
          <w:rStyle w:val="mo"/>
          <w:rFonts w:ascii="MathJax_Main" w:hAnsi="MathJax_Main"/>
          <w:color w:val="333333"/>
          <w:sz w:val="20"/>
          <w:szCs w:val="20"/>
          <w:shd w:val="clear" w:color="auto" w:fill="FFFFFF"/>
        </w:rPr>
        <w:t>).</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When we compute the value of the standardized test statistic using the numbers in the last two columns of</w:t>
      </w:r>
      <w:r>
        <w:rPr>
          <w:rStyle w:val="apple-converted-space"/>
          <w:rFonts w:ascii="Georgia" w:hAnsi="Georgia"/>
          <w:color w:val="333333"/>
          <w:sz w:val="20"/>
          <w:szCs w:val="20"/>
          <w:shd w:val="clear" w:color="auto" w:fill="FFFFFF"/>
        </w:rPr>
        <w:t> </w:t>
      </w:r>
      <w:r>
        <w:rPr>
          <w:rFonts w:ascii="Georgia" w:hAnsi="Georgia"/>
          <w:color w:val="2689C6"/>
          <w:sz w:val="20"/>
          <w:szCs w:val="20"/>
          <w:shd w:val="clear" w:color="auto" w:fill="FFFFFF"/>
        </w:rPr>
        <w:t>Table 11.9 "Updated Die Contingency Table"</w:t>
      </w:r>
      <w:r>
        <w:rPr>
          <w:rFonts w:ascii="Georgia" w:hAnsi="Georgia"/>
          <w:color w:val="333333"/>
          <w:sz w:val="20"/>
          <w:szCs w:val="20"/>
          <w:shd w:val="clear" w:color="auto" w:fill="FFFFFF"/>
        </w:rPr>
        <w:t>, we obtain</w:t>
      </w:r>
    </w:p>
    <w:p w:rsidR="00AD77BB" w:rsidRDefault="00B45BA0">
      <w:pPr>
        <w:tabs>
          <w:tab w:val="left" w:pos="5547"/>
        </w:tabs>
        <w:spacing w:line="360" w:lineRule="auto"/>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542D4157" wp14:editId="67308B88">
            <wp:extent cx="5324475" cy="6715125"/>
            <wp:effectExtent l="0" t="0" r="9525" b="9525"/>
            <wp:docPr id="444"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324475" cy="6715125"/>
                    </a:xfrm>
                    <a:prstGeom prst="rect">
                      <a:avLst/>
                    </a:prstGeom>
                    <a:noFill/>
                    <a:ln>
                      <a:noFill/>
                    </a:ln>
                  </pic:spPr>
                </pic:pic>
              </a:graphicData>
            </a:graphic>
          </wp:inline>
        </w:drawing>
      </w:r>
    </w:p>
    <w:p w:rsidR="00AD77BB" w:rsidRDefault="00B45BA0">
      <w:pPr>
        <w:tabs>
          <w:tab w:val="left" w:pos="5547"/>
        </w:tabs>
        <w:spacing w:line="360" w:lineRule="auto"/>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4C65D3F2" wp14:editId="7980C832">
            <wp:extent cx="5143500" cy="4676775"/>
            <wp:effectExtent l="0" t="0" r="0" b="9525"/>
            <wp:docPr id="445"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143500" cy="4676775"/>
                    </a:xfrm>
                    <a:prstGeom prst="rect">
                      <a:avLst/>
                    </a:prstGeom>
                    <a:noFill/>
                    <a:ln>
                      <a:noFill/>
                    </a:ln>
                  </pic:spPr>
                </pic:pic>
              </a:graphicData>
            </a:graphic>
          </wp:inline>
        </w:drawing>
      </w:r>
    </w:p>
    <w:p w:rsidR="00AD77BB" w:rsidRDefault="00B45BA0">
      <w:pPr>
        <w:pStyle w:val="Title9"/>
        <w:shd w:val="clear" w:color="auto" w:fill="FFFFFF"/>
        <w:spacing w:before="0" w:beforeAutospacing="0" w:after="0" w:afterAutospacing="0" w:line="360" w:lineRule="auto"/>
        <w:contextualSpacing/>
        <w:textAlignment w:val="baseline"/>
        <w:rPr>
          <w:rFonts w:ascii="Georgia" w:hAnsi="Georgia"/>
          <w:color w:val="333333"/>
          <w:sz w:val="20"/>
          <w:szCs w:val="20"/>
        </w:rPr>
      </w:pPr>
      <w:r>
        <w:rPr>
          <w:rStyle w:val="title-prefix"/>
          <w:rFonts w:ascii="Georgia" w:hAnsi="Georgia"/>
          <w:color w:val="333333"/>
          <w:sz w:val="20"/>
          <w:szCs w:val="20"/>
        </w:rPr>
        <w:t>Table 11.10</w:t>
      </w:r>
      <w:r>
        <w:rPr>
          <w:rStyle w:val="apple-converted-space"/>
          <w:rFonts w:ascii="Georgia" w:hAnsi="Georgia"/>
          <w:color w:val="333333"/>
          <w:sz w:val="20"/>
          <w:szCs w:val="20"/>
        </w:rPr>
        <w:t> </w:t>
      </w:r>
      <w:r>
        <w:rPr>
          <w:rFonts w:ascii="Georgia" w:hAnsi="Georgia"/>
          <w:color w:val="333333"/>
          <w:sz w:val="20"/>
          <w:szCs w:val="20"/>
        </w:rPr>
        <w:t>General Contingency Table</w:t>
      </w:r>
    </w:p>
    <w:tbl>
      <w:tblPr>
        <w:tblW w:w="0" w:type="auto"/>
        <w:tblCellMar>
          <w:left w:w="0" w:type="dxa"/>
          <w:right w:w="0" w:type="dxa"/>
        </w:tblCellMar>
        <w:tblLook w:val="04A0" w:firstRow="1" w:lastRow="0" w:firstColumn="1" w:lastColumn="0" w:noHBand="0" w:noVBand="1"/>
      </w:tblPr>
      <w:tblGrid>
        <w:gridCol w:w="1227"/>
        <w:gridCol w:w="1947"/>
        <w:gridCol w:w="1857"/>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Factor Levels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Assumed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Observed Frequency</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p</w:t>
            </w:r>
            <w:r>
              <w:rPr>
                <w:sz w:val="15"/>
                <w:szCs w:val="15"/>
                <w:vertAlign w:val="subscript"/>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O</w:t>
            </w:r>
            <w:r>
              <w:rPr>
                <w:sz w:val="15"/>
                <w:szCs w:val="15"/>
                <w:vertAlign w:val="subscript"/>
              </w:rPr>
              <w:t>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p</w:t>
            </w:r>
            <w:r>
              <w:rPr>
                <w:sz w:val="15"/>
                <w:szCs w:val="15"/>
                <w:vertAlign w:val="subscript"/>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O</w:t>
            </w:r>
            <w:r>
              <w:rPr>
                <w:sz w:val="15"/>
                <w:szCs w:val="15"/>
                <w:vertAlign w:val="subscript"/>
              </w:rPr>
              <w:t>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p</w:t>
            </w:r>
            <w:r>
              <w:rPr>
                <w:rStyle w:val="Emphasis"/>
                <w:sz w:val="15"/>
                <w:szCs w:val="15"/>
                <w:vertAlign w:val="subscript"/>
              </w:rPr>
              <w: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O</w:t>
            </w:r>
            <w:r>
              <w:rPr>
                <w:rStyle w:val="Emphasis"/>
                <w:sz w:val="15"/>
                <w:szCs w:val="15"/>
                <w:vertAlign w:val="subscript"/>
              </w:rPr>
              <w:t>I</w:t>
            </w:r>
          </w:p>
        </w:tc>
      </w:tr>
    </w:tbl>
    <w:p w:rsidR="00AD77BB" w:rsidRDefault="00AD77BB">
      <w:pPr>
        <w:pStyle w:val="para"/>
        <w:shd w:val="clear" w:color="auto" w:fill="FFFFFF"/>
        <w:spacing w:before="0" w:beforeAutospacing="0" w:after="0" w:afterAutospacing="0" w:line="360" w:lineRule="auto"/>
        <w:contextualSpacing/>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contextualSpacing/>
        <w:textAlignment w:val="baseline"/>
        <w:rPr>
          <w:rFonts w:ascii="Georgia" w:hAnsi="Georgia"/>
          <w:color w:val="333333"/>
          <w:sz w:val="21"/>
          <w:szCs w:val="21"/>
        </w:rPr>
      </w:pPr>
      <w:r>
        <w:rPr>
          <w:rFonts w:ascii="Georgia" w:hAnsi="Georgia"/>
          <w:color w:val="2689C6"/>
          <w:sz w:val="21"/>
          <w:szCs w:val="21"/>
        </w:rPr>
        <w:t>Table 11.10 "General Contingency Table"</w:t>
      </w:r>
      <w:r>
        <w:rPr>
          <w:rStyle w:val="apple-converted-space"/>
          <w:rFonts w:ascii="Georgia" w:hAnsi="Georgia"/>
          <w:color w:val="333333"/>
          <w:sz w:val="21"/>
          <w:szCs w:val="21"/>
        </w:rPr>
        <w:t> </w:t>
      </w:r>
      <w:r>
        <w:rPr>
          <w:rFonts w:ascii="Georgia" w:hAnsi="Georgia"/>
          <w:color w:val="333333"/>
          <w:sz w:val="21"/>
          <w:szCs w:val="21"/>
        </w:rPr>
        <w:t>is updated to</w:t>
      </w:r>
      <w:r>
        <w:rPr>
          <w:rStyle w:val="apple-converted-space"/>
          <w:rFonts w:ascii="Georgia" w:hAnsi="Georgia"/>
          <w:color w:val="333333"/>
          <w:sz w:val="21"/>
          <w:szCs w:val="21"/>
        </w:rPr>
        <w:t> </w:t>
      </w:r>
      <w:r>
        <w:rPr>
          <w:rFonts w:ascii="Georgia" w:hAnsi="Georgia"/>
          <w:color w:val="2689C6"/>
          <w:sz w:val="21"/>
          <w:szCs w:val="21"/>
        </w:rPr>
        <w:t>Table 11.11 "Updated General Contingency Table"</w:t>
      </w:r>
      <w:r>
        <w:rPr>
          <w:rStyle w:val="apple-converted-space"/>
          <w:rFonts w:ascii="Georgia" w:hAnsi="Georgia"/>
          <w:color w:val="333333"/>
          <w:sz w:val="21"/>
          <w:szCs w:val="21"/>
        </w:rPr>
        <w:t> </w:t>
      </w:r>
      <w:r>
        <w:rPr>
          <w:rFonts w:ascii="Georgia" w:hAnsi="Georgia"/>
          <w:color w:val="333333"/>
          <w:sz w:val="21"/>
          <w:szCs w:val="21"/>
        </w:rPr>
        <w:t>by adding the expected frequency for each value of</w:t>
      </w:r>
      <w:r>
        <w:rPr>
          <w:rStyle w:val="apple-converted-space"/>
          <w:rFonts w:ascii="Georgia" w:hAnsi="Georgia"/>
          <w:color w:val="333333"/>
          <w:sz w:val="21"/>
          <w:szCs w:val="21"/>
        </w:rPr>
        <w:t> </w:t>
      </w:r>
      <w:r>
        <w:rPr>
          <w:rStyle w:val="Emphasis"/>
          <w:rFonts w:ascii="Georgia" w:hAnsi="Georgia"/>
          <w:color w:val="333333"/>
          <w:sz w:val="20"/>
          <w:szCs w:val="20"/>
        </w:rPr>
        <w:t>X</w:t>
      </w:r>
      <w:r>
        <w:rPr>
          <w:rFonts w:ascii="Georgia" w:hAnsi="Georgia"/>
          <w:color w:val="333333"/>
          <w:sz w:val="21"/>
          <w:szCs w:val="21"/>
        </w:rPr>
        <w:t xml:space="preserve">. To simplify the notation we drop indices </w:t>
      </w:r>
      <w:r>
        <w:rPr>
          <w:rFonts w:ascii="Georgia" w:hAnsi="Georgia"/>
          <w:color w:val="333333"/>
          <w:sz w:val="21"/>
          <w:szCs w:val="21"/>
        </w:rPr>
        <w:lastRenderedPageBreak/>
        <w:t>for the observed and expected frequencies and represent</w:t>
      </w:r>
      <w:r>
        <w:rPr>
          <w:rStyle w:val="apple-converted-space"/>
          <w:rFonts w:ascii="Georgia" w:hAnsi="Georgia"/>
          <w:color w:val="333333"/>
          <w:sz w:val="21"/>
          <w:szCs w:val="21"/>
        </w:rPr>
        <w:t> </w:t>
      </w:r>
      <w:r>
        <w:rPr>
          <w:rFonts w:ascii="Georgia" w:hAnsi="Georgia"/>
          <w:color w:val="2689C6"/>
          <w:sz w:val="21"/>
          <w:szCs w:val="21"/>
        </w:rPr>
        <w:t>Table 11.11 "Updated General Contingency Table"</w:t>
      </w:r>
      <w:r>
        <w:rPr>
          <w:rStyle w:val="apple-converted-space"/>
          <w:rFonts w:ascii="Georgia" w:hAnsi="Georgia"/>
          <w:color w:val="333333"/>
          <w:sz w:val="21"/>
          <w:szCs w:val="21"/>
        </w:rPr>
        <w:t> </w:t>
      </w:r>
      <w:r>
        <w:rPr>
          <w:rFonts w:ascii="Georgia" w:hAnsi="Georgia"/>
          <w:color w:val="333333"/>
          <w:sz w:val="21"/>
          <w:szCs w:val="21"/>
        </w:rPr>
        <w:t>by</w:t>
      </w:r>
      <w:r>
        <w:rPr>
          <w:rStyle w:val="apple-converted-space"/>
          <w:rFonts w:ascii="Georgia" w:hAnsi="Georgia"/>
          <w:color w:val="333333"/>
          <w:sz w:val="21"/>
          <w:szCs w:val="21"/>
        </w:rPr>
        <w:t> </w:t>
      </w:r>
      <w:r>
        <w:rPr>
          <w:rFonts w:ascii="Georgia" w:hAnsi="Georgia"/>
          <w:color w:val="2689C6"/>
          <w:sz w:val="21"/>
          <w:szCs w:val="21"/>
        </w:rPr>
        <w:t>Table 11.12 "Simplified Updated General Contingency Table"</w:t>
      </w:r>
      <w:r>
        <w:rPr>
          <w:rFonts w:ascii="Georgia" w:hAnsi="Georgia"/>
          <w:color w:val="333333"/>
          <w:sz w:val="21"/>
          <w:szCs w:val="21"/>
        </w:rPr>
        <w:t>.</w:t>
      </w:r>
    </w:p>
    <w:p w:rsidR="00AD77BB" w:rsidRDefault="00B45BA0">
      <w:pPr>
        <w:pStyle w:val="Title9"/>
        <w:shd w:val="clear" w:color="auto" w:fill="FFFFFF"/>
        <w:spacing w:before="0" w:beforeAutospacing="0" w:after="0" w:afterAutospacing="0" w:line="360" w:lineRule="auto"/>
        <w:contextualSpacing/>
        <w:textAlignment w:val="baseline"/>
        <w:rPr>
          <w:rFonts w:ascii="Georgia" w:hAnsi="Georgia"/>
          <w:color w:val="333333"/>
          <w:sz w:val="20"/>
          <w:szCs w:val="20"/>
        </w:rPr>
      </w:pPr>
      <w:r>
        <w:rPr>
          <w:rStyle w:val="title-prefix"/>
          <w:rFonts w:ascii="Georgia" w:hAnsi="Georgia"/>
          <w:color w:val="333333"/>
          <w:sz w:val="20"/>
          <w:szCs w:val="20"/>
        </w:rPr>
        <w:t>Table 11.11</w:t>
      </w:r>
      <w:r>
        <w:rPr>
          <w:rStyle w:val="apple-converted-space"/>
          <w:rFonts w:ascii="Georgia" w:hAnsi="Georgia"/>
          <w:color w:val="333333"/>
          <w:sz w:val="20"/>
          <w:szCs w:val="20"/>
        </w:rPr>
        <w:t> </w:t>
      </w:r>
      <w:r>
        <w:rPr>
          <w:rFonts w:ascii="Georgia" w:hAnsi="Georgia"/>
          <w:color w:val="333333"/>
          <w:sz w:val="20"/>
          <w:szCs w:val="20"/>
        </w:rPr>
        <w:t>Updated General Contingency Table</w:t>
      </w:r>
    </w:p>
    <w:tbl>
      <w:tblPr>
        <w:tblW w:w="0" w:type="auto"/>
        <w:tblCellMar>
          <w:left w:w="0" w:type="dxa"/>
          <w:right w:w="0" w:type="dxa"/>
        </w:tblCellMar>
        <w:tblLook w:val="04A0" w:firstRow="1" w:lastRow="0" w:firstColumn="1" w:lastColumn="0" w:noHBand="0" w:noVBand="1"/>
      </w:tblPr>
      <w:tblGrid>
        <w:gridCol w:w="1227"/>
        <w:gridCol w:w="1947"/>
        <w:gridCol w:w="1417"/>
        <w:gridCol w:w="1379"/>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Factor Levels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Assumed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Observed Freq.</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Expected Freq.</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p</w:t>
            </w:r>
            <w:r>
              <w:rPr>
                <w:sz w:val="15"/>
                <w:szCs w:val="15"/>
                <w:vertAlign w:val="subscript"/>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O</w:t>
            </w:r>
            <w:r>
              <w:rPr>
                <w:sz w:val="15"/>
                <w:szCs w:val="15"/>
                <w:vertAlign w:val="subscript"/>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E</w:t>
            </w:r>
            <w:r>
              <w:rPr>
                <w:sz w:val="15"/>
                <w:szCs w:val="15"/>
                <w:vertAlign w:val="subscript"/>
              </w:rPr>
              <w:t>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p</w:t>
            </w:r>
            <w:r>
              <w:rPr>
                <w:sz w:val="15"/>
                <w:szCs w:val="15"/>
                <w:vertAlign w:val="subscript"/>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O</w:t>
            </w:r>
            <w:r>
              <w:rPr>
                <w:sz w:val="15"/>
                <w:szCs w:val="15"/>
                <w:vertAlign w:val="subscript"/>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E</w:t>
            </w:r>
            <w:r>
              <w:rPr>
                <w:sz w:val="15"/>
                <w:szCs w:val="15"/>
                <w:vertAlign w:val="subscript"/>
              </w:rPr>
              <w:t>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p</w:t>
            </w:r>
            <w:r>
              <w:rPr>
                <w:rStyle w:val="Emphasis"/>
                <w:sz w:val="15"/>
                <w:szCs w:val="15"/>
                <w:vertAlign w:val="subscript"/>
              </w:rPr>
              <w: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O</w:t>
            </w:r>
            <w:r>
              <w:rPr>
                <w:rStyle w:val="Emphasis"/>
                <w:sz w:val="15"/>
                <w:szCs w:val="15"/>
                <w:vertAlign w:val="subscript"/>
              </w:rPr>
              <w: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E</w:t>
            </w:r>
            <w:r>
              <w:rPr>
                <w:rStyle w:val="Emphasis"/>
                <w:sz w:val="15"/>
                <w:szCs w:val="15"/>
                <w:vertAlign w:val="subscript"/>
              </w:rPr>
              <w:t>I</w:t>
            </w:r>
          </w:p>
        </w:tc>
      </w:tr>
    </w:tbl>
    <w:p w:rsidR="00AD77BB" w:rsidRDefault="00B45BA0">
      <w:pPr>
        <w:pStyle w:val="Title9"/>
        <w:shd w:val="clear" w:color="auto" w:fill="FFFFFF"/>
        <w:spacing w:before="0" w:beforeAutospacing="0" w:after="0" w:afterAutospacing="0" w:line="360" w:lineRule="auto"/>
        <w:contextualSpacing/>
        <w:textAlignment w:val="baseline"/>
        <w:rPr>
          <w:rFonts w:ascii="Georgia" w:hAnsi="Georgia"/>
          <w:color w:val="333333"/>
          <w:sz w:val="20"/>
          <w:szCs w:val="20"/>
        </w:rPr>
      </w:pPr>
      <w:r>
        <w:rPr>
          <w:rStyle w:val="title-prefix"/>
          <w:rFonts w:ascii="Georgia" w:hAnsi="Georgia"/>
          <w:color w:val="333333"/>
          <w:sz w:val="20"/>
          <w:szCs w:val="20"/>
        </w:rPr>
        <w:t>Table 11.12</w:t>
      </w:r>
      <w:r>
        <w:rPr>
          <w:rStyle w:val="apple-converted-space"/>
          <w:rFonts w:ascii="Georgia" w:hAnsi="Georgia"/>
          <w:color w:val="333333"/>
          <w:sz w:val="20"/>
          <w:szCs w:val="20"/>
        </w:rPr>
        <w:t> </w:t>
      </w:r>
      <w:r>
        <w:rPr>
          <w:rFonts w:ascii="Georgia" w:hAnsi="Georgia"/>
          <w:color w:val="333333"/>
          <w:sz w:val="20"/>
          <w:szCs w:val="20"/>
        </w:rPr>
        <w:t>Simplified Updated General Contingency Table</w:t>
      </w:r>
    </w:p>
    <w:tbl>
      <w:tblPr>
        <w:tblW w:w="0" w:type="auto"/>
        <w:tblCellMar>
          <w:left w:w="0" w:type="dxa"/>
          <w:right w:w="0" w:type="dxa"/>
        </w:tblCellMar>
        <w:tblLook w:val="04A0" w:firstRow="1" w:lastRow="0" w:firstColumn="1" w:lastColumn="0" w:noHBand="0" w:noVBand="1"/>
      </w:tblPr>
      <w:tblGrid>
        <w:gridCol w:w="1227"/>
        <w:gridCol w:w="1947"/>
        <w:gridCol w:w="1417"/>
        <w:gridCol w:w="1379"/>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Factor Levels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Assumed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Observed Freq.</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Expected Freq.</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p</w:t>
            </w:r>
            <w:r>
              <w:rPr>
                <w:sz w:val="15"/>
                <w:szCs w:val="15"/>
                <w:vertAlign w:val="subscript"/>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E</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p</w:t>
            </w:r>
            <w:r>
              <w:rPr>
                <w:sz w:val="15"/>
                <w:szCs w:val="15"/>
                <w:vertAlign w:val="subscript"/>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E</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Fonts w:ascii="Cambria Math" w:hAnsi="Cambria Math" w:cs="Cambria Math"/>
                <w:sz w:val="20"/>
                <w:szCs w:val="20"/>
              </w:rPr>
              <w:t>⋮</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p</w:t>
            </w:r>
            <w:r>
              <w:rPr>
                <w:rStyle w:val="Emphasis"/>
                <w:sz w:val="15"/>
                <w:szCs w:val="15"/>
                <w:vertAlign w:val="subscript"/>
              </w:rPr>
              <w: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Emphasis"/>
                <w:sz w:val="20"/>
                <w:szCs w:val="20"/>
              </w:rPr>
              <w:t>E</w:t>
            </w:r>
          </w:p>
        </w:tc>
      </w:tr>
    </w:tbl>
    <w:p w:rsidR="00AD77BB" w:rsidRDefault="00AD77BB">
      <w:pPr>
        <w:pStyle w:val="para"/>
        <w:shd w:val="clear" w:color="auto" w:fill="FFFFFF"/>
        <w:spacing w:before="0" w:beforeAutospacing="0" w:after="0" w:afterAutospacing="0" w:line="360" w:lineRule="auto"/>
        <w:contextualSpacing/>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contextualSpacing/>
        <w:textAlignment w:val="baseline"/>
        <w:rPr>
          <w:rFonts w:ascii="Georgia" w:hAnsi="Georgia"/>
          <w:color w:val="333333"/>
          <w:sz w:val="21"/>
          <w:szCs w:val="21"/>
        </w:rPr>
      </w:pPr>
      <w:r>
        <w:rPr>
          <w:rFonts w:ascii="Georgia" w:hAnsi="Georgia"/>
          <w:color w:val="333333"/>
          <w:sz w:val="21"/>
          <w:szCs w:val="21"/>
        </w:rPr>
        <w:t>Here is the test statistic for the general hypothesis based on</w:t>
      </w:r>
      <w:r>
        <w:rPr>
          <w:rStyle w:val="apple-converted-space"/>
          <w:rFonts w:ascii="Georgia" w:hAnsi="Georgia"/>
          <w:color w:val="333333"/>
          <w:sz w:val="21"/>
          <w:szCs w:val="21"/>
        </w:rPr>
        <w:t> </w:t>
      </w:r>
      <w:r>
        <w:rPr>
          <w:rFonts w:ascii="Georgia" w:hAnsi="Georgia"/>
          <w:color w:val="2689C6"/>
          <w:sz w:val="21"/>
          <w:szCs w:val="21"/>
        </w:rPr>
        <w:t>Table 11.12 "Simplified Updated General Contingency Table"</w:t>
      </w:r>
      <w:r>
        <w:rPr>
          <w:rFonts w:ascii="Georgia" w:hAnsi="Georgia"/>
          <w:color w:val="333333"/>
          <w:sz w:val="21"/>
          <w:szCs w:val="21"/>
        </w:rPr>
        <w:t>, together with the conditions that it follow a chi-square distribution.</w:t>
      </w:r>
    </w:p>
    <w:p w:rsidR="00AD77BB" w:rsidRDefault="00B45BA0">
      <w:pPr>
        <w:tabs>
          <w:tab w:val="left" w:pos="5547"/>
        </w:tabs>
        <w:spacing w:line="360" w:lineRule="auto"/>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5C8D2BD6" wp14:editId="2ED78C62">
            <wp:extent cx="4400550" cy="3886200"/>
            <wp:effectExtent l="0" t="0" r="0" b="0"/>
            <wp:docPr id="446"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4400550" cy="3886200"/>
                    </a:xfrm>
                    <a:prstGeom prst="rect">
                      <a:avLst/>
                    </a:prstGeom>
                    <a:noFill/>
                    <a:ln>
                      <a:noFill/>
                    </a:ln>
                  </pic:spPr>
                </pic:pic>
              </a:graphicData>
            </a:graphic>
          </wp:inline>
        </w:drawing>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2</w:t>
      </w:r>
    </w:p>
    <w:p w:rsidR="00AD77BB" w:rsidRDefault="00B45BA0">
      <w:pPr>
        <w:pStyle w:val="para"/>
        <w:shd w:val="clear" w:color="auto" w:fill="DAEEF3" w:themeFill="accent5" w:themeFillTint="33"/>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2689C6"/>
          <w:sz w:val="21"/>
          <w:szCs w:val="21"/>
        </w:rPr>
        <w:t>Table 11.13 "Ethnic Groups in the Census Year"</w:t>
      </w:r>
      <w:r>
        <w:rPr>
          <w:rStyle w:val="apple-converted-space"/>
          <w:rFonts w:ascii="Calibri" w:eastAsiaTheme="majorEastAsia" w:hAnsi="Calibri"/>
          <w:color w:val="333333"/>
          <w:sz w:val="21"/>
          <w:szCs w:val="21"/>
        </w:rPr>
        <w:t> </w:t>
      </w:r>
      <w:r>
        <w:rPr>
          <w:rFonts w:ascii="Calibri" w:hAnsi="Calibri"/>
          <w:color w:val="333333"/>
          <w:sz w:val="21"/>
          <w:szCs w:val="21"/>
        </w:rPr>
        <w:t>shows the distribution of various ethnic groups in the population of a particular state based on a decennial U.S. census. Five years later a random sample of 2,500 residents of the state was taken, with the results given in</w:t>
      </w:r>
      <w:r>
        <w:rPr>
          <w:rStyle w:val="apple-converted-space"/>
          <w:rFonts w:ascii="Calibri" w:eastAsiaTheme="majorEastAsia" w:hAnsi="Calibri"/>
          <w:color w:val="333333"/>
          <w:sz w:val="21"/>
          <w:szCs w:val="21"/>
        </w:rPr>
        <w:t> </w:t>
      </w:r>
      <w:r>
        <w:rPr>
          <w:rFonts w:ascii="Calibri" w:hAnsi="Calibri"/>
          <w:color w:val="2689C6"/>
          <w:sz w:val="21"/>
          <w:szCs w:val="21"/>
        </w:rPr>
        <w:t>Table 11.14 "Sample Data Five Years After the Census Year"</w:t>
      </w:r>
      <w:r>
        <w:rPr>
          <w:rStyle w:val="apple-converted-space"/>
          <w:rFonts w:ascii="Calibri" w:eastAsiaTheme="majorEastAsia" w:hAnsi="Calibri"/>
          <w:color w:val="333333"/>
          <w:sz w:val="21"/>
          <w:szCs w:val="21"/>
        </w:rPr>
        <w:t> </w:t>
      </w:r>
      <w:r>
        <w:rPr>
          <w:rFonts w:ascii="Calibri" w:hAnsi="Calibri"/>
          <w:color w:val="333333"/>
          <w:sz w:val="21"/>
          <w:szCs w:val="21"/>
        </w:rPr>
        <w:t>(along with the probability distribution from the census year). Test, at the 1% level of significance, whether there is sufficient evidence in the sample to conclude that the distribution of ethnic groups in this state five years after the census had changed from that in the census year.</w:t>
      </w:r>
    </w:p>
    <w:p w:rsidR="00AD77BB" w:rsidRDefault="00B45BA0">
      <w:pPr>
        <w:pStyle w:val="Title9"/>
        <w:shd w:val="clear" w:color="auto" w:fill="08629A"/>
        <w:spacing w:before="0" w:beforeAutospacing="0" w:after="0" w:afterAutospacing="0" w:line="439" w:lineRule="atLeast"/>
        <w:ind w:left="300" w:right="375"/>
        <w:jc w:val="center"/>
        <w:textAlignment w:val="baseline"/>
        <w:rPr>
          <w:rFonts w:ascii="Calibri" w:hAnsi="Calibri"/>
          <w:caps/>
          <w:color w:val="FFFFFF"/>
          <w:spacing w:val="30"/>
          <w:sz w:val="25"/>
          <w:szCs w:val="25"/>
        </w:rPr>
      </w:pPr>
      <w:r>
        <w:rPr>
          <w:rStyle w:val="title-prefix"/>
          <w:rFonts w:ascii="Calibri" w:eastAsiaTheme="majorEastAsia" w:hAnsi="Calibri"/>
          <w:caps/>
          <w:color w:val="FFFFFF"/>
          <w:spacing w:val="30"/>
          <w:sz w:val="25"/>
          <w:szCs w:val="25"/>
        </w:rPr>
        <w:t>TABLE 11.13</w:t>
      </w:r>
      <w:r>
        <w:rPr>
          <w:rStyle w:val="apple-converted-space"/>
          <w:rFonts w:ascii="Calibri" w:eastAsiaTheme="majorEastAsia" w:hAnsi="Calibri"/>
          <w:caps/>
          <w:color w:val="FFFFFF"/>
          <w:spacing w:val="30"/>
          <w:sz w:val="25"/>
          <w:szCs w:val="25"/>
        </w:rPr>
        <w:t> </w:t>
      </w:r>
      <w:r>
        <w:rPr>
          <w:rFonts w:ascii="Calibri" w:hAnsi="Calibri"/>
          <w:caps/>
          <w:color w:val="FFFFFF"/>
          <w:spacing w:val="30"/>
          <w:sz w:val="25"/>
          <w:szCs w:val="25"/>
        </w:rPr>
        <w:t>ETHNIC GROUPS IN THE CENSUS YEAR</w:t>
      </w:r>
    </w:p>
    <w:tbl>
      <w:tblPr>
        <w:tblW w:w="0" w:type="auto"/>
        <w:tblCellMar>
          <w:left w:w="0" w:type="dxa"/>
          <w:right w:w="0" w:type="dxa"/>
        </w:tblCellMar>
        <w:tblLook w:val="04A0" w:firstRow="1" w:lastRow="0" w:firstColumn="1" w:lastColumn="0" w:noHBand="0" w:noVBand="1"/>
      </w:tblPr>
      <w:tblGrid>
        <w:gridCol w:w="1033"/>
        <w:gridCol w:w="658"/>
        <w:gridCol w:w="606"/>
        <w:gridCol w:w="1244"/>
        <w:gridCol w:w="852"/>
        <w:gridCol w:w="607"/>
        <w:gridCol w:w="714"/>
      </w:tblGrid>
      <w:tr w:rsidR="00AD77BB">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jc w:val="center"/>
              <w:rPr>
                <w:b/>
                <w:bCs/>
                <w:color w:val="F48800"/>
                <w:sz w:val="20"/>
                <w:szCs w:val="20"/>
              </w:rPr>
            </w:pPr>
            <w:r>
              <w:rPr>
                <w:b/>
                <w:bCs/>
                <w:color w:val="F48800"/>
                <w:sz w:val="20"/>
                <w:szCs w:val="20"/>
              </w:rPr>
              <w:t>Ethnicity</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jc w:val="center"/>
              <w:rPr>
                <w:b/>
                <w:bCs/>
                <w:color w:val="F48800"/>
                <w:sz w:val="20"/>
                <w:szCs w:val="20"/>
              </w:rPr>
            </w:pPr>
            <w:r>
              <w:rPr>
                <w:b/>
                <w:bCs/>
                <w:color w:val="F48800"/>
                <w:sz w:val="20"/>
                <w:szCs w:val="20"/>
              </w:rPr>
              <w:t>White</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jc w:val="center"/>
              <w:rPr>
                <w:b/>
                <w:bCs/>
                <w:color w:val="F48800"/>
                <w:sz w:val="20"/>
                <w:szCs w:val="20"/>
              </w:rPr>
            </w:pPr>
            <w:r>
              <w:rPr>
                <w:b/>
                <w:bCs/>
                <w:color w:val="F48800"/>
                <w:sz w:val="20"/>
                <w:szCs w:val="20"/>
              </w:rPr>
              <w:t>Black</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jc w:val="center"/>
              <w:rPr>
                <w:b/>
                <w:bCs/>
                <w:color w:val="F48800"/>
                <w:sz w:val="20"/>
                <w:szCs w:val="20"/>
              </w:rPr>
            </w:pPr>
            <w:r>
              <w:rPr>
                <w:b/>
                <w:bCs/>
                <w:color w:val="F48800"/>
                <w:sz w:val="20"/>
                <w:szCs w:val="20"/>
              </w:rPr>
              <w:t>Amer.-Indian</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jc w:val="center"/>
              <w:rPr>
                <w:b/>
                <w:bCs/>
                <w:color w:val="F48800"/>
                <w:sz w:val="20"/>
                <w:szCs w:val="20"/>
              </w:rPr>
            </w:pPr>
            <w:r>
              <w:rPr>
                <w:b/>
                <w:bCs/>
                <w:color w:val="F48800"/>
                <w:sz w:val="20"/>
                <w:szCs w:val="20"/>
              </w:rPr>
              <w:t>Hispanic</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jc w:val="center"/>
              <w:rPr>
                <w:b/>
                <w:bCs/>
                <w:color w:val="F48800"/>
                <w:sz w:val="20"/>
                <w:szCs w:val="20"/>
              </w:rPr>
            </w:pPr>
            <w:r>
              <w:rPr>
                <w:b/>
                <w:bCs/>
                <w:color w:val="F48800"/>
                <w:sz w:val="20"/>
                <w:szCs w:val="20"/>
              </w:rPr>
              <w:t>Asian</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jc w:val="center"/>
              <w:rPr>
                <w:b/>
                <w:bCs/>
                <w:color w:val="F48800"/>
                <w:sz w:val="20"/>
                <w:szCs w:val="20"/>
              </w:rPr>
            </w:pPr>
            <w:r>
              <w:rPr>
                <w:b/>
                <w:bCs/>
                <w:color w:val="F48800"/>
                <w:sz w:val="20"/>
                <w:szCs w:val="20"/>
              </w:rPr>
              <w:t>Others</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jc w:val="center"/>
              <w:rPr>
                <w:sz w:val="20"/>
                <w:szCs w:val="20"/>
              </w:rPr>
            </w:pPr>
            <w:r>
              <w:rPr>
                <w:sz w:val="20"/>
                <w:szCs w:val="20"/>
              </w:rPr>
              <w:t>Proportion</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jc w:val="center"/>
              <w:rPr>
                <w:sz w:val="20"/>
                <w:szCs w:val="20"/>
              </w:rPr>
            </w:pPr>
            <w:r>
              <w:rPr>
                <w:sz w:val="20"/>
                <w:szCs w:val="20"/>
              </w:rPr>
              <w:t>0.743</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jc w:val="center"/>
              <w:rPr>
                <w:sz w:val="20"/>
                <w:szCs w:val="20"/>
              </w:rPr>
            </w:pPr>
            <w:r>
              <w:rPr>
                <w:sz w:val="20"/>
                <w:szCs w:val="20"/>
              </w:rPr>
              <w:t>0.216</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jc w:val="center"/>
              <w:rPr>
                <w:sz w:val="20"/>
                <w:szCs w:val="20"/>
              </w:rPr>
            </w:pPr>
            <w:r>
              <w:rPr>
                <w:sz w:val="20"/>
                <w:szCs w:val="20"/>
              </w:rPr>
              <w:t>0.012</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jc w:val="center"/>
              <w:rPr>
                <w:sz w:val="20"/>
                <w:szCs w:val="20"/>
              </w:rPr>
            </w:pPr>
            <w:r>
              <w:rPr>
                <w:sz w:val="20"/>
                <w:szCs w:val="20"/>
              </w:rPr>
              <w:t>0.012</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jc w:val="center"/>
              <w:rPr>
                <w:sz w:val="20"/>
                <w:szCs w:val="20"/>
              </w:rPr>
            </w:pPr>
            <w:r>
              <w:rPr>
                <w:sz w:val="20"/>
                <w:szCs w:val="20"/>
              </w:rPr>
              <w:t>0.008</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jc w:val="center"/>
              <w:rPr>
                <w:sz w:val="20"/>
                <w:szCs w:val="20"/>
              </w:rPr>
            </w:pPr>
            <w:r>
              <w:rPr>
                <w:sz w:val="20"/>
                <w:szCs w:val="20"/>
              </w:rPr>
              <w:t>0.009</w:t>
            </w:r>
          </w:p>
        </w:tc>
      </w:tr>
    </w:tbl>
    <w:p w:rsidR="00AD77BB" w:rsidRDefault="00B45BA0">
      <w:pPr>
        <w:shd w:val="clear" w:color="auto" w:fill="08629A"/>
        <w:spacing w:line="439" w:lineRule="atLeast"/>
        <w:ind w:left="300" w:right="375"/>
        <w:jc w:val="center"/>
        <w:textAlignment w:val="baseline"/>
        <w:rPr>
          <w:rFonts w:ascii="Calibri" w:eastAsia="Times New Roman" w:hAnsi="Calibri" w:cs="Times New Roman"/>
          <w:caps/>
          <w:color w:val="FFFFFF"/>
          <w:spacing w:val="30"/>
          <w:sz w:val="25"/>
          <w:szCs w:val="25"/>
        </w:rPr>
      </w:pPr>
      <w:r>
        <w:rPr>
          <w:rFonts w:ascii="Calibri" w:eastAsia="Times New Roman" w:hAnsi="Calibri" w:cs="Times New Roman"/>
          <w:caps/>
          <w:color w:val="FFFFFF"/>
          <w:spacing w:val="30"/>
          <w:sz w:val="25"/>
          <w:szCs w:val="25"/>
        </w:rPr>
        <w:t>TABLE 11.14 SAMPLE DATA FIVE YEARS AFTER THE CENSUS YEAR</w:t>
      </w:r>
    </w:p>
    <w:tbl>
      <w:tblPr>
        <w:tblW w:w="0" w:type="auto"/>
        <w:tblCellMar>
          <w:left w:w="0" w:type="dxa"/>
          <w:right w:w="0" w:type="dxa"/>
        </w:tblCellMar>
        <w:tblLook w:val="04A0" w:firstRow="1" w:lastRow="0" w:firstColumn="1" w:lastColumn="0" w:noHBand="0" w:noVBand="1"/>
      </w:tblPr>
      <w:tblGrid>
        <w:gridCol w:w="1517"/>
        <w:gridCol w:w="2023"/>
        <w:gridCol w:w="1934"/>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b/>
                <w:bCs/>
                <w:color w:val="F48800"/>
                <w:sz w:val="20"/>
                <w:szCs w:val="20"/>
              </w:rPr>
            </w:pPr>
            <w:r>
              <w:rPr>
                <w:rFonts w:ascii="Times New Roman" w:eastAsia="Times New Roman" w:hAnsi="Times New Roman" w:cs="Times New Roman"/>
                <w:b/>
                <w:bCs/>
                <w:color w:val="F48800"/>
                <w:sz w:val="20"/>
                <w:szCs w:val="20"/>
              </w:rPr>
              <w:t>Ethnicity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b/>
                <w:bCs/>
                <w:color w:val="F48800"/>
                <w:sz w:val="20"/>
                <w:szCs w:val="20"/>
              </w:rPr>
            </w:pPr>
            <w:r>
              <w:rPr>
                <w:rFonts w:ascii="Times New Roman" w:eastAsia="Times New Roman" w:hAnsi="Times New Roman" w:cs="Times New Roman"/>
                <w:b/>
                <w:bCs/>
                <w:color w:val="F48800"/>
                <w:sz w:val="20"/>
                <w:szCs w:val="20"/>
              </w:rPr>
              <w:t>Assumed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b/>
                <w:bCs/>
                <w:color w:val="F48800"/>
                <w:sz w:val="20"/>
                <w:szCs w:val="20"/>
              </w:rPr>
            </w:pPr>
            <w:r>
              <w:rPr>
                <w:rFonts w:ascii="Times New Roman" w:eastAsia="Times New Roman" w:hAnsi="Times New Roman" w:cs="Times New Roman"/>
                <w:b/>
                <w:bCs/>
                <w:color w:val="F48800"/>
                <w:sz w:val="20"/>
                <w:szCs w:val="20"/>
              </w:rPr>
              <w:t>Observed Frequency</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White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1732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Black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538</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American-Indian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0.012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Hispanic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0.012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Asian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133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Others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23</w:t>
            </w:r>
          </w:p>
        </w:tc>
      </w:tr>
    </w:tbl>
    <w:p w:rsidR="00AD77BB" w:rsidRDefault="00B45BA0">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Solution:</w:t>
      </w:r>
    </w:p>
    <w:p w:rsidR="00AD77BB" w:rsidRDefault="00B45BA0">
      <w:pPr>
        <w:shd w:val="clear" w:color="auto" w:fill="DAEEF3" w:themeFill="accent5" w:themeFillTint="33"/>
        <w:spacing w:before="150"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We test using the critical value approach.</w:t>
      </w:r>
    </w:p>
    <w:p w:rsidR="00AD77BB" w:rsidRDefault="00B45BA0">
      <w:pPr>
        <w:pStyle w:val="para"/>
        <w:numPr>
          <w:ilvl w:val="0"/>
          <w:numId w:val="311"/>
        </w:numPr>
        <w:shd w:val="clear" w:color="auto" w:fill="DAEEF3" w:themeFill="accent5" w:themeFillTint="33"/>
        <w:spacing w:before="15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Step 1. The hypotheses of interest in this case can be expressed as</w:t>
      </w:r>
    </w:p>
    <w:p w:rsidR="00AD77BB" w:rsidRDefault="00B45BA0">
      <w:pPr>
        <w:shd w:val="clear" w:color="auto" w:fill="DAEEF3" w:themeFill="accent5" w:themeFillTint="33"/>
        <w:spacing w:line="360" w:lineRule="auto"/>
        <w:ind w:left="300" w:right="375"/>
        <w:jc w:val="center"/>
        <w:textAlignment w:val="baseline"/>
        <w:rPr>
          <w:rStyle w:val="mtext"/>
          <w:rFonts w:ascii="MathJax_Main" w:hAnsi="MathJax_Main"/>
          <w:sz w:val="17"/>
          <w:szCs w:val="17"/>
        </w:rPr>
      </w:pPr>
      <w:r>
        <w:rPr>
          <w:rStyle w:val="mi"/>
          <w:rFonts w:ascii="MathJax_Math" w:hAnsi="MathJax_Math"/>
          <w:i/>
          <w:iCs/>
          <w:color w:val="333333"/>
          <w:sz w:val="17"/>
          <w:szCs w:val="17"/>
        </w:rPr>
        <w:t>H</w:t>
      </w:r>
      <w:r>
        <w:rPr>
          <w:rStyle w:val="mn"/>
          <w:rFonts w:ascii="MathJax_Main" w:hAnsi="MathJax_Main"/>
          <w:color w:val="333333"/>
          <w:sz w:val="12"/>
          <w:szCs w:val="12"/>
        </w:rPr>
        <w:t>0</w:t>
      </w:r>
      <w:r>
        <w:rPr>
          <w:rStyle w:val="mo"/>
          <w:rFonts w:ascii="MathJax_Main" w:hAnsi="MathJax_Main"/>
          <w:color w:val="333333"/>
          <w:sz w:val="17"/>
          <w:szCs w:val="17"/>
        </w:rPr>
        <w:t>:</w:t>
      </w:r>
      <w:r>
        <w:rPr>
          <w:rStyle w:val="mtext"/>
          <w:rFonts w:ascii="MathJax_Main" w:hAnsi="MathJax_Main"/>
          <w:color w:val="333333"/>
          <w:sz w:val="17"/>
          <w:szCs w:val="17"/>
        </w:rPr>
        <w:t>The distribution of ethnic groups has not changed</w:t>
      </w:r>
    </w:p>
    <w:p w:rsidR="00AD77BB" w:rsidRDefault="00B45BA0">
      <w:pPr>
        <w:shd w:val="clear" w:color="auto" w:fill="DAEEF3" w:themeFill="accent5" w:themeFillTint="33"/>
        <w:spacing w:line="360" w:lineRule="auto"/>
        <w:ind w:left="300" w:right="375"/>
        <w:jc w:val="center"/>
        <w:textAlignment w:val="baseline"/>
      </w:pPr>
      <w:r>
        <w:rPr>
          <w:rStyle w:val="mtext"/>
          <w:rFonts w:ascii="MathJax_Main" w:hAnsi="MathJax_Main"/>
          <w:color w:val="333333"/>
          <w:sz w:val="17"/>
          <w:szCs w:val="17"/>
        </w:rPr>
        <w:t>vs. </w:t>
      </w:r>
      <w:r>
        <w:rPr>
          <w:rStyle w:val="mi"/>
          <w:rFonts w:ascii="MathJax_Math" w:hAnsi="MathJax_Math"/>
          <w:i/>
          <w:iCs/>
          <w:color w:val="333333"/>
          <w:sz w:val="17"/>
          <w:szCs w:val="17"/>
        </w:rPr>
        <w:t>H</w:t>
      </w:r>
      <w:r>
        <w:rPr>
          <w:rStyle w:val="mi"/>
          <w:rFonts w:ascii="MathJax_Math" w:hAnsi="MathJax_Math"/>
          <w:i/>
          <w:iCs/>
          <w:color w:val="333333"/>
          <w:sz w:val="12"/>
          <w:szCs w:val="12"/>
        </w:rPr>
        <w:t>a</w:t>
      </w:r>
      <w:r>
        <w:rPr>
          <w:rStyle w:val="mo"/>
          <w:rFonts w:ascii="MathJax_Main" w:hAnsi="MathJax_Main"/>
          <w:color w:val="333333"/>
          <w:sz w:val="17"/>
          <w:szCs w:val="17"/>
        </w:rPr>
        <w:t>:</w:t>
      </w:r>
      <w:r>
        <w:rPr>
          <w:rStyle w:val="mi"/>
          <w:rFonts w:ascii="MathJax_Math" w:hAnsi="MathJax_Math"/>
          <w:i/>
          <w:iCs/>
          <w:color w:val="333333"/>
          <w:sz w:val="17"/>
          <w:szCs w:val="17"/>
        </w:rPr>
        <w:t xml:space="preserve"> </w:t>
      </w:r>
      <w:r>
        <w:rPr>
          <w:rStyle w:val="mtext"/>
          <w:rFonts w:ascii="MathJax_Main" w:hAnsi="MathJax_Main"/>
          <w:color w:val="333333"/>
          <w:sz w:val="17"/>
          <w:szCs w:val="17"/>
        </w:rPr>
        <w:t>The distribution of ethnic groups </w:t>
      </w:r>
      <w:r>
        <w:rPr>
          <w:rStyle w:val="mi"/>
          <w:rFonts w:ascii="MathJax_Math" w:hAnsi="MathJax_Math"/>
          <w:i/>
          <w:iCs/>
          <w:color w:val="333333"/>
          <w:sz w:val="17"/>
          <w:szCs w:val="17"/>
        </w:rPr>
        <w:t>has</w:t>
      </w:r>
      <w:r>
        <w:rPr>
          <w:rStyle w:val="mtext"/>
          <w:rFonts w:ascii="MathJax_Main" w:hAnsi="MathJax_Main"/>
          <w:color w:val="333333"/>
          <w:sz w:val="17"/>
          <w:szCs w:val="17"/>
        </w:rPr>
        <w:t> changed</w:t>
      </w:r>
    </w:p>
    <w:p w:rsidR="00AD77BB" w:rsidRDefault="00B45BA0">
      <w:pPr>
        <w:numPr>
          <w:ilvl w:val="0"/>
          <w:numId w:val="311"/>
        </w:numPr>
        <w:shd w:val="clear" w:color="auto" w:fill="DAEEF3" w:themeFill="accent5" w:themeFillTint="33"/>
        <w:spacing w:after="0" w:line="360" w:lineRule="auto"/>
        <w:ind w:left="360" w:right="375"/>
        <w:textAlignment w:val="baseline"/>
        <w:rPr>
          <w:rFonts w:ascii="Calibri" w:hAnsi="Calibri"/>
          <w:color w:val="333333"/>
          <w:sz w:val="20"/>
          <w:szCs w:val="20"/>
        </w:rPr>
      </w:pPr>
      <w:r>
        <w:rPr>
          <w:rFonts w:ascii="Calibri" w:hAnsi="Calibri"/>
          <w:color w:val="333333"/>
          <w:sz w:val="20"/>
          <w:szCs w:val="20"/>
        </w:rPr>
        <w:t>Step 2. The distribution is chi-square.</w:t>
      </w:r>
    </w:p>
    <w:p w:rsidR="00AD77BB" w:rsidRDefault="00B45BA0">
      <w:pPr>
        <w:pStyle w:val="para"/>
        <w:shd w:val="clear" w:color="auto" w:fill="DAEEF3" w:themeFill="accent5" w:themeFillTint="33"/>
        <w:spacing w:before="0" w:beforeAutospacing="0" w:after="0" w:afterAutospacing="0" w:line="360" w:lineRule="auto"/>
        <w:ind w:left="600" w:right="750"/>
        <w:textAlignment w:val="baseline"/>
        <w:rPr>
          <w:rFonts w:ascii="Calibri" w:hAnsi="Calibri"/>
          <w:color w:val="333333"/>
          <w:sz w:val="20"/>
          <w:szCs w:val="20"/>
        </w:rPr>
      </w:pPr>
      <w:r>
        <w:rPr>
          <w:rFonts w:ascii="Calibri" w:hAnsi="Calibri"/>
          <w:color w:val="333333"/>
          <w:sz w:val="20"/>
          <w:szCs w:val="20"/>
        </w:rPr>
        <w:t>Step 3. To compute the value of the test statistic we must first compute the expected number for each row of</w:t>
      </w:r>
      <w:r>
        <w:rPr>
          <w:rStyle w:val="apple-converted-space"/>
          <w:rFonts w:ascii="Calibri" w:hAnsi="Calibri"/>
          <w:color w:val="333333"/>
          <w:sz w:val="20"/>
          <w:szCs w:val="20"/>
        </w:rPr>
        <w:t> </w:t>
      </w:r>
      <w:r>
        <w:rPr>
          <w:rFonts w:ascii="Calibri" w:hAnsi="Calibri"/>
          <w:color w:val="2689C6"/>
          <w:sz w:val="20"/>
          <w:szCs w:val="20"/>
        </w:rPr>
        <w:t>Table 11.14 "Sample Data Five Years After the Census Year"</w:t>
      </w:r>
      <w:r>
        <w:rPr>
          <w:rFonts w:ascii="Calibri" w:hAnsi="Calibri"/>
          <w:color w:val="333333"/>
          <w:sz w:val="20"/>
          <w:szCs w:val="20"/>
        </w:rPr>
        <w:t>. Since</w:t>
      </w:r>
      <w:r>
        <w:rPr>
          <w:rStyle w:val="apple-converted-space"/>
          <w:rFonts w:ascii="Calibri" w:hAnsi="Calibri"/>
          <w:color w:val="333333"/>
          <w:sz w:val="20"/>
          <w:szCs w:val="20"/>
        </w:rPr>
        <w:t> </w:t>
      </w:r>
      <w:r>
        <w:rPr>
          <w:rStyle w:val="Emphasis"/>
          <w:rFonts w:ascii="Calibri" w:hAnsi="Calibri"/>
          <w:color w:val="333333"/>
          <w:sz w:val="20"/>
          <w:szCs w:val="20"/>
        </w:rPr>
        <w:t>n</w:t>
      </w:r>
      <w:r>
        <w:rPr>
          <w:rStyle w:val="apple-converted-space"/>
          <w:rFonts w:ascii="Calibri" w:hAnsi="Calibri"/>
          <w:color w:val="333333"/>
          <w:sz w:val="20"/>
          <w:szCs w:val="20"/>
        </w:rPr>
        <w:t> </w:t>
      </w:r>
      <w:r>
        <w:rPr>
          <w:rFonts w:ascii="Calibri" w:hAnsi="Calibri"/>
          <w:color w:val="333333"/>
          <w:sz w:val="20"/>
          <w:szCs w:val="20"/>
        </w:rPr>
        <w:t>= 2500, using the formula</w:t>
      </w:r>
      <w:r>
        <w:rPr>
          <w:rStyle w:val="apple-converted-space"/>
          <w:rFonts w:ascii="Calibri" w:hAnsi="Calibri"/>
          <w:color w:val="333333"/>
          <w:sz w:val="20"/>
          <w:szCs w:val="20"/>
        </w:rPr>
        <w:t> </w:t>
      </w:r>
      <w:r>
        <w:rPr>
          <w:rStyle w:val="mi"/>
          <w:rFonts w:ascii="MathJax_Math" w:hAnsi="MathJax_Math"/>
          <w:i/>
          <w:iCs/>
          <w:color w:val="333333"/>
          <w:sz w:val="17"/>
          <w:szCs w:val="17"/>
        </w:rPr>
        <w:t>E</w:t>
      </w:r>
      <w:r>
        <w:rPr>
          <w:rStyle w:val="mi"/>
          <w:rFonts w:ascii="MathJax_Math" w:hAnsi="MathJax_Math"/>
          <w:i/>
          <w:iCs/>
          <w:color w:val="333333"/>
          <w:sz w:val="12"/>
          <w:szCs w:val="12"/>
        </w:rPr>
        <w:t>i</w:t>
      </w:r>
      <w:r>
        <w:rPr>
          <w:rStyle w:val="mo"/>
          <w:rFonts w:ascii="MathJax_Main" w:hAnsi="MathJax_Main"/>
          <w:color w:val="333333"/>
          <w:sz w:val="17"/>
          <w:szCs w:val="17"/>
        </w:rPr>
        <w:t>=</w:t>
      </w:r>
      <w:r>
        <w:rPr>
          <w:rStyle w:val="mi"/>
          <w:rFonts w:ascii="MathJax_Math" w:hAnsi="MathJax_Math"/>
          <w:i/>
          <w:iCs/>
          <w:color w:val="333333"/>
          <w:sz w:val="17"/>
          <w:szCs w:val="17"/>
        </w:rPr>
        <w:t>n</w:t>
      </w:r>
      <w:r>
        <w:rPr>
          <w:rStyle w:val="mo"/>
          <w:rFonts w:ascii="MathJax_Main" w:hAnsi="MathJax_Main"/>
          <w:color w:val="333333"/>
          <w:sz w:val="17"/>
          <w:szCs w:val="17"/>
        </w:rPr>
        <w:t>×</w:t>
      </w:r>
      <w:r>
        <w:rPr>
          <w:rStyle w:val="mi"/>
          <w:rFonts w:ascii="MathJax_Math" w:hAnsi="MathJax_Math"/>
          <w:i/>
          <w:iCs/>
          <w:color w:val="333333"/>
          <w:sz w:val="17"/>
          <w:szCs w:val="17"/>
        </w:rPr>
        <w:t>p</w:t>
      </w:r>
      <w:r>
        <w:rPr>
          <w:rStyle w:val="mi"/>
          <w:rFonts w:ascii="MathJax_Math" w:hAnsi="MathJax_Math"/>
          <w:i/>
          <w:iCs/>
          <w:color w:val="333333"/>
          <w:sz w:val="12"/>
          <w:szCs w:val="12"/>
        </w:rPr>
        <w:t>i</w:t>
      </w:r>
      <w:r>
        <w:rPr>
          <w:rStyle w:val="apple-converted-space"/>
          <w:rFonts w:ascii="Calibri" w:hAnsi="Calibri"/>
          <w:color w:val="333333"/>
          <w:sz w:val="20"/>
          <w:szCs w:val="20"/>
        </w:rPr>
        <w:t> </w:t>
      </w:r>
      <w:r>
        <w:rPr>
          <w:rFonts w:ascii="Calibri" w:hAnsi="Calibri"/>
          <w:color w:val="333333"/>
          <w:sz w:val="20"/>
          <w:szCs w:val="20"/>
        </w:rPr>
        <w:t>and the values of</w:t>
      </w:r>
      <w:r>
        <w:rPr>
          <w:rStyle w:val="apple-converted-space"/>
          <w:rFonts w:ascii="Calibri" w:hAnsi="Calibri"/>
          <w:color w:val="333333"/>
          <w:sz w:val="20"/>
          <w:szCs w:val="20"/>
        </w:rPr>
        <w:t> </w:t>
      </w:r>
      <w:r>
        <w:rPr>
          <w:rStyle w:val="Emphasis"/>
          <w:rFonts w:ascii="Calibri" w:hAnsi="Calibri"/>
          <w:color w:val="333333"/>
          <w:sz w:val="20"/>
          <w:szCs w:val="20"/>
        </w:rPr>
        <w:t>p</w:t>
      </w:r>
      <w:r>
        <w:rPr>
          <w:rStyle w:val="Emphasis"/>
          <w:rFonts w:ascii="Calibri" w:hAnsi="Calibri"/>
          <w:color w:val="333333"/>
          <w:sz w:val="15"/>
          <w:szCs w:val="15"/>
          <w:vertAlign w:val="subscript"/>
        </w:rPr>
        <w:t>i</w:t>
      </w:r>
      <w:r>
        <w:rPr>
          <w:rStyle w:val="apple-converted-space"/>
          <w:rFonts w:ascii="Calibri" w:hAnsi="Calibri"/>
          <w:color w:val="333333"/>
          <w:sz w:val="20"/>
          <w:szCs w:val="20"/>
        </w:rPr>
        <w:t> </w:t>
      </w:r>
      <w:r>
        <w:rPr>
          <w:rFonts w:ascii="Calibri" w:hAnsi="Calibri"/>
          <w:color w:val="333333"/>
          <w:sz w:val="20"/>
          <w:szCs w:val="20"/>
        </w:rPr>
        <w:t>from either</w:t>
      </w:r>
      <w:r>
        <w:rPr>
          <w:rStyle w:val="apple-converted-space"/>
          <w:rFonts w:ascii="Calibri" w:hAnsi="Calibri"/>
          <w:color w:val="333333"/>
          <w:sz w:val="20"/>
          <w:szCs w:val="20"/>
        </w:rPr>
        <w:t> </w:t>
      </w:r>
      <w:r>
        <w:rPr>
          <w:rFonts w:ascii="Calibri" w:hAnsi="Calibri"/>
          <w:color w:val="2689C6"/>
          <w:sz w:val="20"/>
          <w:szCs w:val="20"/>
        </w:rPr>
        <w:t>Table 11.13 "Ethnic Groups in the Census Year"</w:t>
      </w:r>
      <w:r>
        <w:rPr>
          <w:rStyle w:val="apple-converted-space"/>
          <w:rFonts w:ascii="Calibri" w:hAnsi="Calibri"/>
          <w:color w:val="333333"/>
          <w:sz w:val="20"/>
          <w:szCs w:val="20"/>
        </w:rPr>
        <w:t> </w:t>
      </w:r>
      <w:r>
        <w:rPr>
          <w:rFonts w:ascii="Calibri" w:hAnsi="Calibri"/>
          <w:color w:val="333333"/>
          <w:sz w:val="20"/>
          <w:szCs w:val="20"/>
        </w:rPr>
        <w:t>or</w:t>
      </w:r>
      <w:r>
        <w:rPr>
          <w:rStyle w:val="apple-converted-space"/>
          <w:rFonts w:ascii="Calibri" w:hAnsi="Calibri"/>
          <w:color w:val="333333"/>
          <w:sz w:val="20"/>
          <w:szCs w:val="20"/>
        </w:rPr>
        <w:t> </w:t>
      </w:r>
      <w:r>
        <w:rPr>
          <w:rFonts w:ascii="Calibri" w:hAnsi="Calibri"/>
          <w:color w:val="2689C6"/>
          <w:sz w:val="20"/>
          <w:szCs w:val="20"/>
        </w:rPr>
        <w:t>Table 11.14 "Sample Data Five Years After the Census Year"</w:t>
      </w:r>
      <w:r>
        <w:rPr>
          <w:rFonts w:ascii="Calibri" w:hAnsi="Calibri"/>
          <w:color w:val="333333"/>
          <w:sz w:val="20"/>
          <w:szCs w:val="20"/>
        </w:rPr>
        <w:t>,</w:t>
      </w:r>
    </w:p>
    <w:p w:rsidR="00AD77BB" w:rsidRDefault="00B45BA0">
      <w:pPr>
        <w:pStyle w:val="para"/>
        <w:spacing w:before="0" w:beforeAutospacing="0" w:after="0" w:afterAutospacing="0" w:line="439" w:lineRule="atLeast"/>
        <w:ind w:right="750"/>
        <w:textAlignment w:val="baseline"/>
        <w:rPr>
          <w:rFonts w:ascii="Calibri" w:hAnsi="Calibri"/>
          <w:color w:val="333333"/>
          <w:sz w:val="20"/>
          <w:szCs w:val="20"/>
        </w:rPr>
      </w:pPr>
      <w:r>
        <w:rPr>
          <w:rFonts w:ascii="Calibri" w:hAnsi="Calibri"/>
          <w:noProof/>
          <w:color w:val="333333"/>
          <w:sz w:val="20"/>
          <w:szCs w:val="20"/>
        </w:rPr>
        <w:lastRenderedPageBreak/>
        <w:drawing>
          <wp:inline distT="0" distB="0" distL="0" distR="0" wp14:anchorId="1E3144B3" wp14:editId="63254A3C">
            <wp:extent cx="4962525" cy="5438775"/>
            <wp:effectExtent l="0" t="0" r="9525" b="9525"/>
            <wp:docPr id="447"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4962525" cy="5438775"/>
                    </a:xfrm>
                    <a:prstGeom prst="rect">
                      <a:avLst/>
                    </a:prstGeom>
                    <a:noFill/>
                    <a:ln>
                      <a:noFill/>
                    </a:ln>
                  </pic:spPr>
                </pic:pic>
              </a:graphicData>
            </a:graphic>
          </wp:inline>
        </w:drawing>
      </w:r>
    </w:p>
    <w:p w:rsidR="00AD77BB" w:rsidRDefault="00B45BA0">
      <w:pPr>
        <w:shd w:val="clear" w:color="auto" w:fill="FFFFFF" w:themeFill="background1"/>
        <w:spacing w:before="150" w:after="0" w:line="439" w:lineRule="atLeast"/>
        <w:ind w:left="300" w:right="375"/>
        <w:textAlignment w:val="baseline"/>
        <w:rPr>
          <w:rFonts w:ascii="Calibri" w:eastAsia="Times New Roman" w:hAnsi="Calibri" w:cs="Times New Roman"/>
          <w:color w:val="333333"/>
          <w:sz w:val="21"/>
          <w:szCs w:val="21"/>
        </w:rPr>
      </w:pPr>
      <w:r>
        <w:rPr>
          <w:rFonts w:ascii="Calibri" w:eastAsia="Times New Roman" w:hAnsi="Calibri" w:cs="Times New Roman"/>
          <w:noProof/>
          <w:color w:val="333333"/>
          <w:sz w:val="21"/>
          <w:szCs w:val="21"/>
        </w:rPr>
        <w:lastRenderedPageBreak/>
        <w:drawing>
          <wp:inline distT="0" distB="0" distL="0" distR="0" wp14:anchorId="289DDD61" wp14:editId="4B429633">
            <wp:extent cx="4867275" cy="6067425"/>
            <wp:effectExtent l="0" t="0" r="9525" b="9525"/>
            <wp:docPr id="448"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867275" cy="6067425"/>
                    </a:xfrm>
                    <a:prstGeom prst="rect">
                      <a:avLst/>
                    </a:prstGeom>
                    <a:noFill/>
                    <a:ln>
                      <a:noFill/>
                    </a:ln>
                  </pic:spPr>
                </pic:pic>
              </a:graphicData>
            </a:graphic>
          </wp:inline>
        </w:drawing>
      </w: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KEY TAKEAWAY</w:t>
      </w:r>
    </w:p>
    <w:p w:rsidR="00AD77BB" w:rsidRDefault="00B45BA0">
      <w:pPr>
        <w:numPr>
          <w:ilvl w:val="0"/>
          <w:numId w:val="312"/>
        </w:numPr>
        <w:spacing w:after="0" w:line="360" w:lineRule="auto"/>
        <w:ind w:left="360" w:right="374"/>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w:t>
      </w:r>
      <w:r>
        <w:rPr>
          <w:rFonts w:ascii="Calibri" w:eastAsia="Times New Roman" w:hAnsi="Calibri" w:cs="Times New Roman"/>
          <w:b/>
          <w:color w:val="333333"/>
          <w:sz w:val="20"/>
          <w:szCs w:val="20"/>
        </w:rPr>
        <w:t>chi-square goodness-of-fit test</w:t>
      </w:r>
      <w:r>
        <w:rPr>
          <w:rFonts w:ascii="Calibri" w:eastAsia="Times New Roman" w:hAnsi="Calibri" w:cs="Times New Roman"/>
          <w:color w:val="333333"/>
          <w:sz w:val="20"/>
          <w:szCs w:val="20"/>
        </w:rPr>
        <w:t> can be used to evaluate the hypothesis that a sample is taken from a population with an assumed specific probability distribution.</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EXERCISES</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BASIC</w:t>
      </w:r>
    </w:p>
    <w:p w:rsidR="00AD77BB" w:rsidRDefault="00B45BA0">
      <w:pPr>
        <w:numPr>
          <w:ilvl w:val="0"/>
          <w:numId w:val="313"/>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data sample is sorted into five categories with an assumed probability distribution.</w:t>
      </w:r>
    </w:p>
    <w:tbl>
      <w:tblPr>
        <w:tblW w:w="0" w:type="auto"/>
        <w:tblInd w:w="450" w:type="dxa"/>
        <w:tblCellMar>
          <w:left w:w="0" w:type="dxa"/>
          <w:right w:w="0" w:type="dxa"/>
        </w:tblCellMar>
        <w:tblLook w:val="04A0" w:firstRow="1" w:lastRow="0" w:firstColumn="1" w:lastColumn="0" w:noHBand="0" w:noVBand="1"/>
      </w:tblPr>
      <w:tblGrid>
        <w:gridCol w:w="1543"/>
        <w:gridCol w:w="2398"/>
        <w:gridCol w:w="229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Factor Levels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Assumed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Observed Frequency</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MathJax_Math" w:eastAsia="Times New Roman" w:hAnsi="MathJax_Math" w:cs="Times New Roman"/>
                <w:i/>
                <w:iCs/>
                <w:sz w:val="17"/>
                <w:szCs w:val="17"/>
              </w:rPr>
              <w:t>p</w:t>
            </w:r>
            <w:r>
              <w:rPr>
                <w:rFonts w:ascii="MathJax_Main" w:eastAsia="Times New Roman" w:hAnsi="MathJax_Main" w:cs="Times New Roman"/>
                <w:sz w:val="12"/>
                <w:szCs w:val="12"/>
              </w:rPr>
              <w:t>1</w:t>
            </w:r>
            <w:r>
              <w:rPr>
                <w:rFonts w:ascii="MathJax_Main" w:eastAsia="Times New Roman" w:hAnsi="MathJax_Main" w:cs="Times New Roman"/>
                <w:sz w:val="17"/>
                <w:szCs w:val="17"/>
              </w:rPr>
              <w:t>=0.1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MathJax_Math" w:eastAsia="Times New Roman" w:hAnsi="MathJax_Math" w:cs="Times New Roman"/>
                <w:i/>
                <w:iCs/>
                <w:sz w:val="17"/>
                <w:szCs w:val="17"/>
              </w:rPr>
              <w:t>p</w:t>
            </w:r>
            <w:r>
              <w:rPr>
                <w:rFonts w:ascii="MathJax_Main" w:eastAsia="Times New Roman" w:hAnsi="MathJax_Main" w:cs="Times New Roman"/>
                <w:sz w:val="12"/>
                <w:szCs w:val="12"/>
              </w:rPr>
              <w:t>2</w:t>
            </w:r>
            <w:r>
              <w:rPr>
                <w:rFonts w:ascii="MathJax_Main" w:eastAsia="Times New Roman" w:hAnsi="MathJax_Main" w:cs="Times New Roman"/>
                <w:sz w:val="17"/>
                <w:szCs w:val="17"/>
              </w:rPr>
              <w:t>=0.4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MathJax_Math" w:eastAsia="Times New Roman" w:hAnsi="MathJax_Math" w:cs="Times New Roman"/>
                <w:i/>
                <w:iCs/>
                <w:sz w:val="17"/>
                <w:szCs w:val="17"/>
              </w:rPr>
              <w:t>p</w:t>
            </w:r>
            <w:r>
              <w:rPr>
                <w:rFonts w:ascii="MathJax_Main" w:eastAsia="Times New Roman" w:hAnsi="MathJax_Main" w:cs="Times New Roman"/>
                <w:sz w:val="12"/>
                <w:szCs w:val="12"/>
              </w:rPr>
              <w:t>3</w:t>
            </w:r>
            <w:r>
              <w:rPr>
                <w:rFonts w:ascii="MathJax_Main" w:eastAsia="Times New Roman" w:hAnsi="MathJax_Main" w:cs="Times New Roman"/>
                <w:sz w:val="17"/>
                <w:szCs w:val="17"/>
              </w:rPr>
              <w:t>=0.4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r>
      <w:tr w:rsidR="00AD77BB">
        <w:trPr>
          <w:trHeight w:val="468"/>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MathJax_Math" w:eastAsia="Times New Roman" w:hAnsi="MathJax_Math" w:cs="Times New Roman"/>
                <w:i/>
                <w:iCs/>
                <w:sz w:val="17"/>
                <w:szCs w:val="17"/>
              </w:rPr>
              <w:t>p</w:t>
            </w:r>
            <w:r>
              <w:rPr>
                <w:rFonts w:ascii="MathJax_Main" w:eastAsia="Times New Roman" w:hAnsi="MathJax_Main" w:cs="Times New Roman"/>
                <w:sz w:val="12"/>
                <w:szCs w:val="12"/>
              </w:rPr>
              <w:t>4</w:t>
            </w:r>
            <w:r>
              <w:rPr>
                <w:rFonts w:ascii="MathJax_Main" w:eastAsia="Times New Roman" w:hAnsi="MathJax_Main" w:cs="Times New Roman"/>
                <w:sz w:val="17"/>
                <w:szCs w:val="17"/>
              </w:rPr>
              <w:t>=0.1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r>
    </w:tbl>
    <w:p w:rsidR="00AD77BB" w:rsidRDefault="00B45BA0">
      <w:pPr>
        <w:numPr>
          <w:ilvl w:val="1"/>
          <w:numId w:val="31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size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of the sample.</w:t>
      </w:r>
    </w:p>
    <w:p w:rsidR="00AD77BB" w:rsidRDefault="00B45BA0">
      <w:pPr>
        <w:numPr>
          <w:ilvl w:val="1"/>
          <w:numId w:val="31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expected number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of observations for each level, if the sampled population has a probability distribution as assumed (that is, just use the formula </w:t>
      </w:r>
      <w:r>
        <w:rPr>
          <w:rFonts w:ascii="MathJax_Math" w:eastAsia="Times New Roman" w:hAnsi="MathJax_Math" w:cs="Times New Roman"/>
          <w:i/>
          <w:iCs/>
          <w:color w:val="333333"/>
          <w:sz w:val="17"/>
          <w:szCs w:val="17"/>
        </w:rPr>
        <w:t>E</w:t>
      </w:r>
      <w:r>
        <w:rPr>
          <w:rFonts w:ascii="MathJax_Math" w:eastAsia="Times New Roman" w:hAnsi="MathJax_Math" w:cs="Times New Roman"/>
          <w:i/>
          <w:iCs/>
          <w:color w:val="333333"/>
          <w:sz w:val="12"/>
          <w:szCs w:val="12"/>
        </w:rPr>
        <w:t>i</w:t>
      </w:r>
      <w:r>
        <w:rPr>
          <w:rFonts w:ascii="MathJax_Main" w:eastAsia="Times New Roman" w:hAnsi="MathJax_Main" w:cs="Times New Roman"/>
          <w:color w:val="333333"/>
          <w:sz w:val="17"/>
          <w:szCs w:val="17"/>
        </w:rPr>
        <w:t>=</w:t>
      </w:r>
      <w:r>
        <w:rPr>
          <w:rFonts w:ascii="MathJax_Math" w:eastAsia="Times New Roman" w:hAnsi="MathJax_Math" w:cs="Times New Roman"/>
          <w:i/>
          <w:iCs/>
          <w:color w:val="333333"/>
          <w:sz w:val="17"/>
          <w:szCs w:val="17"/>
        </w:rPr>
        <w:t>n</w:t>
      </w:r>
      <w:r>
        <w:rPr>
          <w:rFonts w:ascii="MathJax_Main" w:eastAsia="Times New Roman" w:hAnsi="MathJax_Main" w:cs="Times New Roman"/>
          <w:color w:val="333333"/>
          <w:sz w:val="17"/>
          <w:szCs w:val="17"/>
        </w:rPr>
        <w:t>×</w:t>
      </w:r>
      <w:r>
        <w:rPr>
          <w:rFonts w:ascii="MathJax_Math" w:eastAsia="Times New Roman" w:hAnsi="MathJax_Math" w:cs="Times New Roman"/>
          <w:i/>
          <w:iCs/>
          <w:color w:val="333333"/>
          <w:sz w:val="17"/>
          <w:szCs w:val="17"/>
        </w:rPr>
        <w:t>p</w:t>
      </w:r>
      <w:r>
        <w:rPr>
          <w:rFonts w:ascii="MathJax_Math" w:eastAsia="Times New Roman" w:hAnsi="MathJax_Math" w:cs="Times New Roman"/>
          <w:i/>
          <w:iCs/>
          <w:color w:val="333333"/>
          <w:sz w:val="12"/>
          <w:szCs w:val="12"/>
        </w:rPr>
        <w:t>i</w:t>
      </w:r>
      <w:r>
        <w:rPr>
          <w:rFonts w:ascii="Calibri" w:eastAsia="Times New Roman" w:hAnsi="Calibri" w:cs="Times New Roman"/>
          <w:color w:val="333333"/>
          <w:sz w:val="20"/>
          <w:szCs w:val="20"/>
        </w:rPr>
        <w:t>).</w:t>
      </w:r>
    </w:p>
    <w:p w:rsidR="00AD77BB" w:rsidRDefault="00B45BA0">
      <w:pPr>
        <w:numPr>
          <w:ilvl w:val="1"/>
          <w:numId w:val="31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chi-square test statistic </w:t>
      </w:r>
      <w:r>
        <w:rPr>
          <w:rFonts w:ascii="MathJax_Math" w:eastAsia="Times New Roman" w:hAnsi="MathJax_Math" w:cs="Times New Roman"/>
          <w:i/>
          <w:iCs/>
          <w:color w:val="333333"/>
          <w:sz w:val="17"/>
          <w:szCs w:val="17"/>
        </w:rPr>
        <w:t>χ</w:t>
      </w:r>
      <w:r>
        <w:rPr>
          <w:rFonts w:ascii="MathJax_Main" w:eastAsia="Times New Roman" w:hAnsi="MathJax_Main" w:cs="Times New Roman"/>
          <w:color w:val="333333"/>
          <w:sz w:val="12"/>
          <w:szCs w:val="12"/>
        </w:rPr>
        <w:t>2</w:t>
      </w:r>
      <w:r>
        <w:rPr>
          <w:rFonts w:ascii="MathJax_Main" w:eastAsia="Times New Roman" w:hAnsi="MathJax_Main" w:cs="Times New Roman"/>
          <w:color w:val="333333"/>
          <w:sz w:val="17"/>
          <w:szCs w:val="17"/>
        </w:rPr>
        <w:t>.</w:t>
      </w:r>
    </w:p>
    <w:p w:rsidR="00AD77BB" w:rsidRDefault="00B45BA0">
      <w:pPr>
        <w:numPr>
          <w:ilvl w:val="1"/>
          <w:numId w:val="31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number of degrees of freedom of the chi-square test statistic.</w:t>
      </w:r>
    </w:p>
    <w:p w:rsidR="00AD77BB" w:rsidRDefault="00B45BA0">
      <w:pPr>
        <w:numPr>
          <w:ilvl w:val="0"/>
          <w:numId w:val="313"/>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data sample is sorted into five categories with an assumed probability distribution.</w:t>
      </w:r>
    </w:p>
    <w:tbl>
      <w:tblPr>
        <w:tblW w:w="0" w:type="auto"/>
        <w:tblInd w:w="450" w:type="dxa"/>
        <w:tblCellMar>
          <w:left w:w="0" w:type="dxa"/>
          <w:right w:w="0" w:type="dxa"/>
        </w:tblCellMar>
        <w:tblLook w:val="04A0" w:firstRow="1" w:lastRow="0" w:firstColumn="1" w:lastColumn="0" w:noHBand="0" w:noVBand="1"/>
      </w:tblPr>
      <w:tblGrid>
        <w:gridCol w:w="1543"/>
        <w:gridCol w:w="2398"/>
        <w:gridCol w:w="229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Factor Levels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Assumed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Observed Frequency</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MathJax_Math" w:eastAsia="Times New Roman" w:hAnsi="MathJax_Math" w:cs="Times New Roman"/>
                <w:i/>
                <w:iCs/>
                <w:sz w:val="17"/>
                <w:szCs w:val="17"/>
              </w:rPr>
              <w:t>p</w:t>
            </w:r>
            <w:r>
              <w:rPr>
                <w:rFonts w:ascii="MathJax_Main" w:eastAsia="Times New Roman" w:hAnsi="MathJax_Main" w:cs="Times New Roman"/>
                <w:sz w:val="12"/>
                <w:szCs w:val="12"/>
              </w:rPr>
              <w:t>1</w:t>
            </w:r>
            <w:r>
              <w:rPr>
                <w:rFonts w:ascii="MathJax_Main" w:eastAsia="Times New Roman" w:hAnsi="MathJax_Main" w:cs="Times New Roman"/>
                <w:sz w:val="17"/>
                <w:szCs w:val="17"/>
              </w:rPr>
              <w:t>=0.3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MathJax_Math" w:eastAsia="Times New Roman" w:hAnsi="MathJax_Math" w:cs="Times New Roman"/>
                <w:i/>
                <w:iCs/>
                <w:sz w:val="17"/>
                <w:szCs w:val="17"/>
              </w:rPr>
              <w:t>p</w:t>
            </w:r>
            <w:r>
              <w:rPr>
                <w:rFonts w:ascii="MathJax_Main" w:eastAsia="Times New Roman" w:hAnsi="MathJax_Main" w:cs="Times New Roman"/>
                <w:sz w:val="12"/>
                <w:szCs w:val="12"/>
              </w:rPr>
              <w:t>2</w:t>
            </w:r>
            <w:r>
              <w:rPr>
                <w:rFonts w:ascii="MathJax_Main" w:eastAsia="Times New Roman" w:hAnsi="MathJax_Main" w:cs="Times New Roman"/>
                <w:sz w:val="17"/>
                <w:szCs w:val="17"/>
              </w:rPr>
              <w:t>=0.3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MathJax_Math" w:eastAsia="Times New Roman" w:hAnsi="MathJax_Math" w:cs="Times New Roman"/>
                <w:i/>
                <w:iCs/>
                <w:sz w:val="17"/>
                <w:szCs w:val="17"/>
              </w:rPr>
              <w:t>p</w:t>
            </w:r>
            <w:r>
              <w:rPr>
                <w:rFonts w:ascii="MathJax_Main" w:eastAsia="Times New Roman" w:hAnsi="MathJax_Main" w:cs="Times New Roman"/>
                <w:sz w:val="12"/>
                <w:szCs w:val="12"/>
              </w:rPr>
              <w:t>3</w:t>
            </w:r>
            <w:r>
              <w:rPr>
                <w:rFonts w:ascii="MathJax_Main" w:eastAsia="Times New Roman" w:hAnsi="MathJax_Main" w:cs="Times New Roman"/>
                <w:sz w:val="17"/>
                <w:szCs w:val="17"/>
              </w:rPr>
              <w:t>=0.2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MathJax_Math" w:eastAsia="Times New Roman" w:hAnsi="MathJax_Math" w:cs="Times New Roman"/>
                <w:i/>
                <w:iCs/>
                <w:sz w:val="17"/>
                <w:szCs w:val="17"/>
              </w:rPr>
              <w:t>p</w:t>
            </w:r>
            <w:r>
              <w:rPr>
                <w:rFonts w:ascii="MathJax_Main" w:eastAsia="Times New Roman" w:hAnsi="MathJax_Main" w:cs="Times New Roman"/>
                <w:sz w:val="12"/>
                <w:szCs w:val="12"/>
              </w:rPr>
              <w:t>4</w:t>
            </w:r>
            <w:r>
              <w:rPr>
                <w:rFonts w:ascii="MathJax_Main" w:eastAsia="Times New Roman" w:hAnsi="MathJax_Main" w:cs="Times New Roman"/>
                <w:sz w:val="17"/>
                <w:szCs w:val="17"/>
              </w:rPr>
              <w:t>=0.1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MathJax_Math" w:eastAsia="Times New Roman" w:hAnsi="MathJax_Math" w:cs="Times New Roman"/>
                <w:i/>
                <w:iCs/>
                <w:sz w:val="17"/>
                <w:szCs w:val="17"/>
              </w:rPr>
              <w:t>p</w:t>
            </w:r>
            <w:r>
              <w:rPr>
                <w:rFonts w:ascii="MathJax_Main" w:eastAsia="Times New Roman" w:hAnsi="MathJax_Main" w:cs="Times New Roman"/>
                <w:sz w:val="12"/>
                <w:szCs w:val="12"/>
              </w:rPr>
              <w:t>5</w:t>
            </w:r>
            <w:r>
              <w:rPr>
                <w:rFonts w:ascii="MathJax_Main" w:eastAsia="Times New Roman" w:hAnsi="MathJax_Main" w:cs="Times New Roman"/>
                <w:sz w:val="17"/>
                <w:szCs w:val="17"/>
              </w:rPr>
              <w:t>=0.1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r>
    </w:tbl>
    <w:p w:rsidR="00AD77BB" w:rsidRDefault="00B45BA0">
      <w:pPr>
        <w:numPr>
          <w:ilvl w:val="1"/>
          <w:numId w:val="31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size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 of the sample.</w:t>
      </w:r>
    </w:p>
    <w:p w:rsidR="00AD77BB" w:rsidRDefault="00B45BA0">
      <w:pPr>
        <w:numPr>
          <w:ilvl w:val="1"/>
          <w:numId w:val="31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expected number </w:t>
      </w:r>
      <w:r>
        <w:rPr>
          <w:rFonts w:ascii="Calibri" w:eastAsia="Times New Roman" w:hAnsi="Calibri" w:cs="Times New Roman"/>
          <w:i/>
          <w:iCs/>
          <w:color w:val="333333"/>
          <w:sz w:val="20"/>
          <w:szCs w:val="20"/>
        </w:rPr>
        <w:t>E</w:t>
      </w:r>
      <w:r>
        <w:rPr>
          <w:rFonts w:ascii="Calibri" w:eastAsia="Times New Roman" w:hAnsi="Calibri" w:cs="Times New Roman"/>
          <w:color w:val="333333"/>
          <w:sz w:val="20"/>
          <w:szCs w:val="20"/>
        </w:rPr>
        <w:t> of observations for each level, if the sampled population has a probability distribution as assumed (that is, just use the formula </w:t>
      </w:r>
      <w:r>
        <w:rPr>
          <w:rFonts w:ascii="MathJax_Math" w:eastAsia="Times New Roman" w:hAnsi="MathJax_Math" w:cs="Times New Roman"/>
          <w:i/>
          <w:iCs/>
          <w:color w:val="333333"/>
          <w:sz w:val="17"/>
          <w:szCs w:val="17"/>
        </w:rPr>
        <w:t>E</w:t>
      </w:r>
      <w:r>
        <w:rPr>
          <w:rFonts w:ascii="MathJax_Math" w:eastAsia="Times New Roman" w:hAnsi="MathJax_Math" w:cs="Times New Roman"/>
          <w:i/>
          <w:iCs/>
          <w:color w:val="333333"/>
          <w:sz w:val="12"/>
          <w:szCs w:val="12"/>
        </w:rPr>
        <w:t>i</w:t>
      </w:r>
      <w:r>
        <w:rPr>
          <w:rFonts w:ascii="MathJax_Main" w:eastAsia="Times New Roman" w:hAnsi="MathJax_Main" w:cs="Times New Roman"/>
          <w:color w:val="333333"/>
          <w:sz w:val="17"/>
          <w:szCs w:val="17"/>
        </w:rPr>
        <w:t>=</w:t>
      </w:r>
      <w:r>
        <w:rPr>
          <w:rFonts w:ascii="MathJax_Math" w:eastAsia="Times New Roman" w:hAnsi="MathJax_Math" w:cs="Times New Roman"/>
          <w:i/>
          <w:iCs/>
          <w:color w:val="333333"/>
          <w:sz w:val="17"/>
          <w:szCs w:val="17"/>
        </w:rPr>
        <w:t>n</w:t>
      </w:r>
      <w:r>
        <w:rPr>
          <w:rFonts w:ascii="MathJax_Main" w:eastAsia="Times New Roman" w:hAnsi="MathJax_Main" w:cs="Times New Roman"/>
          <w:color w:val="333333"/>
          <w:sz w:val="17"/>
          <w:szCs w:val="17"/>
        </w:rPr>
        <w:t>×</w:t>
      </w:r>
      <w:r>
        <w:rPr>
          <w:rFonts w:ascii="MathJax_Math" w:eastAsia="Times New Roman" w:hAnsi="MathJax_Math" w:cs="Times New Roman"/>
          <w:i/>
          <w:iCs/>
          <w:color w:val="333333"/>
          <w:sz w:val="17"/>
          <w:szCs w:val="17"/>
        </w:rPr>
        <w:t>p</w:t>
      </w:r>
      <w:r>
        <w:rPr>
          <w:rFonts w:ascii="MathJax_Math" w:eastAsia="Times New Roman" w:hAnsi="MathJax_Math" w:cs="Times New Roman"/>
          <w:i/>
          <w:iCs/>
          <w:color w:val="333333"/>
          <w:sz w:val="12"/>
          <w:szCs w:val="12"/>
        </w:rPr>
        <w:t>i</w:t>
      </w:r>
      <w:r>
        <w:rPr>
          <w:rFonts w:ascii="Calibri" w:eastAsia="Times New Roman" w:hAnsi="Calibri" w:cs="Times New Roman"/>
          <w:color w:val="333333"/>
          <w:sz w:val="20"/>
          <w:szCs w:val="20"/>
        </w:rPr>
        <w:t>).</w:t>
      </w:r>
    </w:p>
    <w:p w:rsidR="00AD77BB" w:rsidRDefault="00B45BA0">
      <w:pPr>
        <w:numPr>
          <w:ilvl w:val="1"/>
          <w:numId w:val="31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chi-square test statistic </w:t>
      </w:r>
      <w:r>
        <w:rPr>
          <w:rFonts w:ascii="MathJax_Math" w:eastAsia="Times New Roman" w:hAnsi="MathJax_Math" w:cs="Times New Roman"/>
          <w:i/>
          <w:iCs/>
          <w:color w:val="333333"/>
          <w:sz w:val="17"/>
          <w:szCs w:val="17"/>
        </w:rPr>
        <w:t>χ</w:t>
      </w:r>
      <w:r>
        <w:rPr>
          <w:rFonts w:ascii="MathJax_Main" w:eastAsia="Times New Roman" w:hAnsi="MathJax_Main" w:cs="Times New Roman"/>
          <w:color w:val="333333"/>
          <w:sz w:val="12"/>
          <w:szCs w:val="12"/>
        </w:rPr>
        <w:t>2</w:t>
      </w:r>
      <w:r>
        <w:rPr>
          <w:rFonts w:ascii="MathJax_Main" w:eastAsia="Times New Roman" w:hAnsi="MathJax_Main" w:cs="Times New Roman"/>
          <w:color w:val="333333"/>
          <w:sz w:val="17"/>
          <w:szCs w:val="17"/>
        </w:rPr>
        <w:t>.</w:t>
      </w:r>
    </w:p>
    <w:p w:rsidR="00AD77BB" w:rsidRDefault="00B45BA0">
      <w:pPr>
        <w:pStyle w:val="ListParagraph"/>
        <w:numPr>
          <w:ilvl w:val="1"/>
          <w:numId w:val="313"/>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number of degrees of freedom of the chi-square test statistic.</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APPLICATIONS</w:t>
      </w:r>
    </w:p>
    <w:p w:rsidR="00AD77BB" w:rsidRDefault="00B45BA0">
      <w:pPr>
        <w:numPr>
          <w:ilvl w:val="0"/>
          <w:numId w:val="314"/>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Retailers of collectible postage stamps often buy their stamps in large quantities by weight at auctions. The prices the retailers are willing to pay depend on how old the postage stamps are. Many collectible postage stamps at auctions are described by the proportions of stamps issued at various periods in the past. Generally the older the stamps the higher the value. At one particular auction, a lot of collectible stamps is advertised to have the age distribution given in the table provided. A retail buyer took a sample of 73 stamps from the </w:t>
      </w:r>
      <w:r>
        <w:rPr>
          <w:rFonts w:ascii="Calibri" w:eastAsia="Times New Roman" w:hAnsi="Calibri" w:cs="Times New Roman"/>
          <w:color w:val="333333"/>
          <w:sz w:val="20"/>
          <w:szCs w:val="20"/>
        </w:rPr>
        <w:lastRenderedPageBreak/>
        <w:t>lot and sorted them by age. The results are given in the table provided. Test, at the 5% level of significance, whether there is sufficient evidence in the data to conclude that the age distribution of the lot is different from what was claimed by the seller.</w:t>
      </w:r>
    </w:p>
    <w:tbl>
      <w:tblPr>
        <w:tblW w:w="0" w:type="auto"/>
        <w:tblInd w:w="450" w:type="dxa"/>
        <w:tblCellMar>
          <w:left w:w="0" w:type="dxa"/>
          <w:right w:w="0" w:type="dxa"/>
        </w:tblCellMar>
        <w:tblLook w:val="04A0" w:firstRow="1" w:lastRow="0" w:firstColumn="1" w:lastColumn="0" w:noHBand="0" w:noVBand="1"/>
      </w:tblPr>
      <w:tblGrid>
        <w:gridCol w:w="1417"/>
        <w:gridCol w:w="2331"/>
        <w:gridCol w:w="229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Claimed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Observed Frequency</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Before 1940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1940 to 1959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1960 to 1979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After 1979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r>
    </w:tbl>
    <w:p w:rsidR="00AD77BB" w:rsidRDefault="00B45BA0">
      <w:pPr>
        <w:numPr>
          <w:ilvl w:val="0"/>
          <w:numId w:val="314"/>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litter size of Bengal tigers is typically two or three cubs, but it can vary between one and four. Based on long-term observations, the litter size of Bengal tigers in the wild has the distribution given in the table provided. A zoologist believes that Bengal tigers in captivity tend to have different (possibly smaller) litter sizes from those in the wild. To verify this belief, the zoologist searched all data sources and found 316 litter size records of Bengal tigers in captivity. The results are given in the table provided. Test, at the 5% level of significance, whether there is sufficient evidence in the data to conclude that the distribution of litter sizes in captivity differs from that in the wild.</w:t>
      </w:r>
    </w:p>
    <w:tbl>
      <w:tblPr>
        <w:tblW w:w="0" w:type="auto"/>
        <w:tblInd w:w="450" w:type="dxa"/>
        <w:tblCellMar>
          <w:left w:w="0" w:type="dxa"/>
          <w:right w:w="0" w:type="dxa"/>
        </w:tblCellMar>
        <w:tblLook w:val="04A0" w:firstRow="1" w:lastRow="0" w:firstColumn="1" w:lastColumn="0" w:noHBand="0" w:noVBand="1"/>
      </w:tblPr>
      <w:tblGrid>
        <w:gridCol w:w="1223"/>
        <w:gridCol w:w="2631"/>
        <w:gridCol w:w="229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Litter Size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Wild Litter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Observed Frequency</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bl>
    <w:p w:rsidR="00AD77BB" w:rsidRDefault="00B45BA0">
      <w:pPr>
        <w:numPr>
          <w:ilvl w:val="0"/>
          <w:numId w:val="314"/>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online shoe retailer sells men’s shoes in sizes 8 to 13. In the past orders for the different shoe sizes have followed the distribution given in the table provided. The management believes that recent marketing efforts may have expanded their customer base and, as a result, there may be a shift in the size distribution for future orders. To have a better understanding of its future sales, the shoe seller examined 1,040 sales records of recent orders and noted the sizes of the shoes ordered. The results are given in the table provided. Test, at the 1% level of significance, whether there is sufficient evidence in the data to conclude that the shoe size distribution of future sales will differ from the historic one.</w:t>
      </w:r>
    </w:p>
    <w:tbl>
      <w:tblPr>
        <w:tblW w:w="0" w:type="auto"/>
        <w:tblInd w:w="450" w:type="dxa"/>
        <w:tblCellMar>
          <w:left w:w="0" w:type="dxa"/>
          <w:right w:w="0" w:type="dxa"/>
        </w:tblCellMar>
        <w:tblLook w:val="04A0" w:firstRow="1" w:lastRow="0" w:firstColumn="1" w:lastColumn="0" w:noHBand="0" w:noVBand="1"/>
      </w:tblPr>
      <w:tblGrid>
        <w:gridCol w:w="1117"/>
        <w:gridCol w:w="2377"/>
        <w:gridCol w:w="2483"/>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Shoe Size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Past Size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Recent Size Frequency</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88</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107</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r>
    </w:tbl>
    <w:p w:rsidR="00AD77BB" w:rsidRDefault="00B45BA0">
      <w:pPr>
        <w:numPr>
          <w:ilvl w:val="0"/>
          <w:numId w:val="31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online shoe retailer sells women’s shoes in sizes 5 to 10. In the past orders for the different shoe sizes have followed the distribution given in the table provided. The management believes that recent marketing efforts may have expanded their customer base and, as a result, there may be a shift in the size distribution for future orders. To have a better understanding of its future sales, the shoe seller examined 1,174 sales records of recent orders and noted the sizes of the shoes ordered. The results are given in the table provided. Test, at the 1% level of significance, whether there is sufficient evidence in the data to conclude that the shoe size distribution of future sales will differ from the historic one.</w:t>
      </w:r>
    </w:p>
    <w:tbl>
      <w:tblPr>
        <w:tblW w:w="0" w:type="auto"/>
        <w:tblInd w:w="450" w:type="dxa"/>
        <w:tblCellMar>
          <w:left w:w="0" w:type="dxa"/>
          <w:right w:w="0" w:type="dxa"/>
        </w:tblCellMar>
        <w:tblLook w:val="04A0" w:firstRow="1" w:lastRow="0" w:firstColumn="1" w:lastColumn="0" w:noHBand="0" w:noVBand="1"/>
      </w:tblPr>
      <w:tblGrid>
        <w:gridCol w:w="1117"/>
        <w:gridCol w:w="2377"/>
        <w:gridCol w:w="2483"/>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Shoe Size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Past Size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Recent Size Frequency</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88</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258</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177</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r>
    </w:tbl>
    <w:p w:rsidR="00AD77BB" w:rsidRDefault="00B45BA0">
      <w:pPr>
        <w:numPr>
          <w:ilvl w:val="0"/>
          <w:numId w:val="31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chess opening is a sequence of moves at the beginning of a chess game. There are many well-studied named openings in chess literature. French Defense is one of the most popular openings for black, although it is considered a relatively weak opening since it gives black probability 0.344 of winning, probability 0.405 of losing, and probability 0.251 of drawing. A chess master believes that he has discovered a new variation of French Defense that may alter the probability distribution of the outcome of the game. In his many Internet chess games in the last two years, he was able to apply the new variation in 77 games. The wins, losses, and draws in the 77 games are given in the table provided. Test, at the 5% level of significance, whether there is sufficient evidence in the data to conclude that the newly discovered variation of French Defense alters the probability distribution of the result of the game.</w:t>
      </w:r>
    </w:p>
    <w:tbl>
      <w:tblPr>
        <w:tblW w:w="0" w:type="auto"/>
        <w:tblInd w:w="450" w:type="dxa"/>
        <w:tblCellMar>
          <w:left w:w="0" w:type="dxa"/>
          <w:right w:w="0" w:type="dxa"/>
        </w:tblCellMar>
        <w:tblLook w:val="04A0" w:firstRow="1" w:lastRow="0" w:firstColumn="1" w:lastColumn="0" w:noHBand="0" w:noVBand="1"/>
      </w:tblPr>
      <w:tblGrid>
        <w:gridCol w:w="1817"/>
        <w:gridCol w:w="2624"/>
        <w:gridCol w:w="2244"/>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Result for Black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Probability Distribution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New Variation Wins</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Loss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Draw</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r>
    </w:tbl>
    <w:p w:rsidR="00AD77BB" w:rsidRDefault="00B45BA0">
      <w:pPr>
        <w:numPr>
          <w:ilvl w:val="0"/>
          <w:numId w:val="314"/>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The Department of Parks and Wildlife stocks a large lake with fish every six years. It is determined that a healthy diversity of fish in the lake should consist of 10% largemouth bass, 15% smallmouth bass, 10% striped bass, 10% trout, and 20% catfish. Therefore each time the lake is stocked, the fish population in the lake is restored to maintain that particular distribution. Every three years, the department conducts a study to see whether the distribution of the fish in the lake has shifted away from the target proportions. In one particular year, a research group from the department observed a sample of 292 fish from the lake with the results </w:t>
      </w:r>
      <w:r>
        <w:rPr>
          <w:rFonts w:ascii="Calibri" w:eastAsia="Times New Roman" w:hAnsi="Calibri" w:cs="Times New Roman"/>
          <w:color w:val="333333"/>
          <w:sz w:val="20"/>
          <w:szCs w:val="20"/>
        </w:rPr>
        <w:lastRenderedPageBreak/>
        <w:t>given in the table provided. Test, at the 5% level of significance, whether there is sufficient evidence in the data to conclude that the fish population distribution has shifted since the last stocking.</w:t>
      </w:r>
    </w:p>
    <w:tbl>
      <w:tblPr>
        <w:tblW w:w="0" w:type="auto"/>
        <w:jc w:val="center"/>
        <w:shd w:val="clear" w:color="auto" w:fill="E3EFF7"/>
        <w:tblCellMar>
          <w:left w:w="0" w:type="dxa"/>
          <w:right w:w="0" w:type="dxa"/>
        </w:tblCellMar>
        <w:tblLook w:val="04A0" w:firstRow="1" w:lastRow="0" w:firstColumn="1" w:lastColumn="0" w:noHBand="0" w:noVBand="1"/>
      </w:tblPr>
      <w:tblGrid>
        <w:gridCol w:w="1542"/>
        <w:gridCol w:w="1722"/>
        <w:gridCol w:w="1338"/>
      </w:tblGrid>
      <w:tr w:rsidR="00AD77BB">
        <w:trPr>
          <w:tblHeader/>
          <w:jc w:val="center"/>
        </w:trPr>
        <w:tc>
          <w:tcPr>
            <w:tcW w:w="0" w:type="auto"/>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rsidR="00AD77BB" w:rsidRDefault="00B45BA0">
            <w:pPr>
              <w:spacing w:after="0" w:line="366" w:lineRule="atLeast"/>
              <w:jc w:val="center"/>
              <w:rPr>
                <w:rFonts w:ascii="Calibri" w:eastAsia="Times New Roman" w:hAnsi="Calibri" w:cs="Times New Roman"/>
                <w:b/>
                <w:bCs/>
                <w:color w:val="F48800"/>
                <w:sz w:val="20"/>
                <w:szCs w:val="20"/>
              </w:rPr>
            </w:pPr>
            <w:r>
              <w:rPr>
                <w:rFonts w:ascii="Calibri" w:eastAsia="Times New Roman" w:hAnsi="Calibri" w:cs="Times New Roman"/>
                <w:b/>
                <w:bCs/>
                <w:color w:val="F48800"/>
                <w:sz w:val="20"/>
                <w:szCs w:val="20"/>
              </w:rPr>
              <w:t>Fish</w:t>
            </w:r>
          </w:p>
        </w:tc>
        <w:tc>
          <w:tcPr>
            <w:tcW w:w="0" w:type="auto"/>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rsidR="00AD77BB" w:rsidRDefault="00B45BA0">
            <w:pPr>
              <w:spacing w:after="0" w:line="366" w:lineRule="atLeast"/>
              <w:jc w:val="center"/>
              <w:rPr>
                <w:rFonts w:ascii="Calibri" w:eastAsia="Times New Roman" w:hAnsi="Calibri" w:cs="Times New Roman"/>
                <w:b/>
                <w:bCs/>
                <w:color w:val="F48800"/>
                <w:sz w:val="20"/>
                <w:szCs w:val="20"/>
              </w:rPr>
            </w:pPr>
            <w:r>
              <w:rPr>
                <w:rFonts w:ascii="Calibri" w:eastAsia="Times New Roman" w:hAnsi="Calibri" w:cs="Times New Roman"/>
                <w:b/>
                <w:bCs/>
                <w:color w:val="F48800"/>
                <w:sz w:val="20"/>
                <w:szCs w:val="20"/>
              </w:rPr>
              <w:t>Target Distribution</w:t>
            </w:r>
          </w:p>
        </w:tc>
        <w:tc>
          <w:tcPr>
            <w:tcW w:w="0" w:type="auto"/>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rsidR="00AD77BB" w:rsidRDefault="00B45BA0">
            <w:pPr>
              <w:spacing w:after="0" w:line="366" w:lineRule="atLeast"/>
              <w:jc w:val="center"/>
              <w:rPr>
                <w:rFonts w:ascii="Calibri" w:eastAsia="Times New Roman" w:hAnsi="Calibri" w:cs="Times New Roman"/>
                <w:b/>
                <w:bCs/>
                <w:color w:val="F48800"/>
                <w:sz w:val="20"/>
                <w:szCs w:val="20"/>
              </w:rPr>
            </w:pPr>
            <w:r>
              <w:rPr>
                <w:rFonts w:ascii="Calibri" w:eastAsia="Times New Roman" w:hAnsi="Calibri" w:cs="Times New Roman"/>
                <w:b/>
                <w:bCs/>
                <w:color w:val="F48800"/>
                <w:sz w:val="20"/>
                <w:szCs w:val="20"/>
              </w:rPr>
              <w:t>Fish in Sample</w:t>
            </w:r>
          </w:p>
        </w:tc>
      </w:tr>
      <w:tr w:rsidR="00AD77BB">
        <w:trPr>
          <w:jc w:val="center"/>
        </w:trPr>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366" w:lineRule="atLeast"/>
              <w:jc w:val="center"/>
              <w:rPr>
                <w:rFonts w:ascii="Calibri" w:eastAsia="Times New Roman" w:hAnsi="Calibri" w:cs="Times New Roman"/>
                <w:color w:val="333333"/>
                <w:sz w:val="20"/>
                <w:szCs w:val="20"/>
              </w:rPr>
            </w:pPr>
            <w:r>
              <w:rPr>
                <w:rFonts w:ascii="Calibri" w:eastAsia="Times New Roman" w:hAnsi="Calibri" w:cs="Times New Roman"/>
                <w:color w:val="333333"/>
                <w:sz w:val="20"/>
                <w:szCs w:val="20"/>
              </w:rPr>
              <w:t>Largemouth Bass</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366" w:lineRule="atLeast"/>
              <w:jc w:val="center"/>
              <w:rPr>
                <w:rFonts w:ascii="Calibri" w:eastAsia="Times New Roman" w:hAnsi="Calibri" w:cs="Times New Roman"/>
                <w:color w:val="333333"/>
                <w:sz w:val="20"/>
                <w:szCs w:val="20"/>
              </w:rPr>
            </w:pPr>
            <w:r>
              <w:rPr>
                <w:rFonts w:ascii="Calibri" w:eastAsia="Times New Roman" w:hAnsi="Calibri" w:cs="Times New Roman"/>
                <w:color w:val="333333"/>
                <w:sz w:val="20"/>
                <w:szCs w:val="20"/>
              </w:rPr>
              <w:t>0.10</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366" w:lineRule="atLeast"/>
              <w:jc w:val="center"/>
              <w:rPr>
                <w:rFonts w:ascii="Calibri" w:eastAsia="Times New Roman" w:hAnsi="Calibri" w:cs="Times New Roman"/>
                <w:color w:val="333333"/>
                <w:sz w:val="20"/>
                <w:szCs w:val="20"/>
              </w:rPr>
            </w:pPr>
            <w:r>
              <w:rPr>
                <w:rFonts w:ascii="Calibri" w:eastAsia="Times New Roman" w:hAnsi="Calibri" w:cs="Times New Roman"/>
                <w:color w:val="333333"/>
                <w:sz w:val="20"/>
                <w:szCs w:val="20"/>
              </w:rPr>
              <w:t>14</w:t>
            </w:r>
          </w:p>
        </w:tc>
      </w:tr>
      <w:tr w:rsidR="00AD77BB">
        <w:trPr>
          <w:jc w:val="center"/>
        </w:trPr>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366" w:lineRule="atLeast"/>
              <w:jc w:val="center"/>
              <w:rPr>
                <w:rFonts w:ascii="Calibri" w:eastAsia="Times New Roman" w:hAnsi="Calibri" w:cs="Times New Roman"/>
                <w:color w:val="333333"/>
                <w:sz w:val="20"/>
                <w:szCs w:val="20"/>
              </w:rPr>
            </w:pPr>
            <w:r>
              <w:rPr>
                <w:rFonts w:ascii="Calibri" w:eastAsia="Times New Roman" w:hAnsi="Calibri" w:cs="Times New Roman"/>
                <w:color w:val="333333"/>
                <w:sz w:val="20"/>
                <w:szCs w:val="20"/>
              </w:rPr>
              <w:t>Smallmouth Bass</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366" w:lineRule="atLeast"/>
              <w:jc w:val="center"/>
              <w:rPr>
                <w:rFonts w:ascii="Calibri" w:eastAsia="Times New Roman" w:hAnsi="Calibri" w:cs="Times New Roman"/>
                <w:color w:val="333333"/>
                <w:sz w:val="20"/>
                <w:szCs w:val="20"/>
              </w:rPr>
            </w:pPr>
            <w:r>
              <w:rPr>
                <w:rFonts w:ascii="Calibri" w:eastAsia="Times New Roman" w:hAnsi="Calibri" w:cs="Times New Roman"/>
                <w:color w:val="333333"/>
                <w:sz w:val="20"/>
                <w:szCs w:val="20"/>
              </w:rPr>
              <w:t>0.15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366" w:lineRule="atLeast"/>
              <w:jc w:val="center"/>
              <w:rPr>
                <w:rFonts w:ascii="Calibri" w:eastAsia="Times New Roman" w:hAnsi="Calibri" w:cs="Times New Roman"/>
                <w:color w:val="333333"/>
                <w:sz w:val="20"/>
                <w:szCs w:val="20"/>
              </w:rPr>
            </w:pPr>
            <w:r>
              <w:rPr>
                <w:rFonts w:ascii="Calibri" w:eastAsia="Times New Roman" w:hAnsi="Calibri" w:cs="Times New Roman"/>
                <w:color w:val="333333"/>
                <w:sz w:val="20"/>
                <w:szCs w:val="20"/>
              </w:rPr>
              <w:t>49</w:t>
            </w:r>
          </w:p>
        </w:tc>
      </w:tr>
      <w:tr w:rsidR="00AD77BB">
        <w:trPr>
          <w:jc w:val="center"/>
        </w:trPr>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366" w:lineRule="atLeast"/>
              <w:jc w:val="center"/>
              <w:rPr>
                <w:rFonts w:ascii="Calibri" w:eastAsia="Times New Roman" w:hAnsi="Calibri" w:cs="Times New Roman"/>
                <w:color w:val="333333"/>
                <w:sz w:val="20"/>
                <w:szCs w:val="20"/>
              </w:rPr>
            </w:pPr>
            <w:r>
              <w:rPr>
                <w:rFonts w:ascii="Calibri" w:eastAsia="Times New Roman" w:hAnsi="Calibri" w:cs="Times New Roman"/>
                <w:color w:val="333333"/>
                <w:sz w:val="20"/>
                <w:szCs w:val="20"/>
              </w:rPr>
              <w:t>Striped Bass</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366" w:lineRule="atLeast"/>
              <w:jc w:val="center"/>
              <w:rPr>
                <w:rFonts w:ascii="Calibri" w:eastAsia="Times New Roman" w:hAnsi="Calibri" w:cs="Times New Roman"/>
                <w:color w:val="333333"/>
                <w:sz w:val="20"/>
                <w:szCs w:val="20"/>
              </w:rPr>
            </w:pPr>
            <w:r>
              <w:rPr>
                <w:rFonts w:ascii="Calibri" w:eastAsia="Times New Roman" w:hAnsi="Calibri" w:cs="Times New Roman"/>
                <w:color w:val="333333"/>
                <w:sz w:val="20"/>
                <w:szCs w:val="20"/>
              </w:rPr>
              <w:t>0.10</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366" w:lineRule="atLeast"/>
              <w:jc w:val="center"/>
              <w:rPr>
                <w:rFonts w:ascii="Calibri" w:eastAsia="Times New Roman" w:hAnsi="Calibri" w:cs="Times New Roman"/>
                <w:color w:val="333333"/>
                <w:sz w:val="20"/>
                <w:szCs w:val="20"/>
              </w:rPr>
            </w:pPr>
            <w:r>
              <w:rPr>
                <w:rFonts w:ascii="Calibri" w:eastAsia="Times New Roman" w:hAnsi="Calibri" w:cs="Times New Roman"/>
                <w:color w:val="333333"/>
                <w:sz w:val="20"/>
                <w:szCs w:val="20"/>
              </w:rPr>
              <w:t>21</w:t>
            </w:r>
          </w:p>
        </w:tc>
      </w:tr>
      <w:tr w:rsidR="00AD77BB">
        <w:trPr>
          <w:jc w:val="center"/>
        </w:trPr>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366" w:lineRule="atLeast"/>
              <w:jc w:val="center"/>
              <w:rPr>
                <w:rFonts w:ascii="Calibri" w:eastAsia="Times New Roman" w:hAnsi="Calibri" w:cs="Times New Roman"/>
                <w:color w:val="333333"/>
                <w:sz w:val="20"/>
                <w:szCs w:val="20"/>
              </w:rPr>
            </w:pPr>
            <w:r>
              <w:rPr>
                <w:rFonts w:ascii="Calibri" w:eastAsia="Times New Roman" w:hAnsi="Calibri" w:cs="Times New Roman"/>
                <w:color w:val="333333"/>
                <w:sz w:val="20"/>
                <w:szCs w:val="20"/>
              </w:rPr>
              <w:t>Trout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366" w:lineRule="atLeast"/>
              <w:jc w:val="center"/>
              <w:rPr>
                <w:rFonts w:ascii="Calibri" w:eastAsia="Times New Roman" w:hAnsi="Calibri" w:cs="Times New Roman"/>
                <w:color w:val="333333"/>
                <w:sz w:val="20"/>
                <w:szCs w:val="20"/>
              </w:rPr>
            </w:pPr>
            <w:r>
              <w:rPr>
                <w:rFonts w:ascii="Calibri" w:eastAsia="Times New Roman" w:hAnsi="Calibri" w:cs="Times New Roman"/>
                <w:color w:val="333333"/>
                <w:sz w:val="20"/>
                <w:szCs w:val="20"/>
              </w:rPr>
              <w:t>0.10</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366" w:lineRule="atLeast"/>
              <w:jc w:val="center"/>
              <w:rPr>
                <w:rFonts w:ascii="Calibri" w:eastAsia="Times New Roman" w:hAnsi="Calibri" w:cs="Times New Roman"/>
                <w:color w:val="333333"/>
                <w:sz w:val="20"/>
                <w:szCs w:val="20"/>
              </w:rPr>
            </w:pPr>
            <w:r>
              <w:rPr>
                <w:rFonts w:ascii="Calibri" w:eastAsia="Times New Roman" w:hAnsi="Calibri" w:cs="Times New Roman"/>
                <w:color w:val="333333"/>
                <w:sz w:val="20"/>
                <w:szCs w:val="20"/>
              </w:rPr>
              <w:t>22</w:t>
            </w:r>
          </w:p>
        </w:tc>
      </w:tr>
      <w:tr w:rsidR="00AD77BB">
        <w:trPr>
          <w:jc w:val="center"/>
        </w:trPr>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366" w:lineRule="atLeast"/>
              <w:jc w:val="center"/>
              <w:rPr>
                <w:rFonts w:ascii="Calibri" w:eastAsia="Times New Roman" w:hAnsi="Calibri" w:cs="Times New Roman"/>
                <w:color w:val="333333"/>
                <w:sz w:val="20"/>
                <w:szCs w:val="20"/>
              </w:rPr>
            </w:pPr>
            <w:r>
              <w:rPr>
                <w:rFonts w:ascii="Calibri" w:eastAsia="Times New Roman" w:hAnsi="Calibri" w:cs="Times New Roman"/>
                <w:color w:val="333333"/>
                <w:sz w:val="20"/>
                <w:szCs w:val="20"/>
              </w:rPr>
              <w:t>Catfish</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366" w:lineRule="atLeast"/>
              <w:jc w:val="center"/>
              <w:rPr>
                <w:rFonts w:ascii="Calibri" w:eastAsia="Times New Roman" w:hAnsi="Calibri" w:cs="Times New Roman"/>
                <w:color w:val="333333"/>
                <w:sz w:val="20"/>
                <w:szCs w:val="20"/>
              </w:rPr>
            </w:pPr>
            <w:r>
              <w:rPr>
                <w:rFonts w:ascii="Calibri" w:eastAsia="Times New Roman" w:hAnsi="Calibri" w:cs="Times New Roman"/>
                <w:color w:val="333333"/>
                <w:sz w:val="20"/>
                <w:szCs w:val="20"/>
              </w:rPr>
              <w:t>0.20</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366" w:lineRule="atLeast"/>
              <w:jc w:val="center"/>
              <w:rPr>
                <w:rFonts w:ascii="Calibri" w:eastAsia="Times New Roman" w:hAnsi="Calibri" w:cs="Times New Roman"/>
                <w:color w:val="333333"/>
                <w:sz w:val="20"/>
                <w:szCs w:val="20"/>
              </w:rPr>
            </w:pPr>
            <w:r>
              <w:rPr>
                <w:rFonts w:ascii="Calibri" w:eastAsia="Times New Roman" w:hAnsi="Calibri" w:cs="Times New Roman"/>
                <w:color w:val="333333"/>
                <w:sz w:val="20"/>
                <w:szCs w:val="20"/>
              </w:rPr>
              <w:t>75</w:t>
            </w:r>
          </w:p>
        </w:tc>
      </w:tr>
      <w:tr w:rsidR="00AD77BB">
        <w:trPr>
          <w:jc w:val="center"/>
        </w:trPr>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366" w:lineRule="atLeast"/>
              <w:jc w:val="center"/>
              <w:rPr>
                <w:rFonts w:ascii="Calibri" w:eastAsia="Times New Roman" w:hAnsi="Calibri" w:cs="Times New Roman"/>
                <w:color w:val="333333"/>
                <w:sz w:val="20"/>
                <w:szCs w:val="20"/>
              </w:rPr>
            </w:pPr>
            <w:r>
              <w:rPr>
                <w:rFonts w:ascii="Calibri" w:eastAsia="Times New Roman" w:hAnsi="Calibri" w:cs="Times New Roman"/>
                <w:color w:val="333333"/>
                <w:sz w:val="20"/>
                <w:szCs w:val="20"/>
              </w:rPr>
              <w:t>Other</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366" w:lineRule="atLeast"/>
              <w:jc w:val="center"/>
              <w:rPr>
                <w:rFonts w:ascii="Calibri" w:eastAsia="Times New Roman" w:hAnsi="Calibri" w:cs="Times New Roman"/>
                <w:color w:val="333333"/>
                <w:sz w:val="20"/>
                <w:szCs w:val="20"/>
              </w:rPr>
            </w:pPr>
            <w:r>
              <w:rPr>
                <w:rFonts w:ascii="Calibri" w:eastAsia="Times New Roman" w:hAnsi="Calibri" w:cs="Times New Roman"/>
                <w:color w:val="333333"/>
                <w:sz w:val="20"/>
                <w:szCs w:val="20"/>
              </w:rPr>
              <w:t>0.35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pacing w:after="0" w:line="366" w:lineRule="atLeast"/>
              <w:jc w:val="center"/>
              <w:rPr>
                <w:rFonts w:ascii="Calibri" w:eastAsia="Times New Roman" w:hAnsi="Calibri" w:cs="Times New Roman"/>
                <w:color w:val="333333"/>
                <w:sz w:val="20"/>
                <w:szCs w:val="20"/>
              </w:rPr>
            </w:pPr>
            <w:r>
              <w:rPr>
                <w:rFonts w:ascii="Calibri" w:eastAsia="Times New Roman" w:hAnsi="Calibri" w:cs="Times New Roman"/>
                <w:color w:val="333333"/>
                <w:sz w:val="20"/>
                <w:szCs w:val="20"/>
              </w:rPr>
              <w:t>111</w:t>
            </w:r>
          </w:p>
        </w:tc>
      </w:tr>
    </w:tbl>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LARGE DATA SET EXERCISE</w:t>
      </w:r>
    </w:p>
    <w:p w:rsidR="00AD77BB" w:rsidRDefault="00B45BA0">
      <w:pPr>
        <w:numPr>
          <w:ilvl w:val="0"/>
          <w:numId w:val="315"/>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Large Data Set 4 records the result of 500 tosses of six-sided die. Test, at the 10% level of significance, whether there is sufficient evidence in the data to conclude that the die is not “fair” (or “balanced”), that is, that the probability distribution differs from probability 1/6 for each of the six faces on the die.</w:t>
      </w:r>
    </w:p>
    <w:p w:rsidR="00AD77BB" w:rsidRDefault="00AD77BB">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p>
    <w:p w:rsidR="00AD77BB" w:rsidRDefault="00B45BA0">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http://www.4.xls</w:t>
      </w:r>
    </w:p>
    <w:p w:rsidR="00AD77BB" w:rsidRDefault="00B45BA0">
      <w:pPr>
        <w:tabs>
          <w:tab w:val="left" w:pos="5547"/>
        </w:tabs>
        <w:spacing w:line="360" w:lineRule="auto"/>
        <w:rPr>
          <w:rFonts w:ascii="Calibri" w:eastAsia="Times New Roman" w:hAnsi="Calibri" w:cs="Times New Roman"/>
          <w:sz w:val="20"/>
          <w:szCs w:val="20"/>
        </w:rPr>
      </w:pPr>
      <w:r>
        <w:rPr>
          <w:rFonts w:ascii="Calibri" w:eastAsia="Times New Roman" w:hAnsi="Calibri" w:cs="Times New Roman"/>
          <w:noProof/>
          <w:sz w:val="20"/>
          <w:szCs w:val="20"/>
        </w:rPr>
        <w:drawing>
          <wp:inline distT="0" distB="0" distL="0" distR="0" wp14:anchorId="072C495D" wp14:editId="490721AB">
            <wp:extent cx="5057775" cy="3057525"/>
            <wp:effectExtent l="0" t="0" r="9525" b="9525"/>
            <wp:docPr id="449"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057775" cy="3057525"/>
                    </a:xfrm>
                    <a:prstGeom prst="rect">
                      <a:avLst/>
                    </a:prstGeom>
                    <a:noFill/>
                    <a:ln>
                      <a:noFill/>
                    </a:ln>
                  </pic:spPr>
                </pic:pic>
              </a:graphicData>
            </a:graphic>
          </wp:inline>
        </w:drawing>
      </w:r>
    </w:p>
    <w:p w:rsidR="00AD77BB" w:rsidRDefault="00AD77BB">
      <w:pPr>
        <w:tabs>
          <w:tab w:val="left" w:pos="5547"/>
        </w:tabs>
        <w:spacing w:line="360" w:lineRule="auto"/>
        <w:rPr>
          <w:rFonts w:ascii="Calibri" w:eastAsia="Times New Roman" w:hAnsi="Calibri" w:cs="Times New Roman"/>
          <w:sz w:val="20"/>
          <w:szCs w:val="20"/>
        </w:rPr>
      </w:pPr>
    </w:p>
    <w:p w:rsidR="00AD77BB" w:rsidRDefault="00AD77BB">
      <w:pPr>
        <w:tabs>
          <w:tab w:val="left" w:pos="5547"/>
        </w:tabs>
        <w:spacing w:line="360" w:lineRule="auto"/>
        <w:rPr>
          <w:rFonts w:ascii="Calibri" w:eastAsia="Times New Roman" w:hAnsi="Calibri" w:cs="Times New Roman"/>
          <w:sz w:val="20"/>
          <w:szCs w:val="20"/>
        </w:rPr>
      </w:pPr>
    </w:p>
    <w:p w:rsidR="00AD77BB" w:rsidRDefault="00B45B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3"/>
          <w:szCs w:val="33"/>
        </w:rPr>
        <w:lastRenderedPageBreak/>
        <w:t>11.3</w:t>
      </w:r>
      <w:r>
        <w:rPr>
          <w:rStyle w:val="apple-converted-space"/>
          <w:rFonts w:ascii="Calibri" w:hAnsi="Calibri"/>
          <w:color w:val="333333"/>
        </w:rPr>
        <w:t> </w:t>
      </w:r>
      <w:r>
        <w:rPr>
          <w:rStyle w:val="Emphasis"/>
          <w:rFonts w:ascii="Calibri" w:hAnsi="Calibri"/>
          <w:color w:val="333333"/>
          <w:sz w:val="33"/>
          <w:szCs w:val="33"/>
        </w:rPr>
        <w:t>F</w:t>
      </w:r>
      <w:r>
        <w:rPr>
          <w:rFonts w:ascii="Calibri" w:hAnsi="Calibri"/>
          <w:color w:val="333333"/>
        </w:rPr>
        <w:t>-tests for Equality of Two Variances</w:t>
      </w:r>
    </w:p>
    <w:p w:rsidR="00AD77BB" w:rsidRDefault="00AD77BB"/>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AD77BB" w:rsidRDefault="00B45BA0">
      <w:pPr>
        <w:numPr>
          <w:ilvl w:val="0"/>
          <w:numId w:val="31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To understand what</w:t>
      </w:r>
      <w:r>
        <w:rPr>
          <w:rStyle w:val="apple-converted-space"/>
          <w:rFonts w:ascii="Calibri" w:hAnsi="Calibri"/>
          <w:color w:val="333333"/>
          <w:sz w:val="20"/>
          <w:szCs w:val="20"/>
        </w:rPr>
        <w:t> </w:t>
      </w:r>
      <w:r>
        <w:rPr>
          <w:rStyle w:val="Emphasis"/>
          <w:rFonts w:ascii="Calibri" w:hAnsi="Calibri"/>
          <w:color w:val="333333"/>
          <w:sz w:val="20"/>
          <w:szCs w:val="20"/>
        </w:rPr>
        <w:t>F</w:t>
      </w:r>
      <w:r>
        <w:rPr>
          <w:rFonts w:ascii="Calibri" w:hAnsi="Calibri"/>
          <w:color w:val="333333"/>
          <w:sz w:val="20"/>
          <w:szCs w:val="20"/>
        </w:rPr>
        <w:t>-distributions are.</w:t>
      </w:r>
    </w:p>
    <w:p w:rsidR="00AD77BB" w:rsidRDefault="00B45BA0">
      <w:pPr>
        <w:numPr>
          <w:ilvl w:val="0"/>
          <w:numId w:val="316"/>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To understand how to use an</w:t>
      </w:r>
      <w:r>
        <w:rPr>
          <w:rStyle w:val="apple-converted-space"/>
          <w:rFonts w:ascii="Calibri" w:hAnsi="Calibri"/>
          <w:color w:val="333333"/>
          <w:sz w:val="20"/>
          <w:szCs w:val="20"/>
        </w:rPr>
        <w:t> </w:t>
      </w:r>
      <w:r>
        <w:rPr>
          <w:rStyle w:val="Emphasis"/>
          <w:rFonts w:ascii="Calibri" w:hAnsi="Calibri"/>
          <w:color w:val="333333"/>
          <w:sz w:val="20"/>
          <w:szCs w:val="20"/>
        </w:rPr>
        <w:t>F</w:t>
      </w:r>
      <w:r>
        <w:rPr>
          <w:rFonts w:ascii="Calibri" w:hAnsi="Calibri"/>
          <w:color w:val="333333"/>
          <w:sz w:val="20"/>
          <w:szCs w:val="20"/>
        </w:rPr>
        <w:t>-test to judge whether two population variances are equal.</w:t>
      </w:r>
    </w:p>
    <w:p w:rsidR="00AD77BB" w:rsidRDefault="00AD77BB">
      <w:pPr>
        <w:pStyle w:val="Heading2"/>
        <w:shd w:val="clear" w:color="auto" w:fill="FFFFFF"/>
        <w:spacing w:before="0" w:line="439" w:lineRule="atLeast"/>
        <w:textAlignment w:val="baseline"/>
        <w:rPr>
          <w:rStyle w:val="Emphasis"/>
          <w:sz w:val="27"/>
          <w:szCs w:val="27"/>
        </w:rPr>
      </w:pPr>
    </w:p>
    <w:p w:rsidR="00AD77BB" w:rsidRDefault="00B45BA0">
      <w:pPr>
        <w:pStyle w:val="Heading2"/>
        <w:shd w:val="clear" w:color="auto" w:fill="FFFFFF"/>
        <w:spacing w:before="0" w:line="439" w:lineRule="atLeast"/>
        <w:textAlignment w:val="baseline"/>
        <w:rPr>
          <w:sz w:val="28"/>
          <w:szCs w:val="28"/>
        </w:rPr>
      </w:pPr>
      <w:r>
        <w:rPr>
          <w:rStyle w:val="Emphasis"/>
          <w:rFonts w:ascii="Calibri" w:hAnsi="Calibri"/>
          <w:color w:val="333333"/>
          <w:sz w:val="27"/>
          <w:szCs w:val="27"/>
        </w:rPr>
        <w:t>F</w:t>
      </w:r>
      <w:r>
        <w:rPr>
          <w:rFonts w:ascii="Calibri" w:hAnsi="Calibri"/>
          <w:color w:val="333333"/>
          <w:sz w:val="28"/>
          <w:szCs w:val="28"/>
        </w:rPr>
        <w:t>-Distributions</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Another important and useful family of distributions in statistics is the family of</w:t>
      </w:r>
      <w:r>
        <w:rPr>
          <w:rStyle w:val="apple-converted-space"/>
          <w:rFonts w:ascii="Georgia" w:hAnsi="Georgia"/>
          <w:color w:val="333333"/>
          <w:sz w:val="20"/>
          <w:szCs w:val="20"/>
        </w:rPr>
        <w:t> </w:t>
      </w:r>
      <w:r>
        <w:rPr>
          <w:rStyle w:val="Emphasis"/>
          <w:rFonts w:ascii="Georgia" w:hAnsi="Georgia"/>
          <w:color w:val="333333"/>
          <w:sz w:val="20"/>
          <w:szCs w:val="20"/>
        </w:rPr>
        <w:t>F</w:t>
      </w:r>
      <w:r>
        <w:rPr>
          <w:rFonts w:ascii="Georgia" w:hAnsi="Georgia"/>
          <w:color w:val="333333"/>
          <w:sz w:val="20"/>
          <w:szCs w:val="20"/>
        </w:rPr>
        <w:t>-distributions. Each member of the</w:t>
      </w:r>
      <w:r>
        <w:rPr>
          <w:rStyle w:val="apple-converted-space"/>
          <w:rFonts w:ascii="Georgia" w:hAnsi="Georgia"/>
          <w:color w:val="333333"/>
          <w:sz w:val="20"/>
          <w:szCs w:val="20"/>
        </w:rPr>
        <w:t> </w:t>
      </w:r>
      <w:r>
        <w:rPr>
          <w:rStyle w:val="Emphasis"/>
          <w:rFonts w:ascii="Georgia" w:hAnsi="Georgia"/>
          <w:color w:val="333333"/>
          <w:sz w:val="20"/>
          <w:szCs w:val="20"/>
        </w:rPr>
        <w:t>F</w:t>
      </w:r>
      <w:r>
        <w:rPr>
          <w:rFonts w:ascii="Georgia" w:hAnsi="Georgia"/>
          <w:color w:val="333333"/>
          <w:sz w:val="20"/>
          <w:szCs w:val="20"/>
        </w:rPr>
        <w:t>-distribution family is specified by a pair of parameters called</w:t>
      </w:r>
      <w:r>
        <w:rPr>
          <w:rStyle w:val="apple-converted-space"/>
          <w:rFonts w:ascii="Georgia" w:hAnsi="Georgia"/>
          <w:color w:val="333333"/>
          <w:sz w:val="20"/>
          <w:szCs w:val="20"/>
        </w:rPr>
        <w:t> </w:t>
      </w:r>
      <w:r>
        <w:rPr>
          <w:rStyle w:val="Emphasis"/>
          <w:rFonts w:ascii="Georgia" w:hAnsi="Georgia"/>
          <w:color w:val="333333"/>
          <w:sz w:val="20"/>
          <w:szCs w:val="20"/>
        </w:rPr>
        <w:t>degrees of freedom</w:t>
      </w:r>
      <w:r>
        <w:rPr>
          <w:rStyle w:val="apple-converted-space"/>
          <w:rFonts w:ascii="Georgia" w:hAnsi="Georgia"/>
          <w:color w:val="333333"/>
          <w:sz w:val="20"/>
          <w:szCs w:val="20"/>
        </w:rPr>
        <w:t> </w:t>
      </w:r>
      <w:r>
        <w:rPr>
          <w:rFonts w:ascii="Georgia" w:hAnsi="Georgia"/>
          <w:color w:val="333333"/>
          <w:sz w:val="20"/>
          <w:szCs w:val="20"/>
        </w:rPr>
        <w:t>and denoted</w:t>
      </w:r>
      <w:r>
        <w:rPr>
          <w:rStyle w:val="apple-converted-space"/>
          <w:rFonts w:ascii="Georgia" w:hAnsi="Georgia"/>
          <w:color w:val="333333"/>
          <w:sz w:val="20"/>
          <w:szCs w:val="20"/>
        </w:rPr>
        <w:t> </w:t>
      </w:r>
      <w:r>
        <w:rPr>
          <w:rStyle w:val="mi"/>
          <w:rFonts w:ascii="MathJax_Math" w:hAnsi="MathJax_Math"/>
          <w:i/>
          <w:iCs/>
          <w:color w:val="333333"/>
          <w:sz w:val="20"/>
          <w:szCs w:val="20"/>
        </w:rPr>
        <w:t>df</w:t>
      </w:r>
      <w:r>
        <w:rPr>
          <w:rStyle w:val="mn"/>
          <w:rFonts w:ascii="MathJax_Main" w:hAnsi="MathJax_Main"/>
          <w:color w:val="333333"/>
          <w:sz w:val="15"/>
          <w:szCs w:val="15"/>
        </w:rPr>
        <w:t>1</w:t>
      </w:r>
      <w:r>
        <w:rPr>
          <w:rFonts w:ascii="Georgia" w:hAnsi="Georgia"/>
          <w:color w:val="333333"/>
          <w:sz w:val="20"/>
          <w:szCs w:val="20"/>
        </w:rPr>
        <w:t>and</w:t>
      </w:r>
      <w:r>
        <w:rPr>
          <w:rStyle w:val="apple-converted-space"/>
          <w:rFonts w:ascii="Georgia" w:hAnsi="Georgia"/>
          <w:color w:val="333333"/>
          <w:sz w:val="20"/>
          <w:szCs w:val="20"/>
        </w:rPr>
        <w:t> </w:t>
      </w:r>
      <w:r>
        <w:rPr>
          <w:rStyle w:val="mi"/>
          <w:rFonts w:ascii="MathJax_Math" w:hAnsi="MathJax_Math"/>
          <w:i/>
          <w:iCs/>
          <w:color w:val="333333"/>
          <w:sz w:val="20"/>
          <w:szCs w:val="20"/>
        </w:rPr>
        <w:t>df</w:t>
      </w:r>
      <w:r>
        <w:rPr>
          <w:rStyle w:val="mn"/>
          <w:rFonts w:ascii="MathJax_Main" w:hAnsi="MathJax_Main"/>
          <w:color w:val="333333"/>
          <w:sz w:val="15"/>
          <w:szCs w:val="15"/>
        </w:rPr>
        <w:t>2</w:t>
      </w:r>
      <w:r>
        <w:rPr>
          <w:rStyle w:val="mo"/>
          <w:rFonts w:ascii="MathJax_Main" w:hAnsi="MathJax_Main"/>
          <w:color w:val="333333"/>
          <w:sz w:val="20"/>
          <w:szCs w:val="20"/>
        </w:rPr>
        <w:t>.</w:t>
      </w:r>
      <w:r>
        <w:rPr>
          <w:rStyle w:val="apple-converted-space"/>
          <w:rFonts w:ascii="Georgia" w:hAnsi="Georgia"/>
          <w:color w:val="333333"/>
          <w:sz w:val="20"/>
          <w:szCs w:val="20"/>
        </w:rPr>
        <w:t> </w:t>
      </w:r>
      <w:r>
        <w:rPr>
          <w:rFonts w:ascii="Georgia" w:hAnsi="Georgia"/>
          <w:color w:val="2689C6"/>
          <w:sz w:val="20"/>
          <w:szCs w:val="20"/>
        </w:rPr>
        <w:t>Figure 11.7 "Many "</w:t>
      </w:r>
      <w:r>
        <w:rPr>
          <w:rStyle w:val="apple-converted-space"/>
          <w:rFonts w:ascii="Georgia" w:hAnsi="Georgia"/>
          <w:color w:val="333333"/>
          <w:sz w:val="20"/>
          <w:szCs w:val="20"/>
        </w:rPr>
        <w:t> </w:t>
      </w:r>
      <w:r>
        <w:rPr>
          <w:rFonts w:ascii="Georgia" w:hAnsi="Georgia"/>
          <w:color w:val="333333"/>
          <w:sz w:val="20"/>
          <w:szCs w:val="20"/>
        </w:rPr>
        <w:t>shows several</w:t>
      </w:r>
      <w:r>
        <w:rPr>
          <w:rStyle w:val="apple-converted-space"/>
          <w:rFonts w:ascii="Georgia" w:hAnsi="Georgia"/>
          <w:color w:val="333333"/>
          <w:sz w:val="20"/>
          <w:szCs w:val="20"/>
        </w:rPr>
        <w:t> </w:t>
      </w:r>
      <w:r>
        <w:rPr>
          <w:rStyle w:val="Emphasis"/>
          <w:rFonts w:ascii="Georgia" w:hAnsi="Georgia"/>
          <w:color w:val="333333"/>
          <w:sz w:val="20"/>
          <w:szCs w:val="20"/>
        </w:rPr>
        <w:t>F</w:t>
      </w:r>
      <w:r>
        <w:rPr>
          <w:rFonts w:ascii="Georgia" w:hAnsi="Georgia"/>
          <w:color w:val="333333"/>
          <w:sz w:val="20"/>
          <w:szCs w:val="20"/>
        </w:rPr>
        <w:t>-distributions for different pairs of degrees of freedom. An</w:t>
      </w:r>
      <w:r>
        <w:rPr>
          <w:rStyle w:val="apple-converted-space"/>
          <w:rFonts w:ascii="Georgia" w:hAnsi="Georgia"/>
          <w:color w:val="333333"/>
          <w:sz w:val="20"/>
          <w:szCs w:val="20"/>
        </w:rPr>
        <w:t> </w:t>
      </w:r>
      <w:r>
        <w:rPr>
          <w:rStyle w:val="marginterm"/>
          <w:rFonts w:ascii="Georgia" w:hAnsi="Georgia"/>
          <w:b/>
          <w:color w:val="333333"/>
          <w:sz w:val="20"/>
          <w:szCs w:val="20"/>
        </w:rPr>
        <w:t>F random variable</w:t>
      </w:r>
      <w:r>
        <w:rPr>
          <w:rStyle w:val="marginterm"/>
          <w:rFonts w:ascii="Georgia" w:hAnsi="Georgia"/>
          <w:color w:val="333333"/>
          <w:sz w:val="20"/>
          <w:szCs w:val="20"/>
        </w:rPr>
        <w:t xml:space="preserve"> </w:t>
      </w:r>
      <w:r>
        <w:rPr>
          <w:rFonts w:ascii="Georgia" w:hAnsi="Georgia"/>
          <w:color w:val="333333"/>
          <w:sz w:val="20"/>
          <w:szCs w:val="20"/>
        </w:rPr>
        <w:t>is a random variable that assumes only positive values and follows an</w:t>
      </w:r>
      <w:r>
        <w:rPr>
          <w:rStyle w:val="apple-converted-space"/>
          <w:rFonts w:ascii="Georgia" w:hAnsi="Georgia"/>
          <w:color w:val="333333"/>
          <w:sz w:val="20"/>
          <w:szCs w:val="20"/>
        </w:rPr>
        <w:t> </w:t>
      </w:r>
      <w:r>
        <w:rPr>
          <w:rStyle w:val="Emphasis"/>
          <w:rFonts w:ascii="Georgia" w:hAnsi="Georgia"/>
          <w:color w:val="333333"/>
          <w:sz w:val="20"/>
          <w:szCs w:val="20"/>
        </w:rPr>
        <w:t>F</w:t>
      </w:r>
      <w:r>
        <w:rPr>
          <w:rFonts w:ascii="Georgia" w:hAnsi="Georgia"/>
          <w:color w:val="333333"/>
          <w:sz w:val="20"/>
          <w:szCs w:val="20"/>
        </w:rPr>
        <w:t>-distribution.</w:t>
      </w:r>
    </w:p>
    <w:p w:rsidR="00AD77BB" w:rsidRDefault="00B45BA0">
      <w:pPr>
        <w:pStyle w:val="Title9"/>
        <w:shd w:val="clear" w:color="auto" w:fill="FFFFFF"/>
        <w:spacing w:before="0" w:beforeAutospacing="0" w:after="0" w:afterAutospacing="0" w:line="360" w:lineRule="auto"/>
        <w:textAlignment w:val="baseline"/>
        <w:rPr>
          <w:rFonts w:ascii="Georgia" w:hAnsi="Georgia"/>
          <w:i/>
          <w:iCs/>
          <w:color w:val="BB9966"/>
          <w:sz w:val="21"/>
          <w:szCs w:val="21"/>
        </w:rPr>
      </w:pPr>
      <w:r>
        <w:rPr>
          <w:rStyle w:val="title-prefix"/>
          <w:rFonts w:ascii="Georgia" w:hAnsi="Georgia"/>
          <w:i/>
          <w:iCs/>
          <w:color w:val="000000"/>
          <w:sz w:val="20"/>
          <w:szCs w:val="20"/>
        </w:rPr>
        <w:t>Figure 11.7</w:t>
      </w:r>
      <w:r>
        <w:rPr>
          <w:rStyle w:val="apple-converted-space"/>
          <w:rFonts w:ascii="Georgia" w:hAnsi="Georgia"/>
          <w:i/>
          <w:iCs/>
          <w:color w:val="BB9966"/>
          <w:sz w:val="21"/>
          <w:szCs w:val="21"/>
        </w:rPr>
        <w:t> </w:t>
      </w:r>
      <w:r>
        <w:rPr>
          <w:rFonts w:ascii="Georgia" w:hAnsi="Georgia"/>
          <w:i/>
          <w:iCs/>
          <w:color w:val="BB9966"/>
          <w:sz w:val="21"/>
          <w:szCs w:val="21"/>
        </w:rPr>
        <w:t>Many</w:t>
      </w:r>
      <w:r>
        <w:rPr>
          <w:rStyle w:val="apple-converted-space"/>
          <w:rFonts w:ascii="Georgia" w:hAnsi="Georgia"/>
          <w:i/>
          <w:iCs/>
          <w:color w:val="BB9966"/>
          <w:sz w:val="21"/>
          <w:szCs w:val="21"/>
        </w:rPr>
        <w:t> </w:t>
      </w:r>
      <w:r>
        <w:rPr>
          <w:rStyle w:val="Emphasis"/>
          <w:rFonts w:ascii="Georgia" w:hAnsi="Georgia"/>
          <w:color w:val="BB9966"/>
          <w:sz w:val="20"/>
          <w:szCs w:val="20"/>
        </w:rPr>
        <w:t>F</w:t>
      </w:r>
      <w:r>
        <w:rPr>
          <w:rFonts w:ascii="Georgia" w:hAnsi="Georgia"/>
          <w:i/>
          <w:iCs/>
          <w:color w:val="BB9966"/>
          <w:sz w:val="21"/>
          <w:szCs w:val="21"/>
        </w:rPr>
        <w:t>-Distributions</w:t>
      </w:r>
    </w:p>
    <w:p w:rsidR="00AD77BB" w:rsidRDefault="00B45BA0">
      <w:pPr>
        <w:shd w:val="clear" w:color="auto" w:fill="FFFFFF"/>
        <w:spacing w:line="360" w:lineRule="auto"/>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31A36F65" wp14:editId="65F53A19">
            <wp:extent cx="3609975" cy="2790825"/>
            <wp:effectExtent l="0" t="0" r="9525" b="9525"/>
            <wp:docPr id="450" name="Picture 472" descr="http://images.flatworldknowledge.com/shafer/shafer-fig11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http://images.flatworldknowledge.com/shafer/shafer-fig11_007.jp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3609975" cy="2790825"/>
                    </a:xfrm>
                    <a:prstGeom prst="rect">
                      <a:avLst/>
                    </a:prstGeom>
                    <a:noFill/>
                    <a:ln>
                      <a:noFill/>
                    </a:ln>
                  </pic:spPr>
                </pic:pic>
              </a:graphicData>
            </a:graphic>
          </wp:inline>
        </w:drawing>
      </w:r>
    </w:p>
    <w:p w:rsidR="00AD77BB" w:rsidRDefault="00B45BA0">
      <w:pPr>
        <w:pStyle w:val="para"/>
        <w:shd w:val="clear" w:color="auto" w:fill="FFFFFF"/>
        <w:spacing w:before="0" w:beforeAutospacing="0" w:after="0" w:afterAutospacing="0" w:line="360" w:lineRule="auto"/>
        <w:textAlignment w:val="baseline"/>
        <w:rPr>
          <w:rStyle w:val="mo"/>
          <w:rFonts w:ascii="MathJax_Main" w:hAnsi="MathJax_Main"/>
          <w:color w:val="333333"/>
          <w:sz w:val="20"/>
          <w:szCs w:val="20"/>
        </w:rPr>
      </w:pPr>
      <w:r>
        <w:rPr>
          <w:rFonts w:ascii="Georgia" w:hAnsi="Georgia"/>
          <w:color w:val="333333"/>
          <w:sz w:val="20"/>
          <w:szCs w:val="20"/>
        </w:rPr>
        <w:t>The parameter</w:t>
      </w:r>
      <w:r>
        <w:rPr>
          <w:rStyle w:val="apple-converted-space"/>
          <w:rFonts w:ascii="Georgia" w:hAnsi="Georgia"/>
          <w:color w:val="333333"/>
          <w:sz w:val="20"/>
          <w:szCs w:val="20"/>
        </w:rPr>
        <w:t> </w:t>
      </w:r>
      <w:r>
        <w:rPr>
          <w:rStyle w:val="mi"/>
          <w:rFonts w:ascii="MathJax_Math" w:hAnsi="MathJax_Math"/>
          <w:i/>
          <w:iCs/>
          <w:color w:val="333333"/>
          <w:sz w:val="20"/>
          <w:szCs w:val="20"/>
        </w:rPr>
        <w:t>df</w:t>
      </w:r>
      <w:r>
        <w:rPr>
          <w:rStyle w:val="mn"/>
          <w:rFonts w:ascii="MathJax_Main" w:hAnsi="MathJax_Main"/>
          <w:color w:val="333333"/>
          <w:sz w:val="15"/>
          <w:szCs w:val="15"/>
        </w:rPr>
        <w:t>1</w:t>
      </w:r>
      <w:r>
        <w:rPr>
          <w:rStyle w:val="apple-converted-space"/>
          <w:rFonts w:ascii="Georgia" w:hAnsi="Georgia"/>
          <w:color w:val="333333"/>
          <w:sz w:val="20"/>
          <w:szCs w:val="20"/>
        </w:rPr>
        <w:t> </w:t>
      </w:r>
      <w:r>
        <w:rPr>
          <w:rFonts w:ascii="Georgia" w:hAnsi="Georgia"/>
          <w:color w:val="333333"/>
          <w:sz w:val="20"/>
          <w:szCs w:val="20"/>
        </w:rPr>
        <w:t>is often referred to as the</w:t>
      </w:r>
      <w:r>
        <w:rPr>
          <w:rStyle w:val="apple-converted-space"/>
          <w:rFonts w:ascii="Georgia" w:hAnsi="Georgia"/>
          <w:color w:val="333333"/>
          <w:sz w:val="20"/>
          <w:szCs w:val="20"/>
        </w:rPr>
        <w:t> </w:t>
      </w:r>
      <w:r>
        <w:rPr>
          <w:rStyle w:val="Emphasis"/>
          <w:rFonts w:ascii="Georgia" w:hAnsi="Georgia"/>
          <w:color w:val="333333"/>
          <w:sz w:val="20"/>
          <w:szCs w:val="20"/>
        </w:rPr>
        <w:t>numerator</w:t>
      </w:r>
      <w:r>
        <w:rPr>
          <w:rStyle w:val="apple-converted-space"/>
          <w:rFonts w:ascii="Georgia" w:hAnsi="Georgia"/>
          <w:color w:val="333333"/>
          <w:sz w:val="20"/>
          <w:szCs w:val="20"/>
        </w:rPr>
        <w:t> </w:t>
      </w:r>
      <w:r>
        <w:rPr>
          <w:rFonts w:ascii="Georgia" w:hAnsi="Georgia"/>
          <w:color w:val="333333"/>
          <w:sz w:val="20"/>
          <w:szCs w:val="20"/>
        </w:rPr>
        <w:t>degrees of freedom and the parameter</w:t>
      </w:r>
      <w:r>
        <w:rPr>
          <w:rStyle w:val="apple-converted-space"/>
          <w:rFonts w:ascii="Georgia" w:hAnsi="Georgia"/>
          <w:color w:val="333333"/>
          <w:sz w:val="20"/>
          <w:szCs w:val="20"/>
        </w:rPr>
        <w:t> </w:t>
      </w:r>
      <w:r>
        <w:rPr>
          <w:rStyle w:val="mi"/>
          <w:rFonts w:ascii="MathJax_Math" w:hAnsi="MathJax_Math"/>
          <w:i/>
          <w:iCs/>
          <w:color w:val="333333"/>
          <w:sz w:val="20"/>
          <w:szCs w:val="20"/>
        </w:rPr>
        <w:t>df</w:t>
      </w:r>
      <w:r>
        <w:rPr>
          <w:rStyle w:val="mn"/>
          <w:rFonts w:ascii="MathJax_Main" w:hAnsi="MathJax_Main"/>
          <w:color w:val="333333"/>
          <w:sz w:val="15"/>
          <w:szCs w:val="15"/>
        </w:rPr>
        <w:t>2</w:t>
      </w:r>
      <w:r>
        <w:rPr>
          <w:rStyle w:val="apple-converted-space"/>
          <w:rFonts w:ascii="Georgia" w:hAnsi="Georgia"/>
          <w:color w:val="333333"/>
          <w:sz w:val="20"/>
          <w:szCs w:val="20"/>
        </w:rPr>
        <w:t> </w:t>
      </w:r>
      <w:r>
        <w:rPr>
          <w:rFonts w:ascii="Georgia" w:hAnsi="Georgia"/>
          <w:color w:val="333333"/>
          <w:sz w:val="20"/>
          <w:szCs w:val="20"/>
        </w:rPr>
        <w:t>as the</w:t>
      </w:r>
      <w:r>
        <w:rPr>
          <w:rStyle w:val="apple-converted-space"/>
          <w:rFonts w:ascii="Georgia" w:hAnsi="Georgia"/>
          <w:color w:val="333333"/>
          <w:sz w:val="20"/>
          <w:szCs w:val="20"/>
        </w:rPr>
        <w:t> </w:t>
      </w:r>
      <w:r>
        <w:rPr>
          <w:rStyle w:val="Emphasis"/>
          <w:rFonts w:ascii="Georgia" w:hAnsi="Georgia"/>
          <w:color w:val="333333"/>
          <w:sz w:val="20"/>
          <w:szCs w:val="20"/>
        </w:rPr>
        <w:t>denominator</w:t>
      </w:r>
      <w:r>
        <w:rPr>
          <w:rStyle w:val="apple-converted-space"/>
          <w:rFonts w:ascii="Georgia" w:hAnsi="Georgia"/>
          <w:color w:val="333333"/>
          <w:sz w:val="20"/>
          <w:szCs w:val="20"/>
        </w:rPr>
        <w:t> </w:t>
      </w:r>
      <w:r>
        <w:rPr>
          <w:rFonts w:ascii="Georgia" w:hAnsi="Georgia"/>
          <w:color w:val="333333"/>
          <w:sz w:val="20"/>
          <w:szCs w:val="20"/>
        </w:rPr>
        <w:t>degrees of freedom. It is important to keep in mind that they are not interchangeable. For example, the</w:t>
      </w:r>
      <w:r>
        <w:rPr>
          <w:rStyle w:val="apple-converted-space"/>
          <w:rFonts w:ascii="Georgia" w:hAnsi="Georgia"/>
          <w:color w:val="333333"/>
          <w:sz w:val="20"/>
          <w:szCs w:val="20"/>
        </w:rPr>
        <w:t> </w:t>
      </w:r>
      <w:r>
        <w:rPr>
          <w:rStyle w:val="Emphasis"/>
          <w:rFonts w:ascii="Georgia" w:hAnsi="Georgia"/>
          <w:color w:val="333333"/>
          <w:sz w:val="20"/>
          <w:szCs w:val="20"/>
        </w:rPr>
        <w:t>F</w:t>
      </w:r>
      <w:r>
        <w:rPr>
          <w:rFonts w:ascii="Georgia" w:hAnsi="Georgia"/>
          <w:color w:val="333333"/>
          <w:sz w:val="20"/>
          <w:szCs w:val="20"/>
        </w:rPr>
        <w:t>-distribution with degrees of freedom</w:t>
      </w:r>
      <w:r>
        <w:rPr>
          <w:rStyle w:val="apple-converted-space"/>
          <w:rFonts w:ascii="Georgia" w:hAnsi="Georgia"/>
          <w:color w:val="333333"/>
          <w:sz w:val="20"/>
          <w:szCs w:val="20"/>
        </w:rPr>
        <w:t> </w:t>
      </w:r>
      <w:r>
        <w:rPr>
          <w:rStyle w:val="mi"/>
          <w:rFonts w:ascii="MathJax_Math" w:hAnsi="MathJax_Math"/>
          <w:i/>
          <w:iCs/>
          <w:color w:val="333333"/>
          <w:sz w:val="20"/>
          <w:szCs w:val="20"/>
        </w:rPr>
        <w:t>df</w:t>
      </w:r>
      <w:r>
        <w:rPr>
          <w:rStyle w:val="mn"/>
          <w:rFonts w:ascii="MathJax_Main" w:hAnsi="MathJax_Main"/>
          <w:color w:val="333333"/>
          <w:sz w:val="15"/>
          <w:szCs w:val="15"/>
        </w:rPr>
        <w:t>1</w:t>
      </w:r>
      <w:r>
        <w:rPr>
          <w:rStyle w:val="mo"/>
          <w:rFonts w:ascii="MathJax_Main" w:hAnsi="MathJax_Main"/>
          <w:color w:val="333333"/>
          <w:sz w:val="20"/>
          <w:szCs w:val="20"/>
        </w:rPr>
        <w:t>=</w:t>
      </w:r>
      <w:r>
        <w:rPr>
          <w:rStyle w:val="mn"/>
          <w:rFonts w:ascii="MathJax_Main" w:hAnsi="MathJax_Main"/>
          <w:color w:val="333333"/>
          <w:sz w:val="20"/>
          <w:szCs w:val="20"/>
        </w:rPr>
        <w:t>3</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mi"/>
          <w:rFonts w:ascii="MathJax_Math" w:hAnsi="MathJax_Math"/>
          <w:i/>
          <w:iCs/>
          <w:color w:val="333333"/>
          <w:sz w:val="20"/>
          <w:szCs w:val="20"/>
        </w:rPr>
        <w:t>df</w:t>
      </w:r>
      <w:r>
        <w:rPr>
          <w:rStyle w:val="mn"/>
          <w:rFonts w:ascii="MathJax_Main" w:hAnsi="MathJax_Main"/>
          <w:color w:val="333333"/>
          <w:sz w:val="15"/>
          <w:szCs w:val="15"/>
        </w:rPr>
        <w:t>2</w:t>
      </w:r>
      <w:r>
        <w:rPr>
          <w:rStyle w:val="mo"/>
          <w:rFonts w:ascii="MathJax_Main" w:hAnsi="MathJax_Main"/>
          <w:color w:val="333333"/>
          <w:sz w:val="20"/>
          <w:szCs w:val="20"/>
        </w:rPr>
        <w:t>=</w:t>
      </w:r>
      <w:r>
        <w:rPr>
          <w:rStyle w:val="mn"/>
          <w:rFonts w:ascii="MathJax_Main" w:hAnsi="MathJax_Main"/>
          <w:color w:val="333333"/>
          <w:sz w:val="20"/>
          <w:szCs w:val="20"/>
        </w:rPr>
        <w:t>8</w:t>
      </w:r>
      <w:r>
        <w:rPr>
          <w:rStyle w:val="apple-converted-space"/>
          <w:rFonts w:ascii="Georgia" w:hAnsi="Georgia"/>
          <w:color w:val="333333"/>
          <w:sz w:val="20"/>
          <w:szCs w:val="20"/>
        </w:rPr>
        <w:t> </w:t>
      </w:r>
      <w:r>
        <w:rPr>
          <w:rFonts w:ascii="Georgia" w:hAnsi="Georgia"/>
          <w:color w:val="333333"/>
          <w:sz w:val="20"/>
          <w:szCs w:val="20"/>
        </w:rPr>
        <w:t>is a different distribution from the</w:t>
      </w:r>
      <w:r>
        <w:rPr>
          <w:rStyle w:val="apple-converted-space"/>
          <w:rFonts w:ascii="Georgia" w:hAnsi="Georgia"/>
          <w:color w:val="333333"/>
          <w:sz w:val="20"/>
          <w:szCs w:val="20"/>
        </w:rPr>
        <w:t> </w:t>
      </w:r>
      <w:r>
        <w:rPr>
          <w:rStyle w:val="Emphasis"/>
          <w:rFonts w:ascii="Georgia" w:hAnsi="Georgia"/>
          <w:color w:val="333333"/>
          <w:sz w:val="20"/>
          <w:szCs w:val="20"/>
        </w:rPr>
        <w:t>F</w:t>
      </w:r>
      <w:r>
        <w:rPr>
          <w:rFonts w:ascii="Georgia" w:hAnsi="Georgia"/>
          <w:color w:val="333333"/>
          <w:sz w:val="20"/>
          <w:szCs w:val="20"/>
        </w:rPr>
        <w:t>-distribution with degrees of freedom</w:t>
      </w:r>
      <w:r>
        <w:rPr>
          <w:rStyle w:val="apple-converted-space"/>
          <w:rFonts w:ascii="Georgia" w:hAnsi="Georgia"/>
          <w:color w:val="333333"/>
          <w:sz w:val="20"/>
          <w:szCs w:val="20"/>
        </w:rPr>
        <w:t> </w:t>
      </w:r>
      <w:r>
        <w:rPr>
          <w:rStyle w:val="mi"/>
          <w:rFonts w:ascii="MathJax_Math" w:hAnsi="MathJax_Math"/>
          <w:i/>
          <w:iCs/>
          <w:color w:val="333333"/>
          <w:sz w:val="20"/>
          <w:szCs w:val="20"/>
        </w:rPr>
        <w:t>df</w:t>
      </w:r>
      <w:r>
        <w:rPr>
          <w:rStyle w:val="mn"/>
          <w:rFonts w:ascii="MathJax_Main" w:hAnsi="MathJax_Main"/>
          <w:color w:val="333333"/>
          <w:sz w:val="15"/>
          <w:szCs w:val="15"/>
        </w:rPr>
        <w:t>1</w:t>
      </w:r>
      <w:r>
        <w:rPr>
          <w:rStyle w:val="mo"/>
          <w:rFonts w:ascii="MathJax_Main" w:hAnsi="MathJax_Main"/>
          <w:color w:val="333333"/>
          <w:sz w:val="20"/>
          <w:szCs w:val="20"/>
        </w:rPr>
        <w:t>=</w:t>
      </w:r>
      <w:r>
        <w:rPr>
          <w:rStyle w:val="mn"/>
          <w:rFonts w:ascii="MathJax_Main" w:hAnsi="MathJax_Main"/>
          <w:color w:val="333333"/>
          <w:sz w:val="20"/>
          <w:szCs w:val="20"/>
        </w:rPr>
        <w:t>8</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mi"/>
          <w:rFonts w:ascii="MathJax_Math" w:hAnsi="MathJax_Math"/>
          <w:i/>
          <w:iCs/>
          <w:color w:val="333333"/>
          <w:sz w:val="20"/>
          <w:szCs w:val="20"/>
        </w:rPr>
        <w:t>df</w:t>
      </w:r>
      <w:r>
        <w:rPr>
          <w:rStyle w:val="mn"/>
          <w:rFonts w:ascii="MathJax_Main" w:hAnsi="MathJax_Main"/>
          <w:color w:val="333333"/>
          <w:sz w:val="15"/>
          <w:szCs w:val="15"/>
        </w:rPr>
        <w:t>2</w:t>
      </w:r>
      <w:r>
        <w:rPr>
          <w:rStyle w:val="mo"/>
          <w:rFonts w:ascii="MathJax_Main" w:hAnsi="MathJax_Main"/>
          <w:color w:val="333333"/>
          <w:sz w:val="20"/>
          <w:szCs w:val="20"/>
        </w:rPr>
        <w:t>=</w:t>
      </w:r>
      <w:r>
        <w:rPr>
          <w:rStyle w:val="mn"/>
          <w:rFonts w:ascii="MathJax_Main" w:hAnsi="MathJax_Main"/>
          <w:color w:val="333333"/>
          <w:sz w:val="20"/>
          <w:szCs w:val="20"/>
        </w:rPr>
        <w:t>3</w:t>
      </w:r>
      <w:r>
        <w:rPr>
          <w:rStyle w:val="mo"/>
          <w:rFonts w:ascii="MathJax_Main" w:hAnsi="MathJax_Main"/>
          <w:color w:val="333333"/>
          <w:sz w:val="20"/>
          <w:szCs w:val="20"/>
        </w:rPr>
        <w:t>.</w:t>
      </w:r>
    </w:p>
    <w:p w:rsidR="00AD77BB" w:rsidRDefault="00AD77BB">
      <w:pPr>
        <w:pStyle w:val="para"/>
        <w:shd w:val="clear" w:color="auto" w:fill="FFFFFF"/>
        <w:spacing w:before="0" w:beforeAutospacing="0" w:after="0" w:afterAutospacing="0" w:line="360" w:lineRule="auto"/>
        <w:textAlignment w:val="baseline"/>
        <w:rPr>
          <w:rStyle w:val="mo"/>
          <w:rFonts w:ascii="MathJax_Main" w:hAnsi="MathJax_Main"/>
          <w:color w:val="333333"/>
          <w:sz w:val="20"/>
          <w:szCs w:val="20"/>
        </w:rPr>
      </w:pPr>
    </w:p>
    <w:p w:rsidR="00AD77BB" w:rsidRDefault="00AD77BB">
      <w:pPr>
        <w:pStyle w:val="para"/>
        <w:shd w:val="clear" w:color="auto" w:fill="FFFFFF"/>
        <w:spacing w:before="0" w:beforeAutospacing="0" w:after="0" w:afterAutospacing="0" w:line="360" w:lineRule="auto"/>
        <w:textAlignment w:val="baseline"/>
        <w:rPr>
          <w:rStyle w:val="mo"/>
          <w:rFonts w:ascii="MathJax_Main" w:hAnsi="MathJax_Main"/>
          <w:color w:val="333333"/>
          <w:sz w:val="20"/>
          <w:szCs w:val="20"/>
        </w:rPr>
      </w:pPr>
    </w:p>
    <w:p w:rsidR="00AD77BB" w:rsidRDefault="00AD77BB">
      <w:pPr>
        <w:pStyle w:val="para"/>
        <w:shd w:val="clear" w:color="auto" w:fill="FFFFFF"/>
        <w:spacing w:before="0" w:beforeAutospacing="0" w:after="0" w:afterAutospacing="0" w:line="360" w:lineRule="auto"/>
        <w:textAlignment w:val="baseline"/>
        <w:rPr>
          <w:rStyle w:val="mo"/>
          <w:rFonts w:ascii="MathJax_Main" w:hAnsi="MathJax_Main"/>
          <w:color w:val="333333"/>
          <w:sz w:val="20"/>
          <w:szCs w:val="20"/>
        </w:rPr>
      </w:pPr>
    </w:p>
    <w:p w:rsidR="00AD77BB" w:rsidRDefault="00AD77BB">
      <w:pPr>
        <w:pStyle w:val="para"/>
        <w:shd w:val="clear" w:color="auto" w:fill="FFFFFF"/>
        <w:spacing w:before="0" w:beforeAutospacing="0" w:after="0" w:afterAutospacing="0" w:line="360" w:lineRule="auto"/>
        <w:textAlignment w:val="baseline"/>
        <w:rPr>
          <w:rStyle w:val="mo"/>
          <w:rFonts w:ascii="MathJax_Main" w:hAnsi="MathJax_Main"/>
          <w:color w:val="333333"/>
          <w:sz w:val="20"/>
          <w:szCs w:val="20"/>
        </w:rPr>
      </w:pPr>
    </w:p>
    <w:p w:rsidR="00AD77BB" w:rsidRDefault="00B45BA0">
      <w:pPr>
        <w:pStyle w:val="Heading3"/>
        <w:shd w:val="clear" w:color="auto" w:fill="F4F4F4"/>
        <w:spacing w:before="0" w:beforeAutospacing="0" w:after="0" w:afterAutospacing="0" w:line="264" w:lineRule="atLeast"/>
        <w:textAlignment w:val="baseline"/>
        <w:rPr>
          <w:rFonts w:ascii="Calibri" w:hAnsi="Calibri"/>
          <w:sz w:val="30"/>
          <w:szCs w:val="30"/>
        </w:rPr>
      </w:pPr>
      <w:r>
        <w:rPr>
          <w:rFonts w:ascii="Calibri" w:hAnsi="Calibri"/>
          <w:color w:val="333333"/>
          <w:sz w:val="30"/>
          <w:szCs w:val="30"/>
        </w:rPr>
        <w:lastRenderedPageBreak/>
        <w:t>Definition</w:t>
      </w: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Style w:val="Emphasis"/>
          <w:rFonts w:ascii="Georgia" w:hAnsi="Georgia"/>
          <w:color w:val="333333"/>
          <w:sz w:val="20"/>
          <w:szCs w:val="20"/>
        </w:rPr>
        <w:t>The value of the</w:t>
      </w:r>
      <w:r>
        <w:rPr>
          <w:rStyle w:val="apple-converted-space"/>
          <w:rFonts w:ascii="Georgia" w:hAnsi="Georgia"/>
          <w:color w:val="333333"/>
          <w:sz w:val="20"/>
          <w:szCs w:val="20"/>
        </w:rPr>
        <w:t> </w:t>
      </w:r>
      <w:r>
        <w:rPr>
          <w:rStyle w:val="Emphasis"/>
          <w:rFonts w:ascii="Georgia" w:hAnsi="Georgia"/>
          <w:color w:val="333333"/>
          <w:sz w:val="20"/>
          <w:szCs w:val="20"/>
        </w:rPr>
        <w:t>F</w:t>
      </w:r>
      <w:r>
        <w:rPr>
          <w:rStyle w:val="apple-converted-space"/>
          <w:rFonts w:ascii="Georgia" w:hAnsi="Georgia"/>
          <w:i/>
          <w:iCs/>
          <w:color w:val="333333"/>
          <w:sz w:val="20"/>
          <w:szCs w:val="20"/>
        </w:rPr>
        <w:t> </w:t>
      </w:r>
      <w:r>
        <w:rPr>
          <w:rStyle w:val="Emphasis"/>
          <w:rFonts w:ascii="Georgia" w:hAnsi="Georgia"/>
          <w:color w:val="333333"/>
          <w:sz w:val="20"/>
          <w:szCs w:val="20"/>
        </w:rPr>
        <w:t>random variable</w:t>
      </w:r>
      <w:r>
        <w:rPr>
          <w:rStyle w:val="apple-converted-space"/>
          <w:rFonts w:ascii="Georgia" w:hAnsi="Georgia"/>
          <w:color w:val="333333"/>
          <w:sz w:val="20"/>
          <w:szCs w:val="20"/>
        </w:rPr>
        <w:t> </w:t>
      </w:r>
      <w:r>
        <w:rPr>
          <w:rStyle w:val="Emphasis"/>
          <w:rFonts w:ascii="Georgia" w:hAnsi="Georgia"/>
          <w:color w:val="333333"/>
          <w:sz w:val="20"/>
          <w:szCs w:val="20"/>
        </w:rPr>
        <w:t>F</w:t>
      </w:r>
      <w:r>
        <w:rPr>
          <w:rStyle w:val="apple-converted-space"/>
          <w:rFonts w:ascii="Georgia" w:hAnsi="Georgia"/>
          <w:color w:val="333333"/>
          <w:sz w:val="20"/>
          <w:szCs w:val="20"/>
        </w:rPr>
        <w:t> </w:t>
      </w:r>
      <w:r>
        <w:rPr>
          <w:rStyle w:val="Emphasis"/>
          <w:rFonts w:ascii="Georgia" w:hAnsi="Georgia"/>
          <w:color w:val="333333"/>
          <w:sz w:val="20"/>
          <w:szCs w:val="20"/>
        </w:rPr>
        <w:t>with degrees of freedom</w:t>
      </w:r>
      <w:r>
        <w:rPr>
          <w:rStyle w:val="apple-converted-space"/>
          <w:rFonts w:ascii="Georgia" w:hAnsi="Georgia"/>
          <w:color w:val="333333"/>
          <w:sz w:val="20"/>
          <w:szCs w:val="20"/>
        </w:rPr>
        <w:t> </w:t>
      </w:r>
      <w:r>
        <w:rPr>
          <w:rStyle w:val="inlineequation"/>
          <w:rFonts w:ascii="Georgia" w:eastAsiaTheme="majorEastAsia" w:hAnsi="Georgia"/>
          <w:color w:val="333333"/>
          <w:sz w:val="20"/>
          <w:szCs w:val="20"/>
        </w:rPr>
        <w:t>df1</w:t>
      </w:r>
      <w:r>
        <w:rPr>
          <w:rStyle w:val="apple-converted-space"/>
          <w:rFonts w:ascii="Georgia" w:hAnsi="Georgia"/>
          <w:color w:val="333333"/>
          <w:sz w:val="20"/>
          <w:szCs w:val="20"/>
        </w:rPr>
        <w:t> </w:t>
      </w:r>
      <w:r>
        <w:rPr>
          <w:rStyle w:val="Emphasis"/>
          <w:rFonts w:ascii="Georgia" w:hAnsi="Georgia"/>
          <w:color w:val="333333"/>
          <w:sz w:val="20"/>
          <w:szCs w:val="20"/>
        </w:rPr>
        <w:t>and</w:t>
      </w:r>
      <w:r>
        <w:rPr>
          <w:rStyle w:val="apple-converted-space"/>
          <w:rFonts w:ascii="Georgia" w:hAnsi="Georgia"/>
          <w:color w:val="333333"/>
          <w:sz w:val="20"/>
          <w:szCs w:val="20"/>
        </w:rPr>
        <w:t> </w:t>
      </w:r>
      <w:r>
        <w:rPr>
          <w:rStyle w:val="inlineequation"/>
          <w:rFonts w:ascii="Georgia" w:eastAsiaTheme="majorEastAsia" w:hAnsi="Georgia"/>
          <w:color w:val="333333"/>
          <w:sz w:val="20"/>
          <w:szCs w:val="20"/>
        </w:rPr>
        <w:t>df2</w:t>
      </w:r>
      <w:r>
        <w:rPr>
          <w:rStyle w:val="Emphasis"/>
          <w:rFonts w:ascii="Georgia" w:hAnsi="Georgia"/>
          <w:color w:val="333333"/>
          <w:sz w:val="20"/>
          <w:szCs w:val="20"/>
        </w:rPr>
        <w:t>that cuts off a right tail of area</w:t>
      </w:r>
      <w:r>
        <w:rPr>
          <w:rStyle w:val="apple-converted-space"/>
          <w:rFonts w:ascii="Georgia" w:hAnsi="Georgia"/>
          <w:color w:val="333333"/>
          <w:sz w:val="20"/>
          <w:szCs w:val="20"/>
        </w:rPr>
        <w:t> </w:t>
      </w:r>
      <w:r>
        <w:rPr>
          <w:rStyle w:val="Emphasis"/>
          <w:rFonts w:ascii="Georgia" w:hAnsi="Georgia"/>
          <w:color w:val="333333"/>
          <w:sz w:val="20"/>
          <w:szCs w:val="20"/>
        </w:rPr>
        <w:t>c</w:t>
      </w:r>
      <w:r>
        <w:rPr>
          <w:rStyle w:val="apple-converted-space"/>
          <w:rFonts w:ascii="Georgia" w:hAnsi="Georgia"/>
          <w:color w:val="333333"/>
          <w:sz w:val="20"/>
          <w:szCs w:val="20"/>
        </w:rPr>
        <w:t> </w:t>
      </w:r>
      <w:r>
        <w:rPr>
          <w:rStyle w:val="Emphasis"/>
          <w:rFonts w:ascii="Georgia" w:hAnsi="Georgia"/>
          <w:color w:val="333333"/>
          <w:sz w:val="20"/>
          <w:szCs w:val="20"/>
        </w:rPr>
        <w:t>is denoted</w:t>
      </w:r>
      <w:r>
        <w:rPr>
          <w:rStyle w:val="apple-converted-space"/>
          <w:rFonts w:ascii="Georgia" w:hAnsi="Georgia"/>
          <w:color w:val="333333"/>
          <w:sz w:val="20"/>
          <w:szCs w:val="20"/>
        </w:rPr>
        <w:t> </w:t>
      </w:r>
      <w:r>
        <w:rPr>
          <w:rStyle w:val="Emphasis"/>
          <w:rFonts w:ascii="Georgia" w:hAnsi="Georgia"/>
          <w:color w:val="333333"/>
          <w:sz w:val="20"/>
          <w:szCs w:val="20"/>
        </w:rPr>
        <w:t>F</w:t>
      </w:r>
      <w:r>
        <w:rPr>
          <w:rStyle w:val="Emphasis"/>
          <w:rFonts w:ascii="Georgia" w:hAnsi="Georgia"/>
          <w:color w:val="333333"/>
          <w:sz w:val="15"/>
          <w:szCs w:val="15"/>
          <w:vertAlign w:val="subscript"/>
        </w:rPr>
        <w:t>c</w:t>
      </w:r>
      <w:r>
        <w:rPr>
          <w:rStyle w:val="apple-converted-space"/>
          <w:rFonts w:ascii="Georgia" w:hAnsi="Georgia"/>
          <w:color w:val="333333"/>
          <w:sz w:val="20"/>
          <w:szCs w:val="20"/>
        </w:rPr>
        <w:t> </w:t>
      </w:r>
      <w:r>
        <w:rPr>
          <w:rStyle w:val="Emphasis"/>
          <w:rFonts w:ascii="Georgia" w:hAnsi="Georgia"/>
          <w:color w:val="333333"/>
          <w:sz w:val="20"/>
          <w:szCs w:val="20"/>
        </w:rPr>
        <w:t>and is called a</w:t>
      </w:r>
      <w:r>
        <w:rPr>
          <w:rStyle w:val="apple-converted-space"/>
          <w:rFonts w:ascii="Georgia" w:hAnsi="Georgia"/>
          <w:color w:val="333333"/>
          <w:sz w:val="20"/>
          <w:szCs w:val="20"/>
        </w:rPr>
        <w:t> </w:t>
      </w:r>
      <w:r>
        <w:rPr>
          <w:rStyle w:val="Strong"/>
          <w:rFonts w:ascii="Georgia" w:hAnsi="Georgia"/>
          <w:color w:val="333333"/>
          <w:sz w:val="20"/>
          <w:szCs w:val="20"/>
        </w:rPr>
        <w:t>critical value</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rPr>
        <w:t>See</w:t>
      </w:r>
      <w:r>
        <w:rPr>
          <w:rStyle w:val="apple-converted-space"/>
          <w:rFonts w:ascii="Georgia" w:hAnsi="Georgia"/>
          <w:i/>
          <w:iCs/>
          <w:color w:val="333333"/>
          <w:sz w:val="20"/>
          <w:szCs w:val="20"/>
        </w:rPr>
        <w:t> </w:t>
      </w:r>
      <w:r>
        <w:rPr>
          <w:rFonts w:ascii="Georgia" w:eastAsiaTheme="majorEastAsia" w:hAnsi="Georgia"/>
          <w:i/>
          <w:iCs/>
          <w:color w:val="2689C6"/>
          <w:sz w:val="20"/>
          <w:szCs w:val="20"/>
        </w:rPr>
        <w:t>Figure 11.8</w:t>
      </w:r>
      <w:r>
        <w:rPr>
          <w:rStyle w:val="Emphasis"/>
          <w:rFonts w:ascii="Georgia" w:hAnsi="Georgia"/>
          <w:color w:val="333333"/>
          <w:sz w:val="20"/>
          <w:szCs w:val="20"/>
        </w:rPr>
        <w:t>.</w:t>
      </w:r>
    </w:p>
    <w:p w:rsidR="00AD77BB" w:rsidRDefault="00B45BA0">
      <w:pPr>
        <w:pStyle w:val="Title9"/>
        <w:shd w:val="clear" w:color="auto" w:fill="F4F4F4"/>
        <w:spacing w:before="0" w:beforeAutospacing="0" w:after="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11.8</w:t>
      </w:r>
      <w:r>
        <w:rPr>
          <w:rStyle w:val="Emphasis"/>
          <w:rFonts w:ascii="Georgia" w:hAnsi="Georgia"/>
          <w:color w:val="BB9966"/>
          <w:sz w:val="18"/>
          <w:szCs w:val="18"/>
        </w:rPr>
        <w:t>F</w:t>
      </w:r>
      <w:r>
        <w:rPr>
          <w:rStyle w:val="Emphasis"/>
          <w:rFonts w:ascii="Georgia" w:hAnsi="Georgia"/>
          <w:color w:val="BB9966"/>
          <w:sz w:val="15"/>
          <w:szCs w:val="15"/>
          <w:vertAlign w:val="subscript"/>
        </w:rPr>
        <w:t>c</w:t>
      </w:r>
      <w:r>
        <w:rPr>
          <w:rStyle w:val="apple-converted-space"/>
          <w:rFonts w:ascii="Georgia" w:hAnsi="Georgia"/>
          <w:i/>
          <w:iCs/>
          <w:color w:val="BB9966"/>
          <w:sz w:val="18"/>
          <w:szCs w:val="18"/>
        </w:rPr>
        <w:t> </w:t>
      </w:r>
      <w:r>
        <w:rPr>
          <w:rFonts w:ascii="Georgia" w:hAnsi="Georgia"/>
          <w:i/>
          <w:iCs/>
          <w:color w:val="BB9966"/>
          <w:sz w:val="18"/>
          <w:szCs w:val="18"/>
        </w:rPr>
        <w:t>Illustrated</w:t>
      </w:r>
    </w:p>
    <w:p w:rsidR="00AD77BB" w:rsidRDefault="00B45BA0">
      <w:pPr>
        <w:shd w:val="clear" w:color="auto" w:fill="F4F4F4"/>
        <w:spacing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14:anchorId="0BC2CB12" wp14:editId="4AF519ED">
            <wp:extent cx="5476875" cy="2895600"/>
            <wp:effectExtent l="0" t="0" r="9525" b="0"/>
            <wp:docPr id="451" name="Picture 473" descr="http://images.flatworldknowledge.com/shafer/shafer-fig11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http://images.flatworldknowledge.com/shafer/shafer-fig11_008.jpg"/>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476875" cy="2895600"/>
                    </a:xfrm>
                    <a:prstGeom prst="rect">
                      <a:avLst/>
                    </a:prstGeom>
                    <a:noFill/>
                    <a:ln>
                      <a:noFill/>
                    </a:ln>
                  </pic:spPr>
                </pic:pic>
              </a:graphicData>
            </a:graphic>
          </wp:inline>
        </w:drawing>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Tables containing the values of</w:t>
      </w:r>
      <w:r>
        <w:rPr>
          <w:rStyle w:val="apple-converted-space"/>
          <w:rFonts w:ascii="Georgia" w:hAnsi="Georgia"/>
          <w:color w:val="333333"/>
          <w:sz w:val="21"/>
          <w:szCs w:val="21"/>
        </w:rPr>
        <w:t> </w:t>
      </w:r>
      <w:r>
        <w:rPr>
          <w:rStyle w:val="Emphasis"/>
          <w:rFonts w:ascii="Georgia" w:hAnsi="Georgia"/>
          <w:color w:val="333333"/>
          <w:sz w:val="20"/>
          <w:szCs w:val="20"/>
        </w:rPr>
        <w:t>F</w:t>
      </w:r>
      <w:r>
        <w:rPr>
          <w:rStyle w:val="Emphasis"/>
          <w:rFonts w:ascii="Georgia" w:hAnsi="Georgia"/>
          <w:color w:val="333333"/>
          <w:sz w:val="15"/>
          <w:szCs w:val="15"/>
          <w:vertAlign w:val="subscript"/>
        </w:rPr>
        <w:t>c</w:t>
      </w:r>
      <w:r>
        <w:rPr>
          <w:rStyle w:val="apple-converted-space"/>
          <w:rFonts w:ascii="Georgia" w:hAnsi="Georgia"/>
          <w:color w:val="333333"/>
          <w:sz w:val="21"/>
          <w:szCs w:val="21"/>
        </w:rPr>
        <w:t> </w:t>
      </w:r>
      <w:r>
        <w:rPr>
          <w:rFonts w:ascii="Georgia" w:hAnsi="Georgia"/>
          <w:color w:val="333333"/>
          <w:sz w:val="21"/>
          <w:szCs w:val="21"/>
        </w:rPr>
        <w:t>are given in</w:t>
      </w:r>
      <w:r>
        <w:rPr>
          <w:rStyle w:val="apple-converted-space"/>
          <w:rFonts w:ascii="Georgia" w:hAnsi="Georgia"/>
          <w:color w:val="333333"/>
          <w:sz w:val="21"/>
          <w:szCs w:val="21"/>
        </w:rPr>
        <w:t> </w:t>
      </w:r>
      <w:r>
        <w:rPr>
          <w:rFonts w:ascii="Georgia" w:eastAsiaTheme="majorEastAsia" w:hAnsi="Georgia"/>
          <w:color w:val="2689C6"/>
          <w:sz w:val="21"/>
          <w:szCs w:val="21"/>
        </w:rPr>
        <w:t>Chapter 11 "Chi-Square Tests and "</w:t>
      </w:r>
      <w:r>
        <w:rPr>
          <w:rFonts w:ascii="Georgia" w:hAnsi="Georgia"/>
          <w:color w:val="333333"/>
          <w:sz w:val="21"/>
          <w:szCs w:val="21"/>
        </w:rPr>
        <w:t>. Each of the tables is for a fixed collection of values of</w:t>
      </w:r>
      <w:r>
        <w:rPr>
          <w:rStyle w:val="apple-converted-space"/>
          <w:rFonts w:ascii="Georgia" w:hAnsi="Georgia"/>
          <w:color w:val="333333"/>
          <w:sz w:val="21"/>
          <w:szCs w:val="21"/>
        </w:rPr>
        <w:t> </w:t>
      </w:r>
      <w:r>
        <w:rPr>
          <w:rStyle w:val="Emphasis"/>
          <w:rFonts w:ascii="Georgia" w:hAnsi="Georgia"/>
          <w:color w:val="333333"/>
          <w:sz w:val="20"/>
          <w:szCs w:val="20"/>
        </w:rPr>
        <w:t>c</w:t>
      </w:r>
      <w:r>
        <w:rPr>
          <w:rFonts w:ascii="Georgia" w:hAnsi="Georgia"/>
          <w:color w:val="333333"/>
          <w:sz w:val="21"/>
          <w:szCs w:val="21"/>
        </w:rPr>
        <w:t>, either 0.900, 0.950, 0.975, 0.990, and 0.995 (yielding what are called “lower” critical values), or 0.005, 0.010, 0.025, 0.050, and 0.100 (yielding what are called “upper” critical values). In each table critical values are given for various pairs</w:t>
      </w:r>
      <w:r>
        <w:rPr>
          <w:rStyle w:val="apple-converted-space"/>
          <w:rFonts w:ascii="Georgia" w:hAnsi="Georgia"/>
          <w:color w:val="333333"/>
          <w:sz w:val="21"/>
          <w:szCs w:val="21"/>
        </w:rPr>
        <w:t> </w:t>
      </w:r>
      <w:r>
        <w:rPr>
          <w:rStyle w:val="inlineequation"/>
          <w:rFonts w:ascii="Georgia" w:eastAsiaTheme="majorEastAsia" w:hAnsi="Georgia"/>
          <w:color w:val="333333"/>
          <w:sz w:val="20"/>
          <w:szCs w:val="20"/>
        </w:rPr>
        <w:t>(df1,df2).</w:t>
      </w:r>
      <w:r>
        <w:rPr>
          <w:rStyle w:val="apple-converted-space"/>
          <w:rFonts w:ascii="Georgia" w:hAnsi="Georgia"/>
          <w:color w:val="333333"/>
          <w:sz w:val="21"/>
          <w:szCs w:val="21"/>
        </w:rPr>
        <w:t> </w:t>
      </w:r>
      <w:r>
        <w:rPr>
          <w:rFonts w:ascii="Georgia" w:hAnsi="Georgia"/>
          <w:color w:val="333333"/>
          <w:sz w:val="21"/>
          <w:szCs w:val="21"/>
        </w:rPr>
        <w:t>We illustrate the use of the tables with several examples.</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0"/>
          <w:szCs w:val="20"/>
        </w:rPr>
      </w:pP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EXAMPLE 3</w:t>
      </w:r>
    </w:p>
    <w:p w:rsidR="00AD77BB" w:rsidRDefault="00B45BA0">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Suppose </w:t>
      </w:r>
      <w:r>
        <w:rPr>
          <w:rFonts w:ascii="Calibri" w:eastAsia="Times New Roman" w:hAnsi="Calibri" w:cs="Times New Roman"/>
          <w:i/>
          <w:iCs/>
          <w:color w:val="333333"/>
          <w:sz w:val="20"/>
          <w:szCs w:val="20"/>
        </w:rPr>
        <w:t>F</w:t>
      </w:r>
      <w:r>
        <w:rPr>
          <w:rFonts w:ascii="Calibri" w:eastAsia="Times New Roman" w:hAnsi="Calibri" w:cs="Times New Roman"/>
          <w:color w:val="333333"/>
          <w:sz w:val="21"/>
          <w:szCs w:val="21"/>
        </w:rPr>
        <w:t> is an </w:t>
      </w:r>
      <w:r>
        <w:rPr>
          <w:rFonts w:ascii="Calibri" w:eastAsia="Times New Roman" w:hAnsi="Calibri" w:cs="Times New Roman"/>
          <w:i/>
          <w:iCs/>
          <w:color w:val="333333"/>
          <w:sz w:val="20"/>
          <w:szCs w:val="20"/>
        </w:rPr>
        <w:t>F</w:t>
      </w:r>
      <w:r>
        <w:rPr>
          <w:rFonts w:ascii="Calibri" w:eastAsia="Times New Roman" w:hAnsi="Calibri" w:cs="Times New Roman"/>
          <w:color w:val="333333"/>
          <w:sz w:val="21"/>
          <w:szCs w:val="21"/>
        </w:rPr>
        <w:t> random variable with degrees of freedom </w:t>
      </w:r>
      <w:r>
        <w:rPr>
          <w:rFonts w:ascii="Calibri" w:eastAsia="Times New Roman" w:hAnsi="Calibri" w:cs="Times New Roman"/>
          <w:color w:val="333333"/>
          <w:sz w:val="20"/>
          <w:szCs w:val="20"/>
        </w:rPr>
        <w:t>df1=5</w:t>
      </w:r>
      <w:r>
        <w:rPr>
          <w:rFonts w:ascii="Calibri" w:eastAsia="Times New Roman" w:hAnsi="Calibri" w:cs="Times New Roman"/>
          <w:color w:val="333333"/>
          <w:sz w:val="21"/>
          <w:szCs w:val="21"/>
        </w:rPr>
        <w:t> and</w:t>
      </w:r>
      <w:r>
        <w:rPr>
          <w:rFonts w:ascii="Calibri" w:eastAsia="Times New Roman" w:hAnsi="Calibri" w:cs="Times New Roman"/>
          <w:color w:val="333333"/>
          <w:sz w:val="20"/>
          <w:szCs w:val="20"/>
        </w:rPr>
        <w:t>df2=4.</w:t>
      </w:r>
      <w:r>
        <w:rPr>
          <w:rFonts w:ascii="Calibri" w:eastAsia="Times New Roman" w:hAnsi="Calibri" w:cs="Times New Roman"/>
          <w:color w:val="333333"/>
          <w:sz w:val="21"/>
          <w:szCs w:val="21"/>
        </w:rPr>
        <w:t> Use the tables to find</w:t>
      </w:r>
    </w:p>
    <w:p w:rsidR="00AD77BB" w:rsidRDefault="00B45BA0">
      <w:pPr>
        <w:numPr>
          <w:ilvl w:val="0"/>
          <w:numId w:val="317"/>
        </w:numPr>
        <w:shd w:val="clear" w:color="auto" w:fill="DAEEF3" w:themeFill="accent5" w:themeFillTint="33"/>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F</w:t>
      </w:r>
      <w:r>
        <w:rPr>
          <w:rFonts w:ascii="Calibri" w:eastAsia="Times New Roman" w:hAnsi="Calibri" w:cs="Times New Roman"/>
          <w:color w:val="333333"/>
          <w:sz w:val="15"/>
          <w:szCs w:val="15"/>
          <w:vertAlign w:val="subscript"/>
        </w:rPr>
        <w:t>0.10</w:t>
      </w:r>
    </w:p>
    <w:p w:rsidR="00AD77BB" w:rsidRDefault="00B45BA0">
      <w:pPr>
        <w:numPr>
          <w:ilvl w:val="0"/>
          <w:numId w:val="317"/>
        </w:numPr>
        <w:shd w:val="clear" w:color="auto" w:fill="DAEEF3" w:themeFill="accent5" w:themeFillTint="33"/>
        <w:spacing w:after="0" w:line="360" w:lineRule="auto"/>
        <w:ind w:left="360" w:right="375" w:hanging="360"/>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F</w:t>
      </w:r>
      <w:r>
        <w:rPr>
          <w:rFonts w:ascii="Calibri" w:eastAsia="Times New Roman" w:hAnsi="Calibri" w:cs="Times New Roman"/>
          <w:color w:val="333333"/>
          <w:sz w:val="15"/>
          <w:szCs w:val="15"/>
          <w:vertAlign w:val="subscript"/>
        </w:rPr>
        <w:t>0.95</w:t>
      </w:r>
    </w:p>
    <w:p w:rsidR="00AD77BB" w:rsidRDefault="00B45BA0">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Solution:</w:t>
      </w:r>
    </w:p>
    <w:p w:rsidR="00AD77BB" w:rsidRDefault="00AD77BB">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p>
    <w:p w:rsidR="00AD77BB" w:rsidRDefault="00B45BA0">
      <w:pPr>
        <w:numPr>
          <w:ilvl w:val="0"/>
          <w:numId w:val="318"/>
        </w:numPr>
        <w:shd w:val="clear" w:color="auto" w:fill="DAEEF3" w:themeFill="accent5" w:themeFillTint="33"/>
        <w:spacing w:after="0" w:line="360" w:lineRule="auto"/>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column headings of all the tables contain df1=5. Look for the table for which 0.10 is one of the entries on the extreme left (a table of upper critical values) and that has a row heading df2=4 in the left margin of the table. A portion of the relevant table is provided. The entry in the intersection of the column with heading df1=5 and the row with the headings 0.10 and df2=4, which is shaded in the table provided, is the answer, F0.10=4.05.</w:t>
      </w:r>
    </w:p>
    <w:tbl>
      <w:tblPr>
        <w:tblW w:w="0" w:type="auto"/>
        <w:tblInd w:w="300" w:type="dxa"/>
        <w:tblCellMar>
          <w:left w:w="0" w:type="dxa"/>
          <w:right w:w="0" w:type="dxa"/>
        </w:tblCellMar>
        <w:tblLook w:val="04A0" w:firstRow="1" w:lastRow="0" w:firstColumn="1" w:lastColumn="0" w:noHBand="0" w:noVBand="1"/>
      </w:tblPr>
      <w:tblGrid>
        <w:gridCol w:w="1050"/>
        <w:gridCol w:w="401"/>
        <w:gridCol w:w="492"/>
        <w:gridCol w:w="492"/>
        <w:gridCol w:w="493"/>
        <w:gridCol w:w="465"/>
        <w:gridCol w:w="493"/>
      </w:tblGrid>
      <w:tr w:rsidR="00AD77BB">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i/>
                <w:iCs/>
                <w:color w:val="F48800"/>
                <w:sz w:val="18"/>
                <w:szCs w:val="18"/>
              </w:rPr>
              <w:lastRenderedPageBreak/>
              <w:t>F</w:t>
            </w:r>
            <w:r>
              <w:rPr>
                <w:rFonts w:ascii="Times New Roman" w:eastAsia="Times New Roman" w:hAnsi="Times New Roman" w:cs="Times New Roman"/>
                <w:b/>
                <w:bCs/>
                <w:color w:val="F48800"/>
                <w:sz w:val="18"/>
                <w:szCs w:val="18"/>
              </w:rPr>
              <w:t> Tail Area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df1</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1</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2</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 · · · </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5</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 · · · </w:t>
            </w:r>
          </w:p>
        </w:tc>
      </w:tr>
      <w:tr w:rsidR="00AD77BB">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df2</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18"/>
                <w:szCs w:val="18"/>
              </w:rPr>
            </w:pP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0.005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22.5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15.5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0.025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9.36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6.26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0.10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4.05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r>
    </w:tbl>
    <w:p w:rsidR="00AD77BB" w:rsidRDefault="00AD77BB">
      <w:pPr>
        <w:shd w:val="clear" w:color="auto" w:fill="DAEEF3" w:themeFill="accent5" w:themeFillTint="33"/>
        <w:spacing w:after="0" w:line="360" w:lineRule="auto"/>
        <w:ind w:right="750"/>
        <w:textAlignment w:val="baseline"/>
        <w:rPr>
          <w:rFonts w:ascii="Calibri" w:eastAsia="Times New Roman" w:hAnsi="Calibri" w:cs="Times New Roman"/>
          <w:color w:val="333333"/>
          <w:sz w:val="20"/>
          <w:szCs w:val="20"/>
        </w:rPr>
      </w:pPr>
    </w:p>
    <w:p w:rsidR="00AD77BB" w:rsidRDefault="00B45BA0">
      <w:pPr>
        <w:pStyle w:val="ListParagraph"/>
        <w:numPr>
          <w:ilvl w:val="0"/>
          <w:numId w:val="318"/>
        </w:numPr>
        <w:shd w:val="clear" w:color="auto" w:fill="DAEEF3" w:themeFill="accent5" w:themeFillTint="33"/>
        <w:spacing w:after="0" w:line="360" w:lineRule="auto"/>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Look for the table for which 0.95 is one of the entries on the extreme left (a table of lower critical values) and that has a row heading df2=4 in the left margin of the table. A portion of the relevant table is provided. The entry in the intersection of the column with heading df1=5 and the row with the headings 0.95 and df2=4, which is shaded in the table provided, is the answer, F0.95=0.19.</w:t>
      </w:r>
    </w:p>
    <w:tbl>
      <w:tblPr>
        <w:tblW w:w="0" w:type="auto"/>
        <w:shd w:val="clear" w:color="auto" w:fill="E3EFF7"/>
        <w:tblCellMar>
          <w:left w:w="0" w:type="dxa"/>
          <w:right w:w="0" w:type="dxa"/>
        </w:tblCellMar>
        <w:tblLook w:val="04A0" w:firstRow="1" w:lastRow="0" w:firstColumn="1" w:lastColumn="0" w:noHBand="0" w:noVBand="1"/>
      </w:tblPr>
      <w:tblGrid>
        <w:gridCol w:w="933"/>
        <w:gridCol w:w="395"/>
        <w:gridCol w:w="440"/>
        <w:gridCol w:w="440"/>
        <w:gridCol w:w="448"/>
        <w:gridCol w:w="470"/>
        <w:gridCol w:w="448"/>
      </w:tblGrid>
      <w:tr w:rsidR="00AD77BB">
        <w:trPr>
          <w:tblHeader/>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center"/>
              <w:rPr>
                <w:rFonts w:ascii="Calibri" w:eastAsia="Times New Roman" w:hAnsi="Calibri" w:cs="Times New Roman"/>
                <w:b/>
                <w:bCs/>
                <w:color w:val="F48800"/>
                <w:sz w:val="18"/>
                <w:szCs w:val="18"/>
              </w:rPr>
            </w:pPr>
            <w:r>
              <w:rPr>
                <w:rFonts w:ascii="Calibri" w:eastAsia="Times New Roman" w:hAnsi="Calibri" w:cs="Times New Roman"/>
                <w:b/>
                <w:bCs/>
                <w:i/>
                <w:iCs/>
                <w:color w:val="F48800"/>
                <w:sz w:val="18"/>
                <w:szCs w:val="18"/>
              </w:rPr>
              <w:t>F</w:t>
            </w:r>
            <w:r>
              <w:rPr>
                <w:rFonts w:ascii="Calibri" w:eastAsia="Times New Roman" w:hAnsi="Calibri" w:cs="Times New Roman"/>
                <w:b/>
                <w:bCs/>
                <w:color w:val="F48800"/>
                <w:sz w:val="18"/>
                <w:szCs w:val="18"/>
              </w:rPr>
              <w:t> Tail Area</w:t>
            </w:r>
          </w:p>
        </w:tc>
        <w:tc>
          <w:tcPr>
            <w:tcW w:w="0" w:type="auto"/>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center"/>
              <w:rPr>
                <w:rFonts w:ascii="Calibri" w:eastAsia="Times New Roman" w:hAnsi="Calibri" w:cs="Times New Roman"/>
                <w:b/>
                <w:bCs/>
                <w:color w:val="F48800"/>
                <w:sz w:val="18"/>
                <w:szCs w:val="18"/>
              </w:rPr>
            </w:pPr>
            <w:r>
              <w:rPr>
                <w:rFonts w:ascii="Calibri" w:eastAsia="Times New Roman" w:hAnsi="Calibri" w:cs="Times New Roman"/>
                <w:b/>
                <w:bCs/>
                <w:color w:val="F48800"/>
                <w:sz w:val="18"/>
                <w:szCs w:val="18"/>
              </w:rPr>
              <w:t>df1</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center"/>
              <w:rPr>
                <w:rFonts w:ascii="Calibri" w:eastAsia="Times New Roman" w:hAnsi="Calibri" w:cs="Times New Roman"/>
                <w:b/>
                <w:bCs/>
                <w:color w:val="F48800"/>
                <w:sz w:val="18"/>
                <w:szCs w:val="18"/>
              </w:rPr>
            </w:pPr>
            <w:r>
              <w:rPr>
                <w:rFonts w:ascii="Calibri" w:eastAsia="Times New Roman" w:hAnsi="Calibri" w:cs="Times New Roman"/>
                <w:b/>
                <w:bCs/>
                <w:color w:val="F48800"/>
                <w:sz w:val="18"/>
                <w:szCs w:val="18"/>
              </w:rPr>
              <w:t>1</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center"/>
              <w:rPr>
                <w:rFonts w:ascii="Calibri" w:eastAsia="Times New Roman" w:hAnsi="Calibri" w:cs="Times New Roman"/>
                <w:b/>
                <w:bCs/>
                <w:color w:val="F48800"/>
                <w:sz w:val="18"/>
                <w:szCs w:val="18"/>
              </w:rPr>
            </w:pPr>
            <w:r>
              <w:rPr>
                <w:rFonts w:ascii="Calibri" w:eastAsia="Times New Roman" w:hAnsi="Calibri" w:cs="Times New Roman"/>
                <w:b/>
                <w:bCs/>
                <w:color w:val="F48800"/>
                <w:sz w:val="18"/>
                <w:szCs w:val="18"/>
              </w:rPr>
              <w:t>2</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center"/>
              <w:rPr>
                <w:rFonts w:ascii="Calibri" w:eastAsia="Times New Roman" w:hAnsi="Calibri" w:cs="Times New Roman"/>
                <w:b/>
                <w:bCs/>
                <w:color w:val="F48800"/>
                <w:sz w:val="18"/>
                <w:szCs w:val="18"/>
              </w:rPr>
            </w:pPr>
            <w:r>
              <w:rPr>
                <w:rFonts w:ascii="Calibri" w:eastAsia="Times New Roman" w:hAnsi="Calibri" w:cs="Times New Roman"/>
                <w:b/>
                <w:bCs/>
                <w:color w:val="F48800"/>
                <w:sz w:val="18"/>
                <w:szCs w:val="18"/>
              </w:rPr>
              <w:t> · · ·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center"/>
              <w:rPr>
                <w:rFonts w:ascii="Calibri" w:eastAsia="Times New Roman" w:hAnsi="Calibri" w:cs="Times New Roman"/>
                <w:b/>
                <w:bCs/>
                <w:color w:val="F48800"/>
                <w:sz w:val="18"/>
                <w:szCs w:val="18"/>
              </w:rPr>
            </w:pPr>
            <w:r>
              <w:rPr>
                <w:rFonts w:ascii="Calibri" w:eastAsia="Times New Roman" w:hAnsi="Calibri" w:cs="Times New Roman"/>
                <w:b/>
                <w:bCs/>
                <w:color w:val="F48800"/>
                <w:sz w:val="18"/>
                <w:szCs w:val="18"/>
              </w:rPr>
              <w:t>5</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center"/>
              <w:rPr>
                <w:rFonts w:ascii="Calibri" w:eastAsia="Times New Roman" w:hAnsi="Calibri" w:cs="Times New Roman"/>
                <w:b/>
                <w:bCs/>
                <w:color w:val="F48800"/>
                <w:sz w:val="18"/>
                <w:szCs w:val="18"/>
              </w:rPr>
            </w:pPr>
            <w:r>
              <w:rPr>
                <w:rFonts w:ascii="Calibri" w:eastAsia="Times New Roman" w:hAnsi="Calibri" w:cs="Times New Roman"/>
                <w:b/>
                <w:bCs/>
                <w:color w:val="F48800"/>
                <w:sz w:val="18"/>
                <w:szCs w:val="18"/>
              </w:rPr>
              <w:t> · · · </w:t>
            </w:r>
          </w:p>
        </w:tc>
      </w:tr>
      <w:tr w:rsidR="00AD77BB">
        <w:trPr>
          <w:tblHeader/>
        </w:trPr>
        <w:tc>
          <w:tcPr>
            <w:tcW w:w="0" w:type="auto"/>
            <w:vMerge/>
            <w:tcBorders>
              <w:top w:val="single" w:sz="6" w:space="0" w:color="000000"/>
              <w:left w:val="single" w:sz="6" w:space="0" w:color="000000"/>
              <w:bottom w:val="single" w:sz="6" w:space="0" w:color="000000"/>
              <w:right w:val="single" w:sz="6" w:space="0" w:color="000000"/>
            </w:tcBorders>
            <w:shd w:val="clear" w:color="auto" w:fill="E3EFF7"/>
            <w:vAlign w:val="center"/>
            <w:hideMark/>
          </w:tcPr>
          <w:p w:rsidR="00AD77BB" w:rsidRDefault="00AD77BB">
            <w:pPr>
              <w:spacing w:after="0" w:line="240" w:lineRule="auto"/>
              <w:rPr>
                <w:rFonts w:ascii="Calibri" w:eastAsia="Times New Roman" w:hAnsi="Calibri" w:cs="Times New Roman"/>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center"/>
              <w:rPr>
                <w:rFonts w:ascii="Calibri" w:eastAsia="Times New Roman" w:hAnsi="Calibri" w:cs="Times New Roman"/>
                <w:b/>
                <w:bCs/>
                <w:color w:val="F48800"/>
                <w:sz w:val="18"/>
                <w:szCs w:val="18"/>
              </w:rPr>
            </w:pPr>
            <w:r>
              <w:rPr>
                <w:rFonts w:ascii="Calibri" w:eastAsia="Times New Roman" w:hAnsi="Calibri" w:cs="Times New Roman"/>
                <w:b/>
                <w:bCs/>
                <w:color w:val="F48800"/>
                <w:sz w:val="18"/>
                <w:szCs w:val="18"/>
              </w:rPr>
              <w:t>df2</w:t>
            </w:r>
          </w:p>
        </w:tc>
        <w:tc>
          <w:tcPr>
            <w:tcW w:w="0" w:type="auto"/>
            <w:vMerge/>
            <w:tcBorders>
              <w:top w:val="single" w:sz="6" w:space="0" w:color="000000"/>
              <w:left w:val="single" w:sz="6" w:space="0" w:color="000000"/>
              <w:bottom w:val="single" w:sz="6" w:space="0" w:color="000000"/>
              <w:right w:val="single" w:sz="6" w:space="0" w:color="000000"/>
            </w:tcBorders>
            <w:shd w:val="clear" w:color="auto" w:fill="E3EFF7"/>
            <w:vAlign w:val="center"/>
            <w:hideMark/>
          </w:tcPr>
          <w:p w:rsidR="00AD77BB" w:rsidRDefault="00AD77BB">
            <w:pPr>
              <w:spacing w:after="0" w:line="240" w:lineRule="auto"/>
              <w:rPr>
                <w:rFonts w:ascii="Calibri" w:eastAsia="Times New Roman" w:hAnsi="Calibri"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E3EFF7"/>
            <w:vAlign w:val="center"/>
            <w:hideMark/>
          </w:tcPr>
          <w:p w:rsidR="00AD77BB" w:rsidRDefault="00AD77BB">
            <w:pPr>
              <w:spacing w:after="0" w:line="240" w:lineRule="auto"/>
              <w:rPr>
                <w:rFonts w:ascii="Calibri" w:eastAsia="Times New Roman" w:hAnsi="Calibri"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E3EFF7"/>
            <w:vAlign w:val="center"/>
            <w:hideMark/>
          </w:tcPr>
          <w:p w:rsidR="00AD77BB" w:rsidRDefault="00AD77BB">
            <w:pPr>
              <w:spacing w:after="0" w:line="240" w:lineRule="auto"/>
              <w:rPr>
                <w:rFonts w:ascii="Calibri" w:eastAsia="Times New Roman" w:hAnsi="Calibri"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E3EFF7"/>
            <w:vAlign w:val="center"/>
            <w:hideMark/>
          </w:tcPr>
          <w:p w:rsidR="00AD77BB" w:rsidRDefault="00AD77BB">
            <w:pPr>
              <w:spacing w:after="0" w:line="240" w:lineRule="auto"/>
              <w:rPr>
                <w:rFonts w:ascii="Calibri" w:eastAsia="Times New Roman" w:hAnsi="Calibri"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E3EFF7"/>
            <w:vAlign w:val="center"/>
            <w:hideMark/>
          </w:tcPr>
          <w:p w:rsidR="00AD77BB" w:rsidRDefault="00AD77BB">
            <w:pPr>
              <w:spacing w:after="0" w:line="240" w:lineRule="auto"/>
              <w:rPr>
                <w:rFonts w:ascii="Calibri" w:eastAsia="Times New Roman" w:hAnsi="Calibri" w:cs="Times New Roman"/>
                <w:b/>
                <w:bCs/>
                <w:color w:val="F48800"/>
                <w:sz w:val="18"/>
                <w:szCs w:val="18"/>
              </w:rPr>
            </w:pP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rPr>
                <w:rFonts w:ascii="Calibri" w:eastAsia="Times New Roman" w:hAnsi="Calibri" w:cs="Times New Roman"/>
                <w:color w:val="333333"/>
                <w:sz w:val="18"/>
                <w:szCs w:val="18"/>
              </w:rPr>
            </w:pPr>
            <w:r>
              <w:rPr>
                <w:rFonts w:ascii="Cambria Math" w:eastAsia="Times New Roman" w:hAnsi="Cambria Math" w:cs="Cambria Math"/>
                <w:color w:val="333333"/>
                <w:sz w:val="18"/>
                <w:szCs w:val="18"/>
              </w:rPr>
              <w: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center"/>
              <w:rPr>
                <w:rFonts w:ascii="Calibri" w:eastAsia="Times New Roman" w:hAnsi="Calibri" w:cs="Times New Roman"/>
                <w:color w:val="333333"/>
                <w:sz w:val="18"/>
                <w:szCs w:val="18"/>
              </w:rPr>
            </w:pPr>
            <w:r>
              <w:rPr>
                <w:rFonts w:ascii="Cambria Math" w:eastAsia="Times New Roman" w:hAnsi="Cambria Math" w:cs="Cambria Math"/>
                <w:color w:val="333333"/>
                <w:sz w:val="18"/>
                <w:szCs w:val="18"/>
              </w:rPr>
              <w: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mbria Math" w:eastAsia="Times New Roman" w:hAnsi="Cambria Math" w:cs="Cambria Math"/>
                <w:color w:val="333333"/>
                <w:sz w:val="18"/>
                <w:szCs w:val="18"/>
              </w:rPr>
              <w: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mbria Math" w:eastAsia="Times New Roman" w:hAnsi="Cambria Math" w:cs="Cambria Math"/>
                <w:color w:val="333333"/>
                <w:sz w:val="18"/>
                <w:szCs w:val="18"/>
              </w:rPr>
              <w: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mbria Math" w:eastAsia="Times New Roman" w:hAnsi="Cambria Math" w:cs="Cambria Math"/>
                <w:color w:val="333333"/>
                <w:sz w:val="18"/>
                <w:szCs w:val="18"/>
              </w:rPr>
              <w: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mbria Math" w:eastAsia="Times New Roman" w:hAnsi="Cambria Math" w:cs="Cambria Math"/>
                <w:color w:val="333333"/>
                <w:sz w:val="18"/>
                <w:szCs w:val="18"/>
              </w:rPr>
              <w: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mbria Math" w:eastAsia="Times New Roman" w:hAnsi="Cambria Math" w:cs="Cambria Math"/>
                <w:color w:val="333333"/>
                <w:sz w:val="18"/>
                <w:szCs w:val="18"/>
              </w:rPr>
              <w:t>⋮</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rPr>
                <w:rFonts w:ascii="Calibri" w:eastAsia="Times New Roman" w:hAnsi="Calibri" w:cs="Times New Roman"/>
                <w:color w:val="333333"/>
                <w:sz w:val="18"/>
                <w:szCs w:val="18"/>
              </w:rPr>
            </w:pPr>
            <w:r>
              <w:rPr>
                <w:rFonts w:ascii="Calibri" w:eastAsia="Times New Roman" w:hAnsi="Calibri" w:cs="Times New Roman"/>
                <w:color w:val="333333"/>
                <w:sz w:val="18"/>
                <w:szCs w:val="18"/>
              </w:rPr>
              <w:t>0.90</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center"/>
              <w:rPr>
                <w:rFonts w:ascii="Calibri" w:eastAsia="Times New Roman" w:hAnsi="Calibri" w:cs="Times New Roman"/>
                <w:color w:val="333333"/>
                <w:sz w:val="18"/>
                <w:szCs w:val="18"/>
              </w:rPr>
            </w:pPr>
            <w:r>
              <w:rPr>
                <w:rFonts w:ascii="Calibri" w:eastAsia="Times New Roman" w:hAnsi="Calibri" w:cs="Times New Roman"/>
                <w:color w:val="333333"/>
                <w:sz w:val="18"/>
                <w:szCs w:val="18"/>
              </w:rPr>
              <w:t>4</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0.28</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rPr>
                <w:rFonts w:ascii="Calibri" w:eastAsia="Times New Roman" w:hAnsi="Calibri" w:cs="Times New Roman"/>
                <w:color w:val="333333"/>
                <w:sz w:val="18"/>
                <w:szCs w:val="18"/>
              </w:rPr>
            </w:pPr>
            <w:r>
              <w:rPr>
                <w:rFonts w:ascii="Calibri" w:eastAsia="Times New Roman" w:hAnsi="Calibri" w:cs="Times New Roman"/>
                <w:color w:val="333333"/>
                <w:sz w:val="18"/>
                <w:szCs w:val="18"/>
              </w:rPr>
              <w:t>0.95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center"/>
              <w:rPr>
                <w:rFonts w:ascii="Calibri" w:eastAsia="Times New Roman" w:hAnsi="Calibri" w:cs="Times New Roman"/>
                <w:color w:val="333333"/>
                <w:sz w:val="18"/>
                <w:szCs w:val="18"/>
              </w:rPr>
            </w:pPr>
            <w:r>
              <w:rPr>
                <w:rFonts w:ascii="Calibri" w:eastAsia="Times New Roman" w:hAnsi="Calibri" w:cs="Times New Roman"/>
                <w:color w:val="333333"/>
                <w:sz w:val="18"/>
                <w:szCs w:val="18"/>
              </w:rPr>
              <w:t>4</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0.19</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rPr>
                <w:rFonts w:ascii="Calibri" w:eastAsia="Times New Roman" w:hAnsi="Calibri" w:cs="Times New Roman"/>
                <w:color w:val="333333"/>
                <w:sz w:val="18"/>
                <w:szCs w:val="18"/>
              </w:rPr>
            </w:pPr>
            <w:r>
              <w:rPr>
                <w:rFonts w:ascii="Calibri" w:eastAsia="Times New Roman" w:hAnsi="Calibri" w:cs="Times New Roman"/>
                <w:color w:val="333333"/>
                <w:sz w:val="18"/>
                <w:szCs w:val="18"/>
              </w:rPr>
              <w:t>0.975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center"/>
              <w:rPr>
                <w:rFonts w:ascii="Calibri" w:eastAsia="Times New Roman" w:hAnsi="Calibri" w:cs="Times New Roman"/>
                <w:color w:val="333333"/>
                <w:sz w:val="18"/>
                <w:szCs w:val="18"/>
              </w:rPr>
            </w:pPr>
            <w:r>
              <w:rPr>
                <w:rFonts w:ascii="Calibri" w:eastAsia="Times New Roman" w:hAnsi="Calibri" w:cs="Times New Roman"/>
                <w:color w:val="333333"/>
                <w:sz w:val="18"/>
                <w:szCs w:val="18"/>
              </w:rPr>
              <w:t>4</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0.14</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rPr>
                <w:rFonts w:ascii="Calibri" w:eastAsia="Times New Roman" w:hAnsi="Calibri" w:cs="Times New Roman"/>
                <w:color w:val="333333"/>
                <w:sz w:val="18"/>
                <w:szCs w:val="18"/>
              </w:rPr>
            </w:pPr>
            <w:r>
              <w:rPr>
                <w:rFonts w:ascii="Calibri" w:eastAsia="Times New Roman" w:hAnsi="Calibri" w:cs="Times New Roman"/>
                <w:color w:val="333333"/>
                <w:sz w:val="18"/>
                <w:szCs w:val="18"/>
              </w:rPr>
              <w:t>0.99</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center"/>
              <w:rPr>
                <w:rFonts w:ascii="Calibri" w:eastAsia="Times New Roman" w:hAnsi="Calibri" w:cs="Times New Roman"/>
                <w:color w:val="333333"/>
                <w:sz w:val="18"/>
                <w:szCs w:val="18"/>
              </w:rPr>
            </w:pPr>
            <w:r>
              <w:rPr>
                <w:rFonts w:ascii="Calibri" w:eastAsia="Times New Roman" w:hAnsi="Calibri" w:cs="Times New Roman"/>
                <w:color w:val="333333"/>
                <w:sz w:val="18"/>
                <w:szCs w:val="18"/>
              </w:rPr>
              <w:t>4</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0.09</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rPr>
                <w:rFonts w:ascii="Calibri" w:eastAsia="Times New Roman" w:hAnsi="Calibri" w:cs="Times New Roman"/>
                <w:color w:val="333333"/>
                <w:sz w:val="18"/>
                <w:szCs w:val="18"/>
              </w:rPr>
            </w:pPr>
            <w:r>
              <w:rPr>
                <w:rFonts w:ascii="Calibri" w:eastAsia="Times New Roman" w:hAnsi="Calibri" w:cs="Times New Roman"/>
                <w:color w:val="333333"/>
                <w:sz w:val="18"/>
                <w:szCs w:val="18"/>
              </w:rPr>
              <w:t>0.995</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center"/>
              <w:rPr>
                <w:rFonts w:ascii="Calibri" w:eastAsia="Times New Roman" w:hAnsi="Calibri" w:cs="Times New Roman"/>
                <w:color w:val="333333"/>
                <w:sz w:val="18"/>
                <w:szCs w:val="18"/>
              </w:rPr>
            </w:pPr>
            <w:r>
              <w:rPr>
                <w:rFonts w:ascii="Calibri" w:eastAsia="Times New Roman" w:hAnsi="Calibri" w:cs="Times New Roman"/>
                <w:color w:val="333333"/>
                <w:sz w:val="18"/>
                <w:szCs w:val="18"/>
              </w:rPr>
              <w:t>4</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 · · · </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0.06</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libri" w:eastAsia="Times New Roman" w:hAnsi="Calibri" w:cs="Times New Roman"/>
                <w:color w:val="333333"/>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rPr>
                <w:rFonts w:ascii="Calibri" w:eastAsia="Times New Roman" w:hAnsi="Calibri" w:cs="Times New Roman"/>
                <w:color w:val="333333"/>
                <w:sz w:val="18"/>
                <w:szCs w:val="18"/>
              </w:rPr>
            </w:pPr>
            <w:r>
              <w:rPr>
                <w:rFonts w:ascii="Cambria Math" w:eastAsia="Times New Roman" w:hAnsi="Cambria Math" w:cs="Cambria Math"/>
                <w:color w:val="333333"/>
                <w:sz w:val="18"/>
                <w:szCs w:val="18"/>
              </w:rPr>
              <w: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center"/>
              <w:rPr>
                <w:rFonts w:ascii="Calibri" w:eastAsia="Times New Roman" w:hAnsi="Calibri" w:cs="Times New Roman"/>
                <w:color w:val="333333"/>
                <w:sz w:val="18"/>
                <w:szCs w:val="18"/>
              </w:rPr>
            </w:pPr>
            <w:r>
              <w:rPr>
                <w:rFonts w:ascii="Cambria Math" w:eastAsia="Times New Roman" w:hAnsi="Cambria Math" w:cs="Cambria Math"/>
                <w:color w:val="333333"/>
                <w:sz w:val="18"/>
                <w:szCs w:val="18"/>
              </w:rPr>
              <w: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mbria Math" w:eastAsia="Times New Roman" w:hAnsi="Cambria Math" w:cs="Cambria Math"/>
                <w:color w:val="333333"/>
                <w:sz w:val="18"/>
                <w:szCs w:val="18"/>
              </w:rPr>
              <w: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mbria Math" w:eastAsia="Times New Roman" w:hAnsi="Cambria Math" w:cs="Cambria Math"/>
                <w:color w:val="333333"/>
                <w:sz w:val="18"/>
                <w:szCs w:val="18"/>
              </w:rPr>
              <w: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mbria Math" w:eastAsia="Times New Roman" w:hAnsi="Cambria Math" w:cs="Cambria Math"/>
                <w:color w:val="333333"/>
                <w:sz w:val="18"/>
                <w:szCs w:val="18"/>
              </w:rPr>
              <w: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mbria Math" w:eastAsia="Times New Roman" w:hAnsi="Cambria Math" w:cs="Cambria Math"/>
                <w:color w:val="333333"/>
                <w:sz w:val="18"/>
                <w:szCs w:val="18"/>
              </w:rPr>
              <w:t>⋮</w:t>
            </w:r>
          </w:p>
        </w:tc>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AD77BB" w:rsidRDefault="00B45BA0">
            <w:pPr>
              <w:shd w:val="clear" w:color="auto" w:fill="DAEEF3" w:themeFill="accent5" w:themeFillTint="33"/>
              <w:spacing w:after="0" w:line="366" w:lineRule="atLeast"/>
              <w:jc w:val="right"/>
              <w:rPr>
                <w:rFonts w:ascii="Calibri" w:eastAsia="Times New Roman" w:hAnsi="Calibri" w:cs="Times New Roman"/>
                <w:color w:val="333333"/>
                <w:sz w:val="18"/>
                <w:szCs w:val="18"/>
              </w:rPr>
            </w:pPr>
            <w:r>
              <w:rPr>
                <w:rFonts w:ascii="Cambria Math" w:eastAsia="Times New Roman" w:hAnsi="Cambria Math" w:cs="Cambria Math"/>
                <w:color w:val="333333"/>
                <w:sz w:val="18"/>
                <w:szCs w:val="18"/>
              </w:rPr>
              <w:t>⋮</w:t>
            </w:r>
          </w:p>
        </w:tc>
      </w:tr>
    </w:tbl>
    <w:p w:rsidR="00AD77BB" w:rsidRDefault="00AD77BB">
      <w:pPr>
        <w:tabs>
          <w:tab w:val="left" w:pos="5547"/>
        </w:tabs>
        <w:spacing w:line="360" w:lineRule="auto"/>
        <w:rPr>
          <w:rFonts w:ascii="Calibri" w:eastAsia="Times New Roman" w:hAnsi="Calibri" w:cs="Times New Roman"/>
          <w:sz w:val="20"/>
          <w:szCs w:val="20"/>
        </w:rPr>
      </w:pP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6"/>
          <w:szCs w:val="26"/>
        </w:rPr>
      </w:pPr>
      <w:r>
        <w:rPr>
          <w:rFonts w:ascii="Calibri" w:eastAsia="Times New Roman" w:hAnsi="Calibri" w:cs="Times New Roman"/>
          <w:b/>
          <w:bCs/>
          <w:caps/>
          <w:color w:val="FFFFFF"/>
          <w:spacing w:val="30"/>
          <w:sz w:val="26"/>
          <w:szCs w:val="26"/>
        </w:rPr>
        <w:t>EXAMPLE 4</w:t>
      </w:r>
    </w:p>
    <w:p w:rsidR="00AD77BB" w:rsidRDefault="00B45BA0">
      <w:pPr>
        <w:shd w:val="clear" w:color="auto" w:fill="DAEEF3" w:themeFill="accent5" w:themeFillTint="33"/>
        <w:spacing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Suppose </w:t>
      </w:r>
      <w:r>
        <w:rPr>
          <w:rFonts w:ascii="Calibri" w:eastAsia="Times New Roman" w:hAnsi="Calibri" w:cs="Times New Roman"/>
          <w:color w:val="333333"/>
          <w:sz w:val="20"/>
          <w:szCs w:val="20"/>
        </w:rPr>
        <w:t>F</w:t>
      </w:r>
      <w:r>
        <w:rPr>
          <w:rFonts w:ascii="Calibri" w:eastAsia="Times New Roman" w:hAnsi="Calibri" w:cs="Times New Roman"/>
          <w:color w:val="333333"/>
          <w:sz w:val="21"/>
          <w:szCs w:val="21"/>
        </w:rPr>
        <w:t> is an </w:t>
      </w:r>
      <w:r>
        <w:rPr>
          <w:rFonts w:ascii="Calibri" w:eastAsia="Times New Roman" w:hAnsi="Calibri" w:cs="Times New Roman"/>
          <w:i/>
          <w:iCs/>
          <w:color w:val="333333"/>
          <w:sz w:val="20"/>
          <w:szCs w:val="20"/>
        </w:rPr>
        <w:t>F</w:t>
      </w:r>
      <w:r>
        <w:rPr>
          <w:rFonts w:ascii="Calibri" w:eastAsia="Times New Roman" w:hAnsi="Calibri" w:cs="Times New Roman"/>
          <w:color w:val="333333"/>
          <w:sz w:val="21"/>
          <w:szCs w:val="21"/>
        </w:rPr>
        <w:t> random variable with degrees of freedom </w:t>
      </w:r>
      <w:r>
        <w:rPr>
          <w:rFonts w:ascii="Calibri" w:eastAsia="Times New Roman" w:hAnsi="Calibri" w:cs="Times New Roman"/>
          <w:color w:val="333333"/>
          <w:sz w:val="20"/>
          <w:szCs w:val="20"/>
        </w:rPr>
        <w:t>df1=2</w:t>
      </w:r>
      <w:r>
        <w:rPr>
          <w:rFonts w:ascii="Calibri" w:eastAsia="Times New Roman" w:hAnsi="Calibri" w:cs="Times New Roman"/>
          <w:color w:val="333333"/>
          <w:sz w:val="21"/>
          <w:szCs w:val="21"/>
        </w:rPr>
        <w:t> and</w:t>
      </w:r>
      <w:r>
        <w:rPr>
          <w:rFonts w:ascii="Calibri" w:eastAsia="Times New Roman" w:hAnsi="Calibri" w:cs="Times New Roman"/>
          <w:color w:val="333333"/>
          <w:sz w:val="20"/>
          <w:szCs w:val="20"/>
        </w:rPr>
        <w:t>df2=20.</w:t>
      </w:r>
      <w:r>
        <w:rPr>
          <w:rFonts w:ascii="Calibri" w:eastAsia="Times New Roman" w:hAnsi="Calibri" w:cs="Times New Roman"/>
          <w:color w:val="333333"/>
          <w:sz w:val="21"/>
          <w:szCs w:val="21"/>
        </w:rPr>
        <w:t> Let </w:t>
      </w:r>
      <w:r>
        <w:rPr>
          <w:rFonts w:ascii="Calibri" w:eastAsia="Times New Roman" w:hAnsi="Calibri" w:cs="Times New Roman"/>
          <w:color w:val="333333"/>
          <w:sz w:val="20"/>
          <w:szCs w:val="20"/>
        </w:rPr>
        <w:t>α=0.05.</w:t>
      </w:r>
      <w:r>
        <w:rPr>
          <w:rFonts w:ascii="Calibri" w:eastAsia="Times New Roman" w:hAnsi="Calibri" w:cs="Times New Roman"/>
          <w:color w:val="333333"/>
          <w:sz w:val="21"/>
          <w:szCs w:val="21"/>
        </w:rPr>
        <w:t> Use the tables to find</w:t>
      </w:r>
    </w:p>
    <w:p w:rsidR="00AD77BB" w:rsidRDefault="00B45BA0">
      <w:pPr>
        <w:numPr>
          <w:ilvl w:val="0"/>
          <w:numId w:val="319"/>
        </w:numPr>
        <w:shd w:val="clear" w:color="auto" w:fill="DAEEF3" w:themeFill="accent5" w:themeFillTint="33"/>
        <w:spacing w:after="0" w:line="360" w:lineRule="auto"/>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Fα</w:t>
      </w:r>
    </w:p>
    <w:p w:rsidR="00AD77BB" w:rsidRDefault="00B45BA0">
      <w:pPr>
        <w:numPr>
          <w:ilvl w:val="0"/>
          <w:numId w:val="319"/>
        </w:numPr>
        <w:shd w:val="clear" w:color="auto" w:fill="DAEEF3" w:themeFill="accent5" w:themeFillTint="33"/>
        <w:spacing w:after="0" w:line="360" w:lineRule="auto"/>
        <w:ind w:left="360" w:right="375"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Fα∕2</w:t>
      </w:r>
    </w:p>
    <w:p w:rsidR="00AD77BB" w:rsidRDefault="00B45BA0">
      <w:pPr>
        <w:numPr>
          <w:ilvl w:val="0"/>
          <w:numId w:val="319"/>
        </w:numPr>
        <w:shd w:val="clear" w:color="auto" w:fill="DAEEF3" w:themeFill="accent5" w:themeFillTint="33"/>
        <w:spacing w:after="0" w:line="360" w:lineRule="auto"/>
        <w:ind w:left="360" w:right="375"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F1−α</w:t>
      </w:r>
    </w:p>
    <w:p w:rsidR="00AD77BB" w:rsidRDefault="00B45BA0">
      <w:pPr>
        <w:numPr>
          <w:ilvl w:val="0"/>
          <w:numId w:val="319"/>
        </w:numPr>
        <w:shd w:val="clear" w:color="auto" w:fill="DAEEF3" w:themeFill="accent5" w:themeFillTint="33"/>
        <w:spacing w:after="0" w:line="360" w:lineRule="auto"/>
        <w:ind w:left="360" w:right="375" w:hanging="36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F1−α∕2</w:t>
      </w:r>
    </w:p>
    <w:p w:rsidR="00AD77BB" w:rsidRDefault="00B45BA0">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r>
        <w:rPr>
          <w:rFonts w:ascii="Calibri" w:eastAsia="Times New Roman" w:hAnsi="Calibri" w:cs="Times New Roman"/>
          <w:color w:val="333333"/>
          <w:sz w:val="21"/>
          <w:szCs w:val="21"/>
        </w:rPr>
        <w:t>Solution:</w:t>
      </w:r>
    </w:p>
    <w:p w:rsidR="00AD77BB" w:rsidRDefault="00AD77BB">
      <w:pPr>
        <w:shd w:val="clear" w:color="auto" w:fill="DAEEF3" w:themeFill="accent5" w:themeFillTint="33"/>
        <w:spacing w:before="150" w:after="0" w:line="360" w:lineRule="auto"/>
        <w:ind w:left="300" w:right="375"/>
        <w:textAlignment w:val="baseline"/>
        <w:rPr>
          <w:rFonts w:ascii="Calibri" w:eastAsia="Times New Roman" w:hAnsi="Calibri" w:cs="Times New Roman"/>
          <w:color w:val="333333"/>
          <w:sz w:val="21"/>
          <w:szCs w:val="21"/>
        </w:rPr>
      </w:pPr>
    </w:p>
    <w:p w:rsidR="00AD77BB" w:rsidRDefault="00B45BA0">
      <w:pPr>
        <w:numPr>
          <w:ilvl w:val="0"/>
          <w:numId w:val="320"/>
        </w:numPr>
        <w:shd w:val="clear" w:color="auto" w:fill="DAEEF3" w:themeFill="accent5" w:themeFillTint="33"/>
        <w:spacing w:after="0" w:line="360" w:lineRule="auto"/>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column headings of all the tables contain df1=2. Look for the table for which α=0.05 is one of the entries on the extreme left (a table of upper critical values) and that has a row heading df2=20 in the left margin of the table. A portion of the relevant table is provided. The shaded entry, in the intersection of the column with heading df1=2 and the row with the headings 0.05 and df2=20 is the answer, F0.05=3.49.</w:t>
      </w:r>
    </w:p>
    <w:tbl>
      <w:tblPr>
        <w:tblW w:w="0" w:type="auto"/>
        <w:tblInd w:w="300" w:type="dxa"/>
        <w:tblCellMar>
          <w:left w:w="0" w:type="dxa"/>
          <w:right w:w="0" w:type="dxa"/>
        </w:tblCellMar>
        <w:tblLook w:val="04A0" w:firstRow="1" w:lastRow="0" w:firstColumn="1" w:lastColumn="0" w:noHBand="0" w:noVBand="1"/>
      </w:tblPr>
      <w:tblGrid>
        <w:gridCol w:w="1050"/>
        <w:gridCol w:w="401"/>
        <w:gridCol w:w="492"/>
        <w:gridCol w:w="465"/>
        <w:gridCol w:w="493"/>
      </w:tblGrid>
      <w:tr w:rsidR="00AD77BB">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i/>
                <w:iCs/>
                <w:color w:val="F48800"/>
                <w:sz w:val="18"/>
                <w:szCs w:val="18"/>
              </w:rPr>
              <w:t>F</w:t>
            </w:r>
            <w:r>
              <w:rPr>
                <w:rFonts w:ascii="Times New Roman" w:eastAsia="Times New Roman" w:hAnsi="Times New Roman" w:cs="Times New Roman"/>
                <w:b/>
                <w:bCs/>
                <w:color w:val="F48800"/>
                <w:sz w:val="18"/>
                <w:szCs w:val="18"/>
              </w:rPr>
              <w:t> Tail Area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df1</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1</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2</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 · · · </w:t>
            </w:r>
          </w:p>
        </w:tc>
      </w:tr>
      <w:tr w:rsidR="00AD77BB">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df2</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18"/>
                <w:szCs w:val="18"/>
              </w:rPr>
            </w:pP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0.005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6.99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5.85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0.025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4.46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3.49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0.10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2.59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r>
    </w:tbl>
    <w:p w:rsidR="00AD77BB" w:rsidRDefault="00B45BA0">
      <w:pPr>
        <w:numPr>
          <w:ilvl w:val="0"/>
          <w:numId w:val="320"/>
        </w:numPr>
        <w:shd w:val="clear" w:color="auto" w:fill="DAEEF3" w:themeFill="accent5" w:themeFillTint="33"/>
        <w:spacing w:after="0" w:line="360" w:lineRule="auto"/>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Look for the table for which α∕2=0.025 is one of the entries on the extreme left (a table of upper critical values) and that has a row heading df2=20 in the left margin of the table. A portion of the relevant table is provided. The shaded entry, in the intersection of the column with heading df1=2 and the row with the headings 0.025 and df2=20 is the answer, F0.025=4.46.</w:t>
      </w:r>
    </w:p>
    <w:p w:rsidR="00AD77BB" w:rsidRDefault="00AD77BB">
      <w:pPr>
        <w:shd w:val="clear" w:color="auto" w:fill="DAEEF3" w:themeFill="accent5" w:themeFillTint="33"/>
        <w:spacing w:after="0" w:line="360" w:lineRule="auto"/>
        <w:ind w:right="750"/>
        <w:textAlignment w:val="baseline"/>
        <w:rPr>
          <w:rFonts w:ascii="Calibri" w:eastAsia="Times New Roman" w:hAnsi="Calibri" w:cs="Times New Roman"/>
          <w:color w:val="333333"/>
          <w:sz w:val="20"/>
          <w:szCs w:val="20"/>
        </w:rPr>
      </w:pPr>
    </w:p>
    <w:tbl>
      <w:tblPr>
        <w:tblW w:w="0" w:type="auto"/>
        <w:tblInd w:w="300" w:type="dxa"/>
        <w:tblCellMar>
          <w:left w:w="0" w:type="dxa"/>
          <w:right w:w="0" w:type="dxa"/>
        </w:tblCellMar>
        <w:tblLook w:val="04A0" w:firstRow="1" w:lastRow="0" w:firstColumn="1" w:lastColumn="0" w:noHBand="0" w:noVBand="1"/>
      </w:tblPr>
      <w:tblGrid>
        <w:gridCol w:w="1050"/>
        <w:gridCol w:w="401"/>
        <w:gridCol w:w="492"/>
        <w:gridCol w:w="465"/>
        <w:gridCol w:w="493"/>
      </w:tblGrid>
      <w:tr w:rsidR="00AD77BB">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i/>
                <w:iCs/>
                <w:color w:val="F48800"/>
                <w:sz w:val="18"/>
                <w:szCs w:val="18"/>
              </w:rPr>
              <w:t>F</w:t>
            </w:r>
            <w:r>
              <w:rPr>
                <w:rFonts w:ascii="Times New Roman" w:eastAsia="Times New Roman" w:hAnsi="Times New Roman" w:cs="Times New Roman"/>
                <w:b/>
                <w:bCs/>
                <w:color w:val="F48800"/>
                <w:sz w:val="18"/>
                <w:szCs w:val="18"/>
              </w:rPr>
              <w:t> Tail Area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df1</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1</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2</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 · · · </w:t>
            </w:r>
          </w:p>
        </w:tc>
      </w:tr>
      <w:tr w:rsidR="00AD77BB">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df2</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18"/>
                <w:szCs w:val="18"/>
              </w:rPr>
            </w:pP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0.005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6.99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5.85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lastRenderedPageBreak/>
              <w:t>0.025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4.46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3.49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0.10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2.59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r>
    </w:tbl>
    <w:p w:rsidR="00AD77BB" w:rsidRDefault="00B45BA0">
      <w:pPr>
        <w:pStyle w:val="ListParagraph"/>
        <w:numPr>
          <w:ilvl w:val="1"/>
          <w:numId w:val="319"/>
        </w:numPr>
        <w:shd w:val="clear" w:color="auto" w:fill="DAEEF3" w:themeFill="accent5" w:themeFillTint="33"/>
        <w:spacing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Look for the table for which 1−α=0.95 is one of the entries on the extreme left (a table of lower critical values) and that has a row heading df2=20 in the left margin of the table. A portion of the relevant table is provided. The shaded entry, in the intersection of the column with heading df1=2 and the row with the headings 0.95 and df2=20 is the answer, F0.95=0.05.</w:t>
      </w:r>
    </w:p>
    <w:tbl>
      <w:tblPr>
        <w:tblW w:w="0" w:type="auto"/>
        <w:tblInd w:w="300" w:type="dxa"/>
        <w:tblCellMar>
          <w:left w:w="0" w:type="dxa"/>
          <w:right w:w="0" w:type="dxa"/>
        </w:tblCellMar>
        <w:tblLook w:val="04A0" w:firstRow="1" w:lastRow="0" w:firstColumn="1" w:lastColumn="0" w:noHBand="0" w:noVBand="1"/>
      </w:tblPr>
      <w:tblGrid>
        <w:gridCol w:w="1050"/>
        <w:gridCol w:w="401"/>
        <w:gridCol w:w="492"/>
        <w:gridCol w:w="465"/>
        <w:gridCol w:w="493"/>
      </w:tblGrid>
      <w:tr w:rsidR="00AD77BB">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i/>
                <w:iCs/>
                <w:color w:val="F48800"/>
                <w:sz w:val="18"/>
                <w:szCs w:val="18"/>
              </w:rPr>
              <w:t>F</w:t>
            </w:r>
            <w:r>
              <w:rPr>
                <w:rFonts w:ascii="Times New Roman" w:eastAsia="Times New Roman" w:hAnsi="Times New Roman" w:cs="Times New Roman"/>
                <w:b/>
                <w:bCs/>
                <w:color w:val="F48800"/>
                <w:sz w:val="18"/>
                <w:szCs w:val="18"/>
              </w:rPr>
              <w:t> Tail Area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df1</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1</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2</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 · · · </w:t>
            </w:r>
          </w:p>
        </w:tc>
      </w:tr>
      <w:tr w:rsidR="00AD77BB">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df2</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18"/>
                <w:szCs w:val="18"/>
              </w:rPr>
            </w:pP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0.90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0.11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0.95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0.975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0.99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0.995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r>
    </w:tbl>
    <w:p w:rsidR="00AD77BB" w:rsidRDefault="00B45BA0">
      <w:pPr>
        <w:pStyle w:val="ListParagraph"/>
        <w:numPr>
          <w:ilvl w:val="0"/>
          <w:numId w:val="321"/>
        </w:numPr>
        <w:shd w:val="clear" w:color="auto" w:fill="DAEEF3" w:themeFill="accent5" w:themeFillTint="33"/>
        <w:spacing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Look for the table for which 1−α∕2=0.975 is one of the entries on the extreme left (a table of lower critical values) and that has a row heading df2=20 in the left margin of the table. A portion of the relevant table is provided. The shaded entry, in the intersection of the column with heading df1=2 and the row with the headings 0.975 and df2=20 is the answer,F0.975=0.03.</w:t>
      </w:r>
    </w:p>
    <w:tbl>
      <w:tblPr>
        <w:tblW w:w="0" w:type="auto"/>
        <w:tblInd w:w="300" w:type="dxa"/>
        <w:tblCellMar>
          <w:left w:w="0" w:type="dxa"/>
          <w:right w:w="0" w:type="dxa"/>
        </w:tblCellMar>
        <w:tblLook w:val="04A0" w:firstRow="1" w:lastRow="0" w:firstColumn="1" w:lastColumn="0" w:noHBand="0" w:noVBand="1"/>
      </w:tblPr>
      <w:tblGrid>
        <w:gridCol w:w="1050"/>
        <w:gridCol w:w="401"/>
        <w:gridCol w:w="492"/>
        <w:gridCol w:w="465"/>
        <w:gridCol w:w="493"/>
      </w:tblGrid>
      <w:tr w:rsidR="00AD77BB">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i/>
                <w:iCs/>
                <w:color w:val="F48800"/>
                <w:sz w:val="18"/>
                <w:szCs w:val="18"/>
              </w:rPr>
              <w:t>F</w:t>
            </w:r>
            <w:r>
              <w:rPr>
                <w:rFonts w:ascii="Times New Roman" w:eastAsia="Times New Roman" w:hAnsi="Times New Roman" w:cs="Times New Roman"/>
                <w:b/>
                <w:bCs/>
                <w:color w:val="F48800"/>
                <w:sz w:val="18"/>
                <w:szCs w:val="18"/>
              </w:rPr>
              <w:t> Tail Area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df1</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1</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2</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 · · · </w:t>
            </w:r>
          </w:p>
        </w:tc>
      </w:tr>
      <w:tr w:rsidR="00AD77BB">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b/>
                <w:bCs/>
                <w:color w:val="F48800"/>
                <w:sz w:val="18"/>
                <w:szCs w:val="18"/>
              </w:rPr>
            </w:pPr>
            <w:r>
              <w:rPr>
                <w:rFonts w:ascii="Times New Roman" w:eastAsia="Times New Roman" w:hAnsi="Times New Roman" w:cs="Times New Roman"/>
                <w:b/>
                <w:bCs/>
                <w:color w:val="F48800"/>
                <w:sz w:val="18"/>
                <w:szCs w:val="18"/>
              </w:rPr>
              <w:t>df2</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18"/>
                <w:szCs w:val="18"/>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AD77BB" w:rsidRDefault="00AD77BB">
            <w:pPr>
              <w:spacing w:after="0" w:line="240" w:lineRule="auto"/>
              <w:rPr>
                <w:rFonts w:ascii="Times New Roman" w:eastAsia="Times New Roman" w:hAnsi="Times New Roman" w:cs="Times New Roman"/>
                <w:b/>
                <w:bCs/>
                <w:color w:val="F48800"/>
                <w:sz w:val="18"/>
                <w:szCs w:val="18"/>
              </w:rPr>
            </w:pP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0.90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0.11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0.95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0.975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0.99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lastRenderedPageBreak/>
              <w:t>0.995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Times New Roman" w:eastAsia="Times New Roman" w:hAnsi="Times New Roman" w:cs="Times New Roman"/>
                <w:sz w:val="18"/>
                <w:szCs w:val="18"/>
              </w:rPr>
              <w:t> · · · </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center"/>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240" w:lineRule="auto"/>
              <w:jc w:val="right"/>
              <w:rPr>
                <w:rFonts w:ascii="Times New Roman" w:eastAsia="Times New Roman" w:hAnsi="Times New Roman" w:cs="Times New Roman"/>
                <w:sz w:val="18"/>
                <w:szCs w:val="18"/>
              </w:rPr>
            </w:pPr>
            <w:r>
              <w:rPr>
                <w:rFonts w:ascii="Cambria Math" w:eastAsia="Times New Roman" w:hAnsi="Cambria Math" w:cs="Cambria Math"/>
                <w:sz w:val="18"/>
                <w:szCs w:val="18"/>
              </w:rPr>
              <w:t>⋮</w:t>
            </w:r>
          </w:p>
        </w:tc>
      </w:tr>
    </w:tbl>
    <w:p w:rsidR="00AD77BB" w:rsidRDefault="00AD77BB">
      <w:pPr>
        <w:shd w:val="clear" w:color="auto" w:fill="FFFFFF"/>
        <w:spacing w:after="0" w:line="439" w:lineRule="atLeast"/>
        <w:textAlignment w:val="baseline"/>
        <w:rPr>
          <w:rFonts w:ascii="Georgia" w:eastAsia="Times New Roman" w:hAnsi="Georgia" w:cs="Times New Roman"/>
          <w:color w:val="333333"/>
          <w:sz w:val="21"/>
          <w:szCs w:val="21"/>
        </w:rPr>
      </w:pPr>
    </w:p>
    <w:p w:rsidR="00AD77BB" w:rsidRDefault="00B45BA0">
      <w:pPr>
        <w:shd w:val="clear" w:color="auto" w:fill="FFFFFF"/>
        <w:spacing w:after="0"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A fact that sometimes allows us to find a critical value from a table that we could not read otherwise is:</w:t>
      </w:r>
    </w:p>
    <w:p w:rsidR="00AD77BB" w:rsidRDefault="00AD77BB">
      <w:pPr>
        <w:tabs>
          <w:tab w:val="left" w:pos="5547"/>
        </w:tabs>
        <w:spacing w:line="360" w:lineRule="auto"/>
        <w:rPr>
          <w:rFonts w:ascii="Calibri" w:eastAsia="Times New Roman" w:hAnsi="Calibri" w:cs="Times New Roman"/>
          <w:sz w:val="20"/>
          <w:szCs w:val="20"/>
        </w:rPr>
      </w:pPr>
    </w:p>
    <w:p w:rsidR="00AD77BB" w:rsidRDefault="00B45BA0">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If Fu(r,s) denotes the value of the </w:t>
      </w:r>
      <w:r>
        <w:rPr>
          <w:rFonts w:ascii="Georgia" w:eastAsia="Times New Roman" w:hAnsi="Georgia" w:cs="Times New Roman"/>
          <w:i/>
          <w:iCs/>
          <w:color w:val="333333"/>
          <w:sz w:val="20"/>
          <w:szCs w:val="20"/>
        </w:rPr>
        <w:t>F</w:t>
      </w:r>
      <w:r>
        <w:rPr>
          <w:rFonts w:ascii="Georgia" w:eastAsia="Times New Roman" w:hAnsi="Georgia" w:cs="Times New Roman"/>
          <w:color w:val="333333"/>
          <w:sz w:val="20"/>
          <w:szCs w:val="20"/>
        </w:rPr>
        <w:t>-distribution with degrees of freedom df1=r and df2=s that cuts off a right tail of area </w:t>
      </w:r>
      <w:r>
        <w:rPr>
          <w:rFonts w:ascii="Georgia" w:eastAsia="Times New Roman" w:hAnsi="Georgia" w:cs="Times New Roman"/>
          <w:i/>
          <w:iCs/>
          <w:color w:val="333333"/>
          <w:sz w:val="20"/>
          <w:szCs w:val="20"/>
        </w:rPr>
        <w:t>u</w:t>
      </w:r>
      <w:r>
        <w:rPr>
          <w:rFonts w:ascii="Georgia" w:eastAsia="Times New Roman" w:hAnsi="Georgia" w:cs="Times New Roman"/>
          <w:color w:val="333333"/>
          <w:sz w:val="20"/>
          <w:szCs w:val="20"/>
        </w:rPr>
        <w:t>, then</w:t>
      </w:r>
    </w:p>
    <w:p w:rsidR="00AD77BB" w:rsidRDefault="00AD77BB">
      <w:pPr>
        <w:shd w:val="clear" w:color="auto" w:fill="F4F4F4"/>
        <w:spacing w:after="0" w:line="439" w:lineRule="atLeast"/>
        <w:textAlignment w:val="baseline"/>
        <w:rPr>
          <w:rFonts w:ascii="Georgia" w:eastAsia="Times New Roman" w:hAnsi="Georgia" w:cs="Times New Roman"/>
          <w:color w:val="333333"/>
          <w:sz w:val="20"/>
          <w:szCs w:val="20"/>
        </w:rPr>
      </w:pPr>
    </w:p>
    <w:p w:rsidR="00AD77BB" w:rsidRDefault="00B45BA0">
      <w:pPr>
        <w:shd w:val="clear" w:color="auto" w:fill="F4F4F4"/>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color w:val="555555"/>
          <w:sz w:val="23"/>
          <w:szCs w:val="23"/>
        </w:rPr>
        <w:t>Fc(k,ℓ)=1F1−c(ℓ,k)</w:t>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EXAMPLE 5</w:t>
      </w:r>
    </w:p>
    <w:p w:rsidR="00AD77BB" w:rsidRDefault="00B45BA0">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Use the tables to find</w:t>
      </w:r>
    </w:p>
    <w:p w:rsidR="00AD77BB" w:rsidRDefault="00B45BA0">
      <w:pPr>
        <w:numPr>
          <w:ilvl w:val="0"/>
          <w:numId w:val="322"/>
        </w:num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F</w:t>
      </w:r>
      <w:r>
        <w:rPr>
          <w:rFonts w:ascii="Calibri" w:eastAsia="Times New Roman" w:hAnsi="Calibri" w:cs="Times New Roman"/>
          <w:color w:val="333333"/>
          <w:sz w:val="15"/>
          <w:szCs w:val="15"/>
          <w:vertAlign w:val="subscript"/>
        </w:rPr>
        <w:t>0.01</w:t>
      </w:r>
      <w:r>
        <w:rPr>
          <w:rFonts w:ascii="Calibri" w:eastAsia="Times New Roman" w:hAnsi="Calibri" w:cs="Times New Roman"/>
          <w:color w:val="333333"/>
          <w:sz w:val="20"/>
          <w:szCs w:val="20"/>
        </w:rPr>
        <w:t>  for an </w:t>
      </w:r>
      <w:r>
        <w:rPr>
          <w:rFonts w:ascii="Calibri" w:eastAsia="Times New Roman" w:hAnsi="Calibri" w:cs="Times New Roman"/>
          <w:i/>
          <w:iCs/>
          <w:color w:val="333333"/>
          <w:sz w:val="20"/>
          <w:szCs w:val="20"/>
        </w:rPr>
        <w:t>F</w:t>
      </w:r>
      <w:r>
        <w:rPr>
          <w:rFonts w:ascii="Calibri" w:eastAsia="Times New Roman" w:hAnsi="Calibri" w:cs="Times New Roman"/>
          <w:color w:val="333333"/>
          <w:sz w:val="20"/>
          <w:szCs w:val="20"/>
        </w:rPr>
        <w:t> random variable with df1=13 and df2=8</w:t>
      </w:r>
    </w:p>
    <w:p w:rsidR="00AD77BB" w:rsidRDefault="00B45BA0">
      <w:pPr>
        <w:numPr>
          <w:ilvl w:val="0"/>
          <w:numId w:val="322"/>
        </w:numPr>
        <w:shd w:val="clear" w:color="auto" w:fill="E3EFF7"/>
        <w:spacing w:after="0" w:line="439" w:lineRule="atLeast"/>
        <w:ind w:left="360" w:right="375" w:hanging="360"/>
        <w:textAlignment w:val="baseline"/>
        <w:rPr>
          <w:rFonts w:ascii="Calibri" w:eastAsia="Times New Roman" w:hAnsi="Calibri" w:cs="Times New Roman"/>
          <w:color w:val="333333"/>
          <w:sz w:val="20"/>
          <w:szCs w:val="20"/>
        </w:rPr>
      </w:pPr>
      <w:r>
        <w:rPr>
          <w:rFonts w:ascii="Calibri" w:eastAsia="Times New Roman" w:hAnsi="Calibri" w:cs="Times New Roman"/>
          <w:i/>
          <w:iCs/>
          <w:color w:val="333333"/>
          <w:sz w:val="20"/>
          <w:szCs w:val="20"/>
        </w:rPr>
        <w:t>F</w:t>
      </w:r>
      <w:r>
        <w:rPr>
          <w:rFonts w:ascii="Calibri" w:eastAsia="Times New Roman" w:hAnsi="Calibri" w:cs="Times New Roman"/>
          <w:color w:val="333333"/>
          <w:sz w:val="15"/>
          <w:szCs w:val="15"/>
          <w:vertAlign w:val="subscript"/>
        </w:rPr>
        <w:t xml:space="preserve">0.975 </w:t>
      </w:r>
      <w:r>
        <w:rPr>
          <w:rFonts w:ascii="Calibri" w:eastAsia="Times New Roman" w:hAnsi="Calibri" w:cs="Times New Roman"/>
          <w:color w:val="333333"/>
          <w:sz w:val="20"/>
          <w:szCs w:val="20"/>
        </w:rPr>
        <w:t> for an </w:t>
      </w:r>
      <w:r>
        <w:rPr>
          <w:rFonts w:ascii="Calibri" w:eastAsia="Times New Roman" w:hAnsi="Calibri" w:cs="Times New Roman"/>
          <w:i/>
          <w:iCs/>
          <w:color w:val="333333"/>
          <w:sz w:val="20"/>
          <w:szCs w:val="20"/>
        </w:rPr>
        <w:t>F</w:t>
      </w:r>
      <w:r>
        <w:rPr>
          <w:rFonts w:ascii="Calibri" w:eastAsia="Times New Roman" w:hAnsi="Calibri" w:cs="Times New Roman"/>
          <w:color w:val="333333"/>
          <w:sz w:val="20"/>
          <w:szCs w:val="20"/>
        </w:rPr>
        <w:t> random variable with df1=40 and df2=10</w:t>
      </w:r>
    </w:p>
    <w:p w:rsidR="00AD77BB" w:rsidRDefault="00B45BA0">
      <w:pPr>
        <w:shd w:val="clear" w:color="auto" w:fill="E3EFF7"/>
        <w:spacing w:before="150"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Solution:</w:t>
      </w:r>
    </w:p>
    <w:p w:rsidR="00AD77BB" w:rsidRDefault="00B45BA0">
      <w:pPr>
        <w:numPr>
          <w:ilvl w:val="0"/>
          <w:numId w:val="323"/>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There is no table with df1=13, but there is one with df1=8.Thus we use the fact that</w:t>
      </w:r>
    </w:p>
    <w:p w:rsidR="00AD77BB" w:rsidRDefault="00AD77BB">
      <w:pPr>
        <w:shd w:val="clear" w:color="auto" w:fill="E3EFF7"/>
        <w:spacing w:after="0" w:line="439" w:lineRule="atLeast"/>
        <w:ind w:right="750"/>
        <w:textAlignment w:val="baseline"/>
        <w:rPr>
          <w:rFonts w:ascii="Calibri" w:eastAsia="Times New Roman" w:hAnsi="Calibri" w:cs="Times New Roman"/>
          <w:color w:val="333333"/>
          <w:sz w:val="20"/>
          <w:szCs w:val="20"/>
        </w:rPr>
      </w:pPr>
    </w:p>
    <w:p w:rsidR="00AD77BB" w:rsidRDefault="00B45BA0">
      <w:pPr>
        <w:shd w:val="clear" w:color="auto" w:fill="E3EFF7"/>
        <w:spacing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F0.01(13,8)=1F0.99(8,13)</w:t>
      </w:r>
    </w:p>
    <w:p w:rsidR="00AD77BB" w:rsidRDefault="00AD77BB">
      <w:pPr>
        <w:shd w:val="clear" w:color="auto" w:fill="E3EFF7"/>
        <w:spacing w:after="0" w:line="439" w:lineRule="atLeast"/>
        <w:ind w:left="300" w:right="375"/>
        <w:textAlignment w:val="baseline"/>
        <w:rPr>
          <w:rFonts w:ascii="Calibri" w:eastAsia="Times New Roman" w:hAnsi="Calibri" w:cs="Times New Roman"/>
          <w:color w:val="333333"/>
          <w:sz w:val="20"/>
          <w:szCs w:val="20"/>
        </w:rPr>
      </w:pPr>
    </w:p>
    <w:p w:rsidR="00AD77BB" w:rsidRDefault="00B45BA0">
      <w:pPr>
        <w:shd w:val="clear" w:color="auto" w:fill="E3EFF7"/>
        <w:spacing w:after="0" w:line="439" w:lineRule="atLeast"/>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Using the relevant table we find that F0.99(8,13)=0.18, henceF0.01(13,8)=0.18−1=5.556.</w:t>
      </w:r>
    </w:p>
    <w:p w:rsidR="00AD77BB" w:rsidRDefault="00B45BA0">
      <w:pPr>
        <w:numPr>
          <w:ilvl w:val="0"/>
          <w:numId w:val="323"/>
        </w:numPr>
        <w:shd w:val="clear" w:color="auto" w:fill="E3EFF7"/>
        <w:spacing w:after="0" w:line="439" w:lineRule="atLeast"/>
        <w:ind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There is no table with df1=40, but there is one with df1=10.Thus we use the fact that</w:t>
      </w:r>
    </w:p>
    <w:p w:rsidR="00AD77BB" w:rsidRDefault="00AD77BB">
      <w:pPr>
        <w:shd w:val="clear" w:color="auto" w:fill="E3EFF7"/>
        <w:spacing w:after="0" w:line="439" w:lineRule="atLeast"/>
        <w:ind w:right="750"/>
        <w:textAlignment w:val="baseline"/>
        <w:rPr>
          <w:rFonts w:ascii="Calibri" w:eastAsia="Times New Roman" w:hAnsi="Calibri" w:cs="Times New Roman"/>
          <w:color w:val="333333"/>
          <w:sz w:val="20"/>
          <w:szCs w:val="20"/>
        </w:rPr>
      </w:pPr>
    </w:p>
    <w:p w:rsidR="00AD77BB" w:rsidRDefault="00B45BA0">
      <w:pPr>
        <w:shd w:val="clear" w:color="auto" w:fill="E3EFF7"/>
        <w:spacing w:after="0" w:line="439" w:lineRule="atLeast"/>
        <w:ind w:left="30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F0.975(40,10)=1F0.025(10,40)</w:t>
      </w:r>
    </w:p>
    <w:p w:rsidR="00AD77BB" w:rsidRDefault="00AD77BB">
      <w:pPr>
        <w:shd w:val="clear" w:color="auto" w:fill="E3EFF7"/>
        <w:spacing w:after="0" w:line="439" w:lineRule="atLeast"/>
        <w:ind w:left="300" w:right="375"/>
        <w:textAlignment w:val="baseline"/>
        <w:rPr>
          <w:rFonts w:ascii="Calibri" w:eastAsia="Times New Roman" w:hAnsi="Calibri" w:cs="Times New Roman"/>
          <w:color w:val="333333"/>
          <w:sz w:val="20"/>
          <w:szCs w:val="20"/>
        </w:rPr>
      </w:pPr>
    </w:p>
    <w:p w:rsidR="00AD77BB" w:rsidRDefault="00B45BA0">
      <w:pPr>
        <w:shd w:val="clear" w:color="auto" w:fill="E3EFF7"/>
        <w:spacing w:line="439" w:lineRule="atLeast"/>
        <w:ind w:left="600" w:right="7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Using the relevant table we find that F0.025(10,40)=3.31, henceF0.975(40,10)=3.31−1=0.302.</w:t>
      </w:r>
    </w:p>
    <w:p w:rsidR="00AD77BB" w:rsidRDefault="00B45BA0">
      <w:pPr>
        <w:pStyle w:val="Heading2"/>
        <w:shd w:val="clear" w:color="auto" w:fill="FFFFFF"/>
        <w:spacing w:before="0" w:line="439" w:lineRule="atLeast"/>
        <w:textAlignment w:val="baseline"/>
        <w:rPr>
          <w:rFonts w:ascii="Calibri" w:hAnsi="Calibri"/>
          <w:color w:val="333333"/>
          <w:sz w:val="29"/>
          <w:szCs w:val="29"/>
        </w:rPr>
      </w:pPr>
      <w:r>
        <w:rPr>
          <w:rStyle w:val="Emphasis"/>
          <w:rFonts w:ascii="Calibri" w:hAnsi="Calibri"/>
          <w:color w:val="333333"/>
          <w:sz w:val="27"/>
          <w:szCs w:val="27"/>
        </w:rPr>
        <w:lastRenderedPageBreak/>
        <w:t>F</w:t>
      </w:r>
      <w:r>
        <w:rPr>
          <w:rFonts w:ascii="Calibri" w:hAnsi="Calibri"/>
          <w:color w:val="333333"/>
          <w:sz w:val="29"/>
          <w:szCs w:val="29"/>
        </w:rPr>
        <w:t>-Tests for Equality of Two Variances</w:t>
      </w: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w:t>
      </w:r>
      <w:r>
        <w:rPr>
          <w:rStyle w:val="apple-converted-space"/>
          <w:rFonts w:ascii="Georgia" w:eastAsiaTheme="majorEastAsia" w:hAnsi="Georgia"/>
          <w:color w:val="333333"/>
          <w:sz w:val="21"/>
          <w:szCs w:val="21"/>
        </w:rPr>
        <w:t> </w:t>
      </w:r>
      <w:r>
        <w:rPr>
          <w:rFonts w:ascii="Georgia" w:hAnsi="Georgia"/>
          <w:color w:val="2689C6"/>
          <w:sz w:val="21"/>
          <w:szCs w:val="21"/>
        </w:rPr>
        <w:t>Chapter 9 "Two-Sample Problems"</w:t>
      </w:r>
      <w:r>
        <w:rPr>
          <w:rStyle w:val="apple-converted-space"/>
          <w:rFonts w:ascii="Georgia" w:eastAsiaTheme="majorEastAsia" w:hAnsi="Georgia"/>
          <w:color w:val="333333"/>
          <w:sz w:val="21"/>
          <w:szCs w:val="21"/>
        </w:rPr>
        <w:t> </w:t>
      </w:r>
      <w:r>
        <w:rPr>
          <w:rFonts w:ascii="Georgia" w:hAnsi="Georgia"/>
          <w:color w:val="333333"/>
          <w:sz w:val="21"/>
          <w:szCs w:val="21"/>
        </w:rPr>
        <w:t>we saw how to test hypotheses about the difference between two population means</w:t>
      </w:r>
      <w:r>
        <w:rPr>
          <w:rStyle w:val="apple-converted-space"/>
          <w:rFonts w:ascii="Georgia" w:eastAsiaTheme="majorEastAsia" w:hAnsi="Georgia"/>
          <w:color w:val="333333"/>
          <w:sz w:val="21"/>
          <w:szCs w:val="21"/>
        </w:rPr>
        <w:t> </w:t>
      </w:r>
      <w:r>
        <w:rPr>
          <w:rStyle w:val="inlineequation"/>
          <w:rFonts w:ascii="Georgia" w:hAnsi="Georgia"/>
          <w:color w:val="333333"/>
          <w:sz w:val="20"/>
          <w:szCs w:val="20"/>
        </w:rPr>
        <w:t>μ1</w:t>
      </w:r>
      <w:r>
        <w:rPr>
          <w:rStyle w:val="apple-converted-space"/>
          <w:rFonts w:ascii="Georgia" w:eastAsiaTheme="majorEastAsia" w:hAnsi="Georgia"/>
          <w:color w:val="333333"/>
          <w:sz w:val="21"/>
          <w:szCs w:val="21"/>
        </w:rPr>
        <w:t> </w:t>
      </w:r>
      <w:r>
        <w:rPr>
          <w:rFonts w:ascii="Georgia" w:hAnsi="Georgia"/>
          <w:color w:val="333333"/>
          <w:sz w:val="21"/>
          <w:szCs w:val="21"/>
        </w:rPr>
        <w:t>and</w:t>
      </w:r>
      <w:r>
        <w:rPr>
          <w:rStyle w:val="apple-converted-space"/>
          <w:rFonts w:ascii="Georgia" w:eastAsiaTheme="majorEastAsia" w:hAnsi="Georgia"/>
          <w:color w:val="333333"/>
          <w:sz w:val="21"/>
          <w:szCs w:val="21"/>
        </w:rPr>
        <w:t> </w:t>
      </w:r>
      <w:r>
        <w:rPr>
          <w:rStyle w:val="inlineequation"/>
          <w:rFonts w:ascii="Georgia" w:hAnsi="Georgia"/>
          <w:color w:val="333333"/>
          <w:sz w:val="20"/>
          <w:szCs w:val="20"/>
        </w:rPr>
        <w:t>μ2.</w:t>
      </w:r>
      <w:r>
        <w:rPr>
          <w:rStyle w:val="apple-converted-space"/>
          <w:rFonts w:ascii="Georgia" w:eastAsiaTheme="majorEastAsia" w:hAnsi="Georgia"/>
          <w:color w:val="333333"/>
          <w:sz w:val="21"/>
          <w:szCs w:val="21"/>
        </w:rPr>
        <w:t> </w:t>
      </w:r>
      <w:r>
        <w:rPr>
          <w:rFonts w:ascii="Georgia" w:hAnsi="Georgia"/>
          <w:color w:val="333333"/>
          <w:sz w:val="21"/>
          <w:szCs w:val="21"/>
        </w:rPr>
        <w:t>In some practical situations the difference between the population standard deviations</w:t>
      </w:r>
      <w:r>
        <w:rPr>
          <w:rStyle w:val="apple-converted-space"/>
          <w:rFonts w:ascii="Georgia" w:eastAsiaTheme="majorEastAsia" w:hAnsi="Georgia"/>
          <w:color w:val="333333"/>
          <w:sz w:val="21"/>
          <w:szCs w:val="21"/>
        </w:rPr>
        <w:t> </w:t>
      </w:r>
      <w:r>
        <w:rPr>
          <w:rStyle w:val="inlineequation"/>
          <w:rFonts w:ascii="Georgia" w:hAnsi="Georgia"/>
          <w:color w:val="333333"/>
          <w:sz w:val="20"/>
          <w:szCs w:val="20"/>
        </w:rPr>
        <w:t>σ1</w:t>
      </w:r>
      <w:r>
        <w:rPr>
          <w:rStyle w:val="apple-converted-space"/>
          <w:rFonts w:ascii="Georgia" w:eastAsiaTheme="majorEastAsia" w:hAnsi="Georgia"/>
          <w:color w:val="333333"/>
          <w:sz w:val="21"/>
          <w:szCs w:val="21"/>
        </w:rPr>
        <w:t> </w:t>
      </w:r>
      <w:r>
        <w:rPr>
          <w:rFonts w:ascii="Georgia" w:hAnsi="Georgia"/>
          <w:color w:val="333333"/>
          <w:sz w:val="21"/>
          <w:szCs w:val="21"/>
        </w:rPr>
        <w:t>and</w:t>
      </w:r>
      <w:r>
        <w:rPr>
          <w:rStyle w:val="inlineequation"/>
          <w:rFonts w:ascii="Georgia" w:hAnsi="Georgia"/>
          <w:color w:val="333333"/>
          <w:sz w:val="20"/>
          <w:szCs w:val="20"/>
        </w:rPr>
        <w:t>σ2</w:t>
      </w:r>
      <w:r>
        <w:rPr>
          <w:rStyle w:val="apple-converted-space"/>
          <w:rFonts w:ascii="Georgia" w:eastAsiaTheme="majorEastAsia" w:hAnsi="Georgia"/>
          <w:color w:val="333333"/>
          <w:sz w:val="21"/>
          <w:szCs w:val="21"/>
        </w:rPr>
        <w:t> </w:t>
      </w:r>
      <w:r>
        <w:rPr>
          <w:rFonts w:ascii="Georgia" w:hAnsi="Georgia"/>
          <w:color w:val="333333"/>
          <w:sz w:val="21"/>
          <w:szCs w:val="21"/>
        </w:rPr>
        <w:t>is also of interest. Standard deviation measures the variability of a random variable. For example, if the random variable measures the size of a machined part in a manufacturing process, the size of standard deviation is one indicator of product quality. A smaller standard deviation among items produced in the manufacturing process is desirable since it indicates consistency in product quality.</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For theoretical reasons it is easier to compare the squares of the population standard deviations, the population variances</w:t>
      </w:r>
      <w:r>
        <w:rPr>
          <w:rStyle w:val="apple-converted-space"/>
          <w:rFonts w:ascii="Georgia" w:eastAsiaTheme="majorEastAsia" w:hAnsi="Georgia"/>
          <w:color w:val="333333"/>
          <w:sz w:val="21"/>
          <w:szCs w:val="21"/>
        </w:rPr>
        <w:t> </w:t>
      </w:r>
      <w:r>
        <w:rPr>
          <w:rStyle w:val="inlineequation"/>
          <w:rFonts w:ascii="Georgia" w:hAnsi="Georgia"/>
          <w:color w:val="333333"/>
          <w:sz w:val="20"/>
          <w:szCs w:val="20"/>
        </w:rPr>
        <w:t>σ12</w:t>
      </w:r>
      <w:r>
        <w:rPr>
          <w:rStyle w:val="apple-converted-space"/>
          <w:rFonts w:ascii="Georgia" w:eastAsiaTheme="majorEastAsia" w:hAnsi="Georgia"/>
          <w:color w:val="333333"/>
          <w:sz w:val="21"/>
          <w:szCs w:val="21"/>
        </w:rPr>
        <w:t> </w:t>
      </w:r>
      <w:r>
        <w:rPr>
          <w:rFonts w:ascii="Georgia" w:hAnsi="Georgia"/>
          <w:color w:val="333333"/>
          <w:sz w:val="21"/>
          <w:szCs w:val="21"/>
        </w:rPr>
        <w:t>and</w:t>
      </w:r>
      <w:r>
        <w:rPr>
          <w:rStyle w:val="apple-converted-space"/>
          <w:rFonts w:ascii="Georgia" w:eastAsiaTheme="majorEastAsia" w:hAnsi="Georgia"/>
          <w:color w:val="333333"/>
          <w:sz w:val="21"/>
          <w:szCs w:val="21"/>
        </w:rPr>
        <w:t> </w:t>
      </w:r>
      <w:r>
        <w:rPr>
          <w:rStyle w:val="inlineequation"/>
          <w:rFonts w:ascii="Georgia" w:hAnsi="Georgia"/>
          <w:color w:val="333333"/>
          <w:sz w:val="20"/>
          <w:szCs w:val="20"/>
        </w:rPr>
        <w:t>σ22.</w:t>
      </w:r>
      <w:r>
        <w:rPr>
          <w:rStyle w:val="apple-converted-space"/>
          <w:rFonts w:ascii="Georgia" w:eastAsiaTheme="majorEastAsia" w:hAnsi="Georgia"/>
          <w:color w:val="333333"/>
          <w:sz w:val="21"/>
          <w:szCs w:val="21"/>
        </w:rPr>
        <w:t> </w:t>
      </w:r>
      <w:r>
        <w:rPr>
          <w:rFonts w:ascii="Georgia" w:hAnsi="Georgia"/>
          <w:color w:val="333333"/>
          <w:sz w:val="21"/>
          <w:szCs w:val="21"/>
        </w:rPr>
        <w:t>This is not a problem, since</w:t>
      </w:r>
      <w:r>
        <w:rPr>
          <w:rStyle w:val="apple-converted-space"/>
          <w:rFonts w:ascii="Georgia" w:eastAsiaTheme="majorEastAsia" w:hAnsi="Georgia"/>
          <w:color w:val="333333"/>
          <w:sz w:val="21"/>
          <w:szCs w:val="21"/>
        </w:rPr>
        <w:t> </w:t>
      </w:r>
      <w:r>
        <w:rPr>
          <w:rStyle w:val="inlineequation"/>
          <w:rFonts w:ascii="Georgia" w:hAnsi="Georgia"/>
          <w:color w:val="333333"/>
          <w:sz w:val="20"/>
          <w:szCs w:val="20"/>
        </w:rPr>
        <w:t>σ1=σ2</w:t>
      </w:r>
      <w:r>
        <w:rPr>
          <w:rStyle w:val="apple-converted-space"/>
          <w:rFonts w:ascii="Georgia" w:eastAsiaTheme="majorEastAsia" w:hAnsi="Georgia"/>
          <w:color w:val="333333"/>
          <w:sz w:val="21"/>
          <w:szCs w:val="21"/>
        </w:rPr>
        <w:t> </w:t>
      </w:r>
      <w:r>
        <w:rPr>
          <w:rFonts w:ascii="Georgia" w:hAnsi="Georgia"/>
          <w:color w:val="333333"/>
          <w:sz w:val="21"/>
          <w:szCs w:val="21"/>
        </w:rPr>
        <w:t>precisely when</w:t>
      </w:r>
      <w:r>
        <w:rPr>
          <w:rStyle w:val="apple-converted-space"/>
          <w:rFonts w:ascii="Georgia" w:eastAsiaTheme="majorEastAsia" w:hAnsi="Georgia"/>
          <w:color w:val="333333"/>
          <w:sz w:val="21"/>
          <w:szCs w:val="21"/>
        </w:rPr>
        <w:t> </w:t>
      </w:r>
      <w:r>
        <w:rPr>
          <w:rStyle w:val="inlineequation"/>
          <w:rFonts w:ascii="Georgia" w:hAnsi="Georgia"/>
          <w:color w:val="333333"/>
          <w:sz w:val="20"/>
          <w:szCs w:val="20"/>
        </w:rPr>
        <w:t>σ12=σ22</w:t>
      </w:r>
      <w:r>
        <w:rPr>
          <w:rFonts w:ascii="Georgia" w:hAnsi="Georgia"/>
          <w:color w:val="333333"/>
          <w:sz w:val="21"/>
          <w:szCs w:val="21"/>
        </w:rPr>
        <w:t>,</w:t>
      </w:r>
      <w:r>
        <w:rPr>
          <w:rStyle w:val="apple-converted-space"/>
          <w:rFonts w:ascii="Georgia" w:eastAsiaTheme="majorEastAsia" w:hAnsi="Georgia"/>
          <w:color w:val="333333"/>
          <w:sz w:val="21"/>
          <w:szCs w:val="21"/>
        </w:rPr>
        <w:t> </w:t>
      </w:r>
      <w:r>
        <w:rPr>
          <w:rStyle w:val="inlineequation"/>
          <w:rFonts w:ascii="Georgia" w:hAnsi="Georgia"/>
          <w:color w:val="333333"/>
          <w:sz w:val="20"/>
          <w:szCs w:val="20"/>
        </w:rPr>
        <w:t>σ1&lt;σ2</w:t>
      </w:r>
      <w:r>
        <w:rPr>
          <w:rStyle w:val="apple-converted-space"/>
          <w:rFonts w:ascii="Georgia" w:eastAsiaTheme="majorEastAsia" w:hAnsi="Georgia"/>
          <w:color w:val="333333"/>
          <w:sz w:val="21"/>
          <w:szCs w:val="21"/>
        </w:rPr>
        <w:t> </w:t>
      </w:r>
      <w:r>
        <w:rPr>
          <w:rFonts w:ascii="Georgia" w:hAnsi="Georgia"/>
          <w:color w:val="333333"/>
          <w:sz w:val="21"/>
          <w:szCs w:val="21"/>
        </w:rPr>
        <w:t>precisely when</w:t>
      </w:r>
      <w:r>
        <w:rPr>
          <w:rStyle w:val="inlineequation"/>
          <w:rFonts w:ascii="Georgia" w:hAnsi="Georgia"/>
          <w:color w:val="333333"/>
          <w:sz w:val="20"/>
          <w:szCs w:val="20"/>
        </w:rPr>
        <w:t>σ12&lt;σ22</w:t>
      </w:r>
      <w:r>
        <w:rPr>
          <w:rFonts w:ascii="Georgia" w:hAnsi="Georgia"/>
          <w:color w:val="333333"/>
          <w:sz w:val="21"/>
          <w:szCs w:val="21"/>
        </w:rPr>
        <w:t>, and</w:t>
      </w:r>
      <w:r>
        <w:rPr>
          <w:rStyle w:val="apple-converted-space"/>
          <w:rFonts w:ascii="Georgia" w:eastAsiaTheme="majorEastAsia" w:hAnsi="Georgia"/>
          <w:color w:val="333333"/>
          <w:sz w:val="21"/>
          <w:szCs w:val="21"/>
        </w:rPr>
        <w:t> </w:t>
      </w:r>
      <w:r>
        <w:rPr>
          <w:rStyle w:val="inlineequation"/>
          <w:rFonts w:ascii="Georgia" w:hAnsi="Georgia"/>
          <w:color w:val="333333"/>
          <w:sz w:val="20"/>
          <w:szCs w:val="20"/>
        </w:rPr>
        <w:t>σ1&gt;σ2</w:t>
      </w:r>
      <w:r>
        <w:rPr>
          <w:rStyle w:val="apple-converted-space"/>
          <w:rFonts w:ascii="Georgia" w:eastAsiaTheme="majorEastAsia" w:hAnsi="Georgia"/>
          <w:color w:val="333333"/>
          <w:sz w:val="21"/>
          <w:szCs w:val="21"/>
        </w:rPr>
        <w:t> </w:t>
      </w:r>
      <w:r>
        <w:rPr>
          <w:rFonts w:ascii="Georgia" w:hAnsi="Georgia"/>
          <w:color w:val="333333"/>
          <w:sz w:val="21"/>
          <w:szCs w:val="21"/>
        </w:rPr>
        <w:t>precisely when</w:t>
      </w:r>
      <w:r>
        <w:rPr>
          <w:rStyle w:val="apple-converted-space"/>
          <w:rFonts w:ascii="Georgia" w:eastAsiaTheme="majorEastAsia" w:hAnsi="Georgia"/>
          <w:color w:val="333333"/>
          <w:sz w:val="21"/>
          <w:szCs w:val="21"/>
        </w:rPr>
        <w:t> </w:t>
      </w:r>
      <w:r>
        <w:rPr>
          <w:rStyle w:val="inlineequation"/>
          <w:rFonts w:ascii="Georgia" w:hAnsi="Georgia"/>
          <w:color w:val="333333"/>
          <w:sz w:val="20"/>
          <w:szCs w:val="20"/>
        </w:rPr>
        <w:t>σ12&gt;σ22.</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The null hypothesis always has the form</w:t>
      </w:r>
      <w:r>
        <w:rPr>
          <w:rStyle w:val="apple-converted-space"/>
          <w:rFonts w:ascii="Georgia" w:eastAsiaTheme="majorEastAsia" w:hAnsi="Georgia"/>
          <w:color w:val="333333"/>
          <w:sz w:val="21"/>
          <w:szCs w:val="21"/>
        </w:rPr>
        <w:t> </w:t>
      </w:r>
      <w:r>
        <w:rPr>
          <w:rStyle w:val="inlineequation"/>
          <w:rFonts w:ascii="Georgia" w:hAnsi="Georgia"/>
          <w:color w:val="333333"/>
          <w:sz w:val="20"/>
          <w:szCs w:val="20"/>
        </w:rPr>
        <w:t>H0:σ12=σ22.</w:t>
      </w:r>
      <w:r>
        <w:rPr>
          <w:rStyle w:val="apple-converted-space"/>
          <w:rFonts w:ascii="Georgia" w:eastAsiaTheme="majorEastAsia" w:hAnsi="Georgia"/>
          <w:color w:val="333333"/>
          <w:sz w:val="21"/>
          <w:szCs w:val="21"/>
        </w:rPr>
        <w:t> </w:t>
      </w:r>
      <w:r>
        <w:rPr>
          <w:rFonts w:ascii="Georgia" w:hAnsi="Georgia"/>
          <w:color w:val="333333"/>
          <w:sz w:val="21"/>
          <w:szCs w:val="21"/>
        </w:rPr>
        <w:t>The three forms of the alternative hypothesis, with the terminology for each case, are:</w:t>
      </w:r>
    </w:p>
    <w:tbl>
      <w:tblPr>
        <w:tblW w:w="0" w:type="auto"/>
        <w:tblCellMar>
          <w:left w:w="0" w:type="dxa"/>
          <w:right w:w="0" w:type="dxa"/>
        </w:tblCellMar>
        <w:tblLook w:val="04A0" w:firstRow="1" w:lastRow="0" w:firstColumn="1" w:lastColumn="0" w:noHBand="0" w:noVBand="1"/>
      </w:tblPr>
      <w:tblGrid>
        <w:gridCol w:w="1142"/>
        <w:gridCol w:w="1194"/>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rPr>
                <w:b/>
                <w:bCs/>
                <w:color w:val="F48800"/>
                <w:sz w:val="20"/>
                <w:szCs w:val="20"/>
              </w:rPr>
            </w:pPr>
            <w:r>
              <w:rPr>
                <w:b/>
                <w:bCs/>
                <w:color w:val="F48800"/>
                <w:sz w:val="20"/>
                <w:szCs w:val="20"/>
              </w:rPr>
              <w:t>Form of</w:t>
            </w:r>
            <w:r>
              <w:rPr>
                <w:rStyle w:val="apple-converted-space"/>
                <w:b/>
                <w:bCs/>
                <w:color w:val="F48800"/>
                <w:sz w:val="20"/>
                <w:szCs w:val="20"/>
              </w:rPr>
              <w:t> </w:t>
            </w:r>
            <w:r>
              <w:rPr>
                <w:rStyle w:val="Emphasis"/>
                <w:b/>
                <w:bCs/>
                <w:color w:val="F48800"/>
                <w:sz w:val="20"/>
                <w:szCs w:val="20"/>
              </w:rPr>
              <w:t>H</w:t>
            </w:r>
            <w:r>
              <w:rPr>
                <w:rStyle w:val="Emphasis"/>
                <w:b/>
                <w:bCs/>
                <w:color w:val="F48800"/>
                <w:sz w:val="15"/>
                <w:szCs w:val="15"/>
                <w:vertAlign w:val="subscript"/>
              </w:rPr>
              <w:t>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rPr>
                <w:b/>
                <w:bCs/>
                <w:color w:val="F48800"/>
                <w:sz w:val="20"/>
                <w:szCs w:val="20"/>
              </w:rPr>
            </w:pPr>
            <w:r>
              <w:rPr>
                <w:b/>
                <w:bCs/>
                <w:color w:val="F48800"/>
                <w:sz w:val="20"/>
                <w:szCs w:val="20"/>
              </w:rPr>
              <w:t>Terminology</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0"/>
                <w:szCs w:val="20"/>
              </w:rPr>
            </w:pPr>
            <w:r>
              <w:rPr>
                <w:rStyle w:val="inlineequation"/>
                <w:sz w:val="20"/>
                <w:szCs w:val="20"/>
              </w:rPr>
              <w:t>Ha:σ12&gt;σ22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0"/>
                <w:szCs w:val="20"/>
              </w:rPr>
            </w:pPr>
            <w:r>
              <w:rPr>
                <w:sz w:val="20"/>
                <w:szCs w:val="20"/>
              </w:rPr>
              <w:t>Right-tailed</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0"/>
                <w:szCs w:val="20"/>
              </w:rPr>
            </w:pPr>
            <w:r>
              <w:rPr>
                <w:rStyle w:val="inlineequation"/>
                <w:sz w:val="20"/>
                <w:szCs w:val="20"/>
              </w:rPr>
              <w:t>Ha:σ12&lt;σ22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0"/>
                <w:szCs w:val="20"/>
              </w:rPr>
            </w:pPr>
            <w:r>
              <w:rPr>
                <w:sz w:val="20"/>
                <w:szCs w:val="20"/>
              </w:rPr>
              <w:t>Left-tailed</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0"/>
                <w:szCs w:val="20"/>
              </w:rPr>
            </w:pPr>
            <w:r>
              <w:rPr>
                <w:rStyle w:val="inlineequation"/>
                <w:sz w:val="20"/>
                <w:szCs w:val="20"/>
              </w:rPr>
              <w:t>Ha:σ12≠σ22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rPr>
                <w:sz w:val="20"/>
                <w:szCs w:val="20"/>
              </w:rPr>
            </w:pPr>
            <w:r>
              <w:rPr>
                <w:sz w:val="20"/>
                <w:szCs w:val="20"/>
              </w:rPr>
              <w:t>Two-tailed</w:t>
            </w:r>
          </w:p>
        </w:tc>
      </w:tr>
    </w:tbl>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Just as when we test hypotheses concerning two population means, we take a random sample from each population, of sizes</w:t>
      </w:r>
      <w:r>
        <w:rPr>
          <w:rStyle w:val="apple-converted-space"/>
          <w:rFonts w:ascii="Georgia" w:eastAsiaTheme="majorEastAsia" w:hAnsi="Georgia"/>
          <w:color w:val="333333"/>
          <w:sz w:val="21"/>
          <w:szCs w:val="21"/>
        </w:rPr>
        <w:t> </w:t>
      </w:r>
      <w:r>
        <w:rPr>
          <w:rStyle w:val="Emphasis"/>
          <w:rFonts w:ascii="Georgia" w:hAnsi="Georgia"/>
          <w:color w:val="333333"/>
          <w:sz w:val="20"/>
          <w:szCs w:val="20"/>
        </w:rPr>
        <w:t>n</w:t>
      </w:r>
      <w:r>
        <w:rPr>
          <w:rFonts w:ascii="Georgia" w:hAnsi="Georgia"/>
          <w:color w:val="333333"/>
          <w:sz w:val="15"/>
          <w:szCs w:val="15"/>
          <w:vertAlign w:val="subscript"/>
        </w:rPr>
        <w:t>1</w:t>
      </w:r>
      <w:r>
        <w:rPr>
          <w:rStyle w:val="apple-converted-space"/>
          <w:rFonts w:ascii="Georgia" w:eastAsiaTheme="majorEastAsia" w:hAnsi="Georgia"/>
          <w:color w:val="333333"/>
          <w:sz w:val="21"/>
          <w:szCs w:val="21"/>
        </w:rPr>
        <w:t> </w:t>
      </w:r>
      <w:r>
        <w:rPr>
          <w:rFonts w:ascii="Georgia" w:hAnsi="Georgia"/>
          <w:color w:val="333333"/>
          <w:sz w:val="21"/>
          <w:szCs w:val="21"/>
        </w:rPr>
        <w:t>and</w:t>
      </w:r>
      <w:r>
        <w:rPr>
          <w:rStyle w:val="apple-converted-space"/>
          <w:rFonts w:ascii="Georgia" w:eastAsiaTheme="majorEastAsia" w:hAnsi="Georgia"/>
          <w:color w:val="333333"/>
          <w:sz w:val="21"/>
          <w:szCs w:val="21"/>
        </w:rPr>
        <w:t> </w:t>
      </w:r>
      <w:r>
        <w:rPr>
          <w:rStyle w:val="Emphasis"/>
          <w:rFonts w:ascii="Georgia" w:hAnsi="Georgia"/>
          <w:color w:val="333333"/>
          <w:sz w:val="20"/>
          <w:szCs w:val="20"/>
        </w:rPr>
        <w:t>n</w:t>
      </w:r>
      <w:r>
        <w:rPr>
          <w:rFonts w:ascii="Georgia" w:hAnsi="Georgia"/>
          <w:color w:val="333333"/>
          <w:sz w:val="15"/>
          <w:szCs w:val="15"/>
          <w:vertAlign w:val="subscript"/>
        </w:rPr>
        <w:t>2</w:t>
      </w:r>
      <w:r>
        <w:rPr>
          <w:rFonts w:ascii="Georgia" w:hAnsi="Georgia"/>
          <w:color w:val="333333"/>
          <w:sz w:val="21"/>
          <w:szCs w:val="21"/>
        </w:rPr>
        <w:t>, and compute the sample standard deviations</w:t>
      </w:r>
      <w:r>
        <w:rPr>
          <w:rStyle w:val="apple-converted-space"/>
          <w:rFonts w:ascii="Georgia" w:eastAsiaTheme="majorEastAsia" w:hAnsi="Georgia"/>
          <w:color w:val="333333"/>
          <w:sz w:val="21"/>
          <w:szCs w:val="21"/>
        </w:rPr>
        <w:t> </w:t>
      </w:r>
      <w:r>
        <w:rPr>
          <w:rStyle w:val="Emphasis"/>
          <w:rFonts w:ascii="Georgia" w:hAnsi="Georgia"/>
          <w:color w:val="333333"/>
          <w:sz w:val="20"/>
          <w:szCs w:val="20"/>
        </w:rPr>
        <w:t>s</w:t>
      </w:r>
      <w:r>
        <w:rPr>
          <w:rFonts w:ascii="Georgia" w:hAnsi="Georgia"/>
          <w:color w:val="333333"/>
          <w:sz w:val="15"/>
          <w:szCs w:val="15"/>
          <w:vertAlign w:val="subscript"/>
        </w:rPr>
        <w:t>1</w:t>
      </w:r>
      <w:r>
        <w:rPr>
          <w:rStyle w:val="apple-converted-space"/>
          <w:rFonts w:ascii="Georgia" w:eastAsiaTheme="majorEastAsia" w:hAnsi="Georgia"/>
          <w:color w:val="333333"/>
          <w:sz w:val="21"/>
          <w:szCs w:val="21"/>
        </w:rPr>
        <w:t> </w:t>
      </w:r>
      <w:r>
        <w:rPr>
          <w:rFonts w:ascii="Georgia" w:hAnsi="Georgia"/>
          <w:color w:val="333333"/>
          <w:sz w:val="21"/>
          <w:szCs w:val="21"/>
        </w:rPr>
        <w:t>and</w:t>
      </w:r>
      <w:r>
        <w:rPr>
          <w:rStyle w:val="apple-converted-space"/>
          <w:rFonts w:ascii="Georgia" w:eastAsiaTheme="majorEastAsia" w:hAnsi="Georgia"/>
          <w:color w:val="333333"/>
          <w:sz w:val="21"/>
          <w:szCs w:val="21"/>
        </w:rPr>
        <w:t> </w:t>
      </w:r>
      <w:r>
        <w:rPr>
          <w:rStyle w:val="Emphasis"/>
          <w:rFonts w:ascii="Georgia" w:hAnsi="Georgia"/>
          <w:color w:val="333333"/>
          <w:sz w:val="20"/>
          <w:szCs w:val="20"/>
        </w:rPr>
        <w:t>s</w:t>
      </w:r>
      <w:r>
        <w:rPr>
          <w:rFonts w:ascii="Georgia" w:hAnsi="Georgia"/>
          <w:color w:val="333333"/>
          <w:sz w:val="15"/>
          <w:szCs w:val="15"/>
          <w:vertAlign w:val="subscript"/>
        </w:rPr>
        <w:t>2</w:t>
      </w:r>
      <w:r>
        <w:rPr>
          <w:rFonts w:ascii="Georgia" w:hAnsi="Georgia"/>
          <w:color w:val="333333"/>
          <w:sz w:val="21"/>
          <w:szCs w:val="21"/>
        </w:rPr>
        <w:t>. In this context the samples are always independent. The populations themselves must be normally distributed.</w:t>
      </w:r>
    </w:p>
    <w:p w:rsidR="00AD77BB" w:rsidRDefault="00AD77BB">
      <w:pPr>
        <w:tabs>
          <w:tab w:val="left" w:pos="5547"/>
        </w:tabs>
        <w:spacing w:line="360" w:lineRule="auto"/>
        <w:rPr>
          <w:rFonts w:ascii="Calibri" w:eastAsia="Times New Roman" w:hAnsi="Calibri" w:cs="Times New Roman"/>
          <w:sz w:val="20"/>
          <w:szCs w:val="20"/>
        </w:rPr>
      </w:pPr>
    </w:p>
    <w:p w:rsidR="00AD77BB" w:rsidRDefault="00B45BA0">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Test Statistic for Hypothesis Tests Concerning theDifference Between Two Population Variances</w:t>
      </w:r>
    </w:p>
    <w:p w:rsidR="00AD77BB" w:rsidRDefault="00B45BA0">
      <w:pPr>
        <w:shd w:val="clear" w:color="auto" w:fill="F4F4F4"/>
        <w:spacing w:line="270" w:lineRule="atLeast"/>
        <w:textAlignment w:val="baseline"/>
        <w:rPr>
          <w:rFonts w:ascii="Calibri" w:hAnsi="Calibri"/>
          <w:color w:val="555555"/>
          <w:sz w:val="23"/>
          <w:szCs w:val="23"/>
        </w:rPr>
      </w:pPr>
      <w:r>
        <w:rPr>
          <w:rStyle w:val="informalequation"/>
          <w:rFonts w:ascii="Calibri" w:hAnsi="Calibri"/>
          <w:color w:val="555555"/>
          <w:sz w:val="23"/>
          <w:szCs w:val="23"/>
        </w:rPr>
        <w:t>F=s12s22</w:t>
      </w:r>
    </w:p>
    <w:p w:rsidR="00AD77BB" w:rsidRDefault="00B45BA0">
      <w:pPr>
        <w:pStyle w:val="para"/>
        <w:shd w:val="clear" w:color="auto" w:fill="F4F4F4"/>
        <w:spacing w:before="0" w:beforeAutospacing="0" w:after="0" w:afterAutospacing="0" w:line="360" w:lineRule="auto"/>
        <w:textAlignment w:val="baseline"/>
        <w:rPr>
          <w:rFonts w:ascii="Georgia" w:hAnsi="Georgia"/>
          <w:color w:val="333333"/>
          <w:sz w:val="20"/>
          <w:szCs w:val="20"/>
        </w:rPr>
      </w:pPr>
      <w:r>
        <w:rPr>
          <w:rFonts w:ascii="Georgia" w:hAnsi="Georgia"/>
          <w:color w:val="333333"/>
          <w:sz w:val="20"/>
          <w:szCs w:val="20"/>
        </w:rPr>
        <w:t>If the two populations are normally distributed and if</w:t>
      </w:r>
      <w:r>
        <w:rPr>
          <w:rStyle w:val="apple-converted-space"/>
          <w:rFonts w:ascii="Georgia" w:hAnsi="Georgia"/>
          <w:color w:val="333333"/>
          <w:sz w:val="20"/>
          <w:szCs w:val="20"/>
        </w:rPr>
        <w:t> </w:t>
      </w:r>
      <w:r>
        <w:rPr>
          <w:rStyle w:val="inlineequation"/>
          <w:rFonts w:ascii="Georgia" w:eastAsiaTheme="majorEastAsia" w:hAnsi="Georgia"/>
          <w:color w:val="333333"/>
          <w:sz w:val="20"/>
          <w:szCs w:val="20"/>
        </w:rPr>
        <w:t>H0:σ12=σ22</w:t>
      </w:r>
      <w:r>
        <w:rPr>
          <w:rStyle w:val="apple-converted-space"/>
          <w:rFonts w:ascii="Georgia" w:hAnsi="Georgia"/>
          <w:color w:val="333333"/>
          <w:sz w:val="20"/>
          <w:szCs w:val="20"/>
        </w:rPr>
        <w:t> </w:t>
      </w:r>
      <w:r>
        <w:rPr>
          <w:rFonts w:ascii="Georgia" w:hAnsi="Georgia"/>
          <w:color w:val="333333"/>
          <w:sz w:val="20"/>
          <w:szCs w:val="20"/>
        </w:rPr>
        <w:t>is true then under independent sampling</w:t>
      </w:r>
      <w:r>
        <w:rPr>
          <w:rStyle w:val="apple-converted-space"/>
          <w:rFonts w:ascii="Georgia" w:hAnsi="Georgia"/>
          <w:color w:val="333333"/>
          <w:sz w:val="20"/>
          <w:szCs w:val="20"/>
        </w:rPr>
        <w:t> </w:t>
      </w:r>
      <w:r>
        <w:rPr>
          <w:rStyle w:val="Emphasis"/>
          <w:rFonts w:ascii="Georgia" w:hAnsi="Georgia"/>
          <w:color w:val="333333"/>
          <w:sz w:val="20"/>
          <w:szCs w:val="20"/>
        </w:rPr>
        <w:t>F</w:t>
      </w:r>
      <w:r>
        <w:rPr>
          <w:rStyle w:val="apple-converted-space"/>
          <w:rFonts w:ascii="Georgia" w:hAnsi="Georgia"/>
          <w:color w:val="333333"/>
          <w:sz w:val="20"/>
          <w:szCs w:val="20"/>
        </w:rPr>
        <w:t> </w:t>
      </w:r>
      <w:r>
        <w:rPr>
          <w:rFonts w:ascii="Georgia" w:hAnsi="Georgia"/>
          <w:color w:val="333333"/>
          <w:sz w:val="20"/>
          <w:szCs w:val="20"/>
        </w:rPr>
        <w:t>approximately follows an</w:t>
      </w:r>
      <w:r>
        <w:rPr>
          <w:rStyle w:val="apple-converted-space"/>
          <w:rFonts w:ascii="Georgia" w:hAnsi="Georgia"/>
          <w:color w:val="333333"/>
          <w:sz w:val="20"/>
          <w:szCs w:val="20"/>
        </w:rPr>
        <w:t> </w:t>
      </w:r>
      <w:r>
        <w:rPr>
          <w:rStyle w:val="Emphasis"/>
          <w:rFonts w:ascii="Georgia" w:hAnsi="Georgia"/>
          <w:color w:val="333333"/>
          <w:sz w:val="20"/>
          <w:szCs w:val="20"/>
        </w:rPr>
        <w:t>F</w:t>
      </w:r>
      <w:r>
        <w:rPr>
          <w:rFonts w:ascii="Georgia" w:hAnsi="Georgia"/>
          <w:color w:val="333333"/>
          <w:sz w:val="20"/>
          <w:szCs w:val="20"/>
        </w:rPr>
        <w:t>-distribution with degrees of freedom</w:t>
      </w:r>
      <w:r>
        <w:rPr>
          <w:rStyle w:val="apple-converted-space"/>
          <w:rFonts w:ascii="Georgia" w:hAnsi="Georgia"/>
          <w:color w:val="333333"/>
          <w:sz w:val="20"/>
          <w:szCs w:val="20"/>
        </w:rPr>
        <w:t> </w:t>
      </w:r>
      <w:r>
        <w:rPr>
          <w:rStyle w:val="inlineequation"/>
          <w:rFonts w:ascii="Georgia" w:eastAsiaTheme="majorEastAsia" w:hAnsi="Georgia"/>
          <w:color w:val="333333"/>
          <w:sz w:val="20"/>
          <w:szCs w:val="20"/>
        </w:rPr>
        <w:t>df1=n1−1</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inlineequation"/>
          <w:rFonts w:ascii="Georgia" w:eastAsiaTheme="majorEastAsia" w:hAnsi="Georgia"/>
          <w:color w:val="333333"/>
          <w:sz w:val="20"/>
          <w:szCs w:val="20"/>
        </w:rPr>
        <w:t>df2=n2−1.</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 test based on the test statistic</w:t>
      </w:r>
      <w:r>
        <w:rPr>
          <w:rStyle w:val="apple-converted-space"/>
          <w:rFonts w:ascii="Georgia" w:hAnsi="Georgia"/>
          <w:color w:val="333333"/>
          <w:sz w:val="21"/>
          <w:szCs w:val="21"/>
        </w:rPr>
        <w:t> </w:t>
      </w:r>
      <w:r>
        <w:rPr>
          <w:rStyle w:val="inlineequation"/>
          <w:rFonts w:ascii="Georgia" w:eastAsiaTheme="majorEastAsia" w:hAnsi="Georgia"/>
          <w:color w:val="333333"/>
          <w:sz w:val="20"/>
          <w:szCs w:val="20"/>
        </w:rPr>
        <w:t>F</w:t>
      </w:r>
      <w:r>
        <w:rPr>
          <w:rStyle w:val="apple-converted-space"/>
          <w:rFonts w:ascii="Georgia" w:hAnsi="Georgia"/>
          <w:color w:val="333333"/>
          <w:sz w:val="21"/>
          <w:szCs w:val="21"/>
        </w:rPr>
        <w:t> </w:t>
      </w:r>
      <w:r>
        <w:rPr>
          <w:rFonts w:ascii="Georgia" w:hAnsi="Georgia"/>
          <w:color w:val="333333"/>
          <w:sz w:val="21"/>
          <w:szCs w:val="21"/>
        </w:rPr>
        <w:t>is called an</w:t>
      </w:r>
      <w:r>
        <w:rPr>
          <w:rStyle w:val="apple-converted-space"/>
          <w:rFonts w:ascii="Georgia" w:hAnsi="Georgia"/>
          <w:color w:val="333333"/>
          <w:sz w:val="21"/>
          <w:szCs w:val="21"/>
        </w:rPr>
        <w:t> </w:t>
      </w:r>
      <w:r>
        <w:rPr>
          <w:rStyle w:val="Emphasis"/>
          <w:rFonts w:ascii="Georgia" w:hAnsi="Georgia"/>
          <w:color w:val="333333"/>
          <w:sz w:val="20"/>
          <w:szCs w:val="20"/>
        </w:rPr>
        <w:t>F</w:t>
      </w:r>
      <w:r>
        <w:rPr>
          <w:rFonts w:ascii="Georgia" w:hAnsi="Georgia"/>
          <w:color w:val="333333"/>
          <w:sz w:val="21"/>
          <w:szCs w:val="21"/>
        </w:rPr>
        <w:t>-test.</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A most important point is that while the rejection region for a right-tailed test is exactly as in every other situation that we have encountered, because of the asymmetry in the</w:t>
      </w:r>
      <w:r>
        <w:rPr>
          <w:rStyle w:val="apple-converted-space"/>
          <w:rFonts w:ascii="Georgia" w:hAnsi="Georgia"/>
          <w:color w:val="333333"/>
          <w:sz w:val="21"/>
          <w:szCs w:val="21"/>
        </w:rPr>
        <w:t> </w:t>
      </w:r>
      <w:r>
        <w:rPr>
          <w:rStyle w:val="Emphasis"/>
          <w:rFonts w:ascii="Georgia" w:hAnsi="Georgia"/>
          <w:color w:val="333333"/>
          <w:sz w:val="20"/>
          <w:szCs w:val="20"/>
        </w:rPr>
        <w:t>F</w:t>
      </w:r>
      <w:r>
        <w:rPr>
          <w:rFonts w:ascii="Georgia" w:hAnsi="Georgia"/>
          <w:color w:val="333333"/>
          <w:sz w:val="21"/>
          <w:szCs w:val="21"/>
        </w:rPr>
        <w:t>-distribution the critical value for a left-tailed test and the lower critical value for a two-tailed test have the special forms shown in the following table:</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tbl>
      <w:tblPr>
        <w:tblW w:w="0" w:type="auto"/>
        <w:tblCellMar>
          <w:left w:w="0" w:type="dxa"/>
          <w:right w:w="0" w:type="dxa"/>
        </w:tblCellMar>
        <w:tblLook w:val="04A0" w:firstRow="1" w:lastRow="0" w:firstColumn="1" w:lastColumn="0" w:noHBand="0" w:noVBand="1"/>
      </w:tblPr>
      <w:tblGrid>
        <w:gridCol w:w="1194"/>
        <w:gridCol w:w="2049"/>
        <w:gridCol w:w="1748"/>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Terminology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Alternative Hypothesis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Rejection Region</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Right-tailed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inlineequation"/>
                <w:sz w:val="20"/>
                <w:szCs w:val="20"/>
              </w:rPr>
              <w:t>Ha:σ12&gt;σ22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inlineequation"/>
                <w:sz w:val="20"/>
                <w:szCs w:val="20"/>
              </w:rPr>
              <w:t>F≥Fα</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Left-tailed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inlineequation"/>
                <w:sz w:val="20"/>
                <w:szCs w:val="20"/>
              </w:rPr>
              <w:t>Ha:σ12&lt;σ22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inlineequation"/>
                <w:sz w:val="20"/>
                <w:szCs w:val="20"/>
              </w:rPr>
              <w:t>F≤F1−α</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Two-tailed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inlineequation"/>
                <w:sz w:val="20"/>
                <w:szCs w:val="20"/>
              </w:rPr>
              <w:t>Ha:σ12≠σ22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line="360" w:lineRule="auto"/>
              <w:jc w:val="center"/>
              <w:rPr>
                <w:sz w:val="20"/>
                <w:szCs w:val="20"/>
              </w:rPr>
            </w:pPr>
            <w:r>
              <w:rPr>
                <w:rStyle w:val="inlineequation"/>
                <w:sz w:val="20"/>
                <w:szCs w:val="20"/>
              </w:rPr>
              <w:t>F≤F1−α∕2</w:t>
            </w:r>
            <w:r>
              <w:rPr>
                <w:rStyle w:val="apple-converted-space"/>
                <w:sz w:val="20"/>
                <w:szCs w:val="20"/>
              </w:rPr>
              <w:t> </w:t>
            </w:r>
            <w:r>
              <w:rPr>
                <w:sz w:val="20"/>
                <w:szCs w:val="20"/>
              </w:rPr>
              <w:t>or</w:t>
            </w:r>
            <w:r>
              <w:rPr>
                <w:rStyle w:val="apple-converted-space"/>
                <w:sz w:val="20"/>
                <w:szCs w:val="20"/>
              </w:rPr>
              <w:t> </w:t>
            </w:r>
            <w:r>
              <w:rPr>
                <w:rStyle w:val="inlineequation"/>
                <w:sz w:val="20"/>
                <w:szCs w:val="20"/>
              </w:rPr>
              <w:t>F≥Fα∕2</w:t>
            </w:r>
          </w:p>
        </w:tc>
      </w:tr>
    </w:tbl>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2689C6"/>
          <w:sz w:val="21"/>
          <w:szCs w:val="21"/>
        </w:rPr>
        <w:t>Figure 11.9 "Rejection Regions: (a) Right-Tailed; (b) Left-Tailed; (c) Two-Tailed"</w:t>
      </w:r>
      <w:r>
        <w:rPr>
          <w:rStyle w:val="apple-converted-space"/>
          <w:rFonts w:ascii="Georgia" w:hAnsi="Georgia"/>
          <w:color w:val="333333"/>
          <w:sz w:val="21"/>
          <w:szCs w:val="21"/>
        </w:rPr>
        <w:t> </w:t>
      </w:r>
      <w:r>
        <w:rPr>
          <w:rFonts w:ascii="Georgia" w:hAnsi="Georgia"/>
          <w:color w:val="333333"/>
          <w:sz w:val="21"/>
          <w:szCs w:val="21"/>
        </w:rPr>
        <w:t>illustrates these rejection regions.</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Title9"/>
        <w:shd w:val="clear" w:color="auto" w:fill="FFFFFF"/>
        <w:spacing w:before="0" w:beforeAutospacing="0" w:after="0" w:afterAutospacing="0" w:line="439" w:lineRule="atLeast"/>
        <w:textAlignment w:val="baseline"/>
        <w:rPr>
          <w:rFonts w:ascii="Georgia" w:hAnsi="Georgia"/>
          <w:i/>
          <w:iCs/>
          <w:color w:val="BB9966"/>
          <w:sz w:val="22"/>
          <w:szCs w:val="22"/>
        </w:rPr>
      </w:pPr>
      <w:r>
        <w:rPr>
          <w:rStyle w:val="title-prefix"/>
          <w:rFonts w:ascii="Georgia" w:eastAsiaTheme="majorEastAsia" w:hAnsi="Georgia"/>
          <w:i/>
          <w:iCs/>
          <w:color w:val="000000"/>
          <w:sz w:val="20"/>
          <w:szCs w:val="20"/>
        </w:rPr>
        <w:t>Figure 11.9</w:t>
      </w:r>
      <w:r>
        <w:rPr>
          <w:rStyle w:val="apple-converted-space"/>
          <w:rFonts w:ascii="Georgia" w:hAnsi="Georgia"/>
          <w:i/>
          <w:iCs/>
          <w:color w:val="BB9966"/>
          <w:sz w:val="22"/>
          <w:szCs w:val="22"/>
        </w:rPr>
        <w:t> </w:t>
      </w:r>
      <w:r>
        <w:rPr>
          <w:rFonts w:ascii="Georgia" w:hAnsi="Georgia"/>
          <w:i/>
          <w:iCs/>
          <w:color w:val="BB9966"/>
          <w:sz w:val="22"/>
          <w:szCs w:val="22"/>
        </w:rPr>
        <w:t>Rejection Regions: (a) Right-Tailed; (b) Left-Tailed; (c) Two-Tailed</w:t>
      </w:r>
    </w:p>
    <w:p w:rsidR="00AD77BB" w:rsidRDefault="00B45BA0">
      <w:pPr>
        <w:shd w:val="clear" w:color="auto" w:fill="FFFFFF"/>
        <w:spacing w:line="270" w:lineRule="atLeast"/>
        <w:textAlignment w:val="baseline"/>
        <w:rPr>
          <w:rFonts w:ascii="Calibri" w:hAnsi="Calibri"/>
          <w:color w:val="555555"/>
          <w:sz w:val="27"/>
          <w:szCs w:val="27"/>
        </w:rPr>
      </w:pPr>
      <w:r>
        <w:rPr>
          <w:rFonts w:ascii="Calibri" w:hAnsi="Calibri"/>
          <w:noProof/>
          <w:color w:val="2689C6"/>
          <w:sz w:val="27"/>
          <w:szCs w:val="27"/>
        </w:rPr>
        <w:drawing>
          <wp:inline distT="0" distB="0" distL="0" distR="0" wp14:anchorId="37F06F44" wp14:editId="1DE95933">
            <wp:extent cx="4733925" cy="2581275"/>
            <wp:effectExtent l="0" t="0" r="9525" b="9525"/>
            <wp:docPr id="452" name="Picture 474" descr="http://images.flatworldknowledge.com/shafer/shafer-fig11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http://images.flatworldknowledge.com/shafer/shafer-fig11_009.jpg"/>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4733925" cy="2581275"/>
                    </a:xfrm>
                    <a:prstGeom prst="rect">
                      <a:avLst/>
                    </a:prstGeom>
                    <a:noFill/>
                    <a:ln>
                      <a:noFill/>
                    </a:ln>
                  </pic:spPr>
                </pic:pic>
              </a:graphicData>
            </a:graphic>
          </wp:inline>
        </w:drawing>
      </w:r>
    </w:p>
    <w:p w:rsidR="00AD77BB" w:rsidRDefault="00AD77BB">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rsidR="00AD77BB" w:rsidRDefault="00B45BA0">
      <w:pPr>
        <w:tabs>
          <w:tab w:val="left" w:pos="5547"/>
        </w:tabs>
        <w:spacing w:line="360" w:lineRule="auto"/>
        <w:rPr>
          <w:rFonts w:ascii="Georgia" w:hAnsi="Georgia"/>
          <w:color w:val="333333"/>
          <w:sz w:val="20"/>
          <w:szCs w:val="20"/>
          <w:shd w:val="clear" w:color="auto" w:fill="FFFFFF"/>
        </w:rPr>
      </w:pPr>
      <w:r>
        <w:rPr>
          <w:rFonts w:ascii="Georgia" w:hAnsi="Georgia"/>
          <w:color w:val="333333"/>
          <w:sz w:val="20"/>
          <w:szCs w:val="20"/>
          <w:shd w:val="clear" w:color="auto" w:fill="FFFFFF"/>
        </w:rPr>
        <w:t>The test is performed using the usual five-step procedure described at the end of</w:t>
      </w:r>
      <w:r>
        <w:rPr>
          <w:rStyle w:val="apple-converted-space"/>
          <w:rFonts w:ascii="Georgia" w:hAnsi="Georgia"/>
          <w:color w:val="333333"/>
          <w:sz w:val="20"/>
          <w:szCs w:val="20"/>
          <w:shd w:val="clear" w:color="auto" w:fill="FFFFFF"/>
        </w:rPr>
        <w:t> </w:t>
      </w:r>
      <w:r>
        <w:rPr>
          <w:rFonts w:ascii="Georgia" w:hAnsi="Georgia"/>
          <w:color w:val="2689C6"/>
          <w:sz w:val="20"/>
          <w:szCs w:val="20"/>
          <w:shd w:val="clear" w:color="auto" w:fill="FFFFFF"/>
        </w:rPr>
        <w:t>Section 8.1 "The Elements of Hypothesis Testing"</w:t>
      </w:r>
      <w:r>
        <w:rPr>
          <w:rStyle w:val="apple-converted-space"/>
          <w:rFonts w:ascii="Georgia" w:hAnsi="Georgia"/>
          <w:color w:val="333333"/>
          <w:sz w:val="20"/>
          <w:szCs w:val="20"/>
          <w:shd w:val="clear" w:color="auto" w:fill="FFFFFF"/>
        </w:rPr>
        <w:t> </w:t>
      </w:r>
      <w:r>
        <w:rPr>
          <w:rFonts w:ascii="Georgia" w:hAnsi="Georgia"/>
          <w:color w:val="333333"/>
          <w:sz w:val="20"/>
          <w:szCs w:val="20"/>
          <w:shd w:val="clear" w:color="auto" w:fill="FFFFFF"/>
        </w:rPr>
        <w:t>in</w:t>
      </w:r>
      <w:r>
        <w:rPr>
          <w:rStyle w:val="apple-converted-space"/>
          <w:rFonts w:ascii="Georgia" w:hAnsi="Georgia"/>
          <w:color w:val="333333"/>
          <w:sz w:val="20"/>
          <w:szCs w:val="20"/>
          <w:shd w:val="clear" w:color="auto" w:fill="FFFFFF"/>
        </w:rPr>
        <w:t> </w:t>
      </w:r>
      <w:r>
        <w:rPr>
          <w:rFonts w:ascii="Georgia" w:hAnsi="Georgia"/>
          <w:color w:val="2689C6"/>
          <w:sz w:val="20"/>
          <w:szCs w:val="20"/>
          <w:shd w:val="clear" w:color="auto" w:fill="FFFFFF"/>
        </w:rPr>
        <w:t>Chapter 8 "Testing Hypotheses"</w:t>
      </w:r>
      <w:r>
        <w:rPr>
          <w:rFonts w:ascii="Georgia" w:hAnsi="Georgia"/>
          <w:color w:val="333333"/>
          <w:sz w:val="20"/>
          <w:szCs w:val="20"/>
          <w:shd w:val="clear" w:color="auto" w:fill="FFFFFF"/>
        </w:rPr>
        <w:t>.</w:t>
      </w:r>
    </w:p>
    <w:p w:rsidR="00AD77BB" w:rsidRDefault="00AD77BB">
      <w:pPr>
        <w:tabs>
          <w:tab w:val="left" w:pos="5547"/>
        </w:tabs>
        <w:spacing w:line="360" w:lineRule="auto"/>
        <w:rPr>
          <w:rFonts w:ascii="Georgia" w:hAnsi="Georgia"/>
          <w:color w:val="333333"/>
          <w:sz w:val="20"/>
          <w:szCs w:val="20"/>
          <w:shd w:val="clear" w:color="auto" w:fill="FFFFFF"/>
        </w:rPr>
      </w:pPr>
    </w:p>
    <w:p w:rsidR="00AD77BB" w:rsidRDefault="00AD77BB">
      <w:pPr>
        <w:tabs>
          <w:tab w:val="left" w:pos="5547"/>
        </w:tabs>
        <w:spacing w:line="360" w:lineRule="auto"/>
        <w:rPr>
          <w:rFonts w:ascii="Georgia" w:hAnsi="Georgia"/>
          <w:color w:val="333333"/>
          <w:sz w:val="20"/>
          <w:szCs w:val="20"/>
          <w:shd w:val="clear" w:color="auto" w:fill="FFFFFF"/>
        </w:rPr>
      </w:pP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6</w:t>
      </w:r>
    </w:p>
    <w:p w:rsidR="00AD77BB" w:rsidRDefault="00B45BA0">
      <w:pPr>
        <w:pStyle w:val="para"/>
        <w:spacing w:before="0" w:beforeAutospacing="0" w:after="0" w:afterAutospacing="0" w:line="360" w:lineRule="auto"/>
        <w:ind w:left="302" w:right="374"/>
        <w:textAlignment w:val="baseline"/>
        <w:rPr>
          <w:rFonts w:ascii="Calibri" w:hAnsi="Calibri"/>
          <w:color w:val="333333"/>
          <w:sz w:val="21"/>
          <w:szCs w:val="21"/>
        </w:rPr>
      </w:pPr>
      <w:r>
        <w:rPr>
          <w:rFonts w:ascii="Calibri" w:hAnsi="Calibri"/>
          <w:color w:val="333333"/>
          <w:sz w:val="21"/>
          <w:szCs w:val="21"/>
        </w:rPr>
        <w:t>One of the quality measures of blood glucose meter strips is the consistency of the test results on the same sample of blood. The consistency is measured by the variance of the readings in repeated testing. Suppose two types of strips,</w:t>
      </w:r>
      <w:r>
        <w:rPr>
          <w:rStyle w:val="apple-converted-space"/>
          <w:rFonts w:ascii="Calibri" w:hAnsi="Calibri"/>
          <w:color w:val="333333"/>
          <w:sz w:val="21"/>
          <w:szCs w:val="21"/>
        </w:rPr>
        <w:t> </w:t>
      </w:r>
      <w:r>
        <w:rPr>
          <w:rStyle w:val="Emphasis"/>
          <w:rFonts w:ascii="Calibri" w:hAnsi="Calibri"/>
          <w:color w:val="333333"/>
          <w:sz w:val="20"/>
          <w:szCs w:val="20"/>
        </w:rPr>
        <w:t>A</w:t>
      </w:r>
      <w:r>
        <w:rPr>
          <w:rStyle w:val="apple-converted-space"/>
          <w:rFonts w:ascii="Calibri" w:hAnsi="Calibri"/>
          <w:color w:val="333333"/>
          <w:sz w:val="21"/>
          <w:szCs w:val="21"/>
        </w:rPr>
        <w:t> </w:t>
      </w:r>
      <w:r>
        <w:rPr>
          <w:rFonts w:ascii="Calibri" w:hAnsi="Calibri"/>
          <w:color w:val="333333"/>
          <w:sz w:val="21"/>
          <w:szCs w:val="21"/>
        </w:rPr>
        <w:t>and</w:t>
      </w:r>
      <w:r>
        <w:rPr>
          <w:rStyle w:val="apple-converted-space"/>
          <w:rFonts w:ascii="Calibri" w:hAnsi="Calibri"/>
          <w:color w:val="333333"/>
          <w:sz w:val="21"/>
          <w:szCs w:val="21"/>
        </w:rPr>
        <w:t> </w:t>
      </w:r>
      <w:r>
        <w:rPr>
          <w:rStyle w:val="Emphasis"/>
          <w:rFonts w:ascii="Calibri" w:hAnsi="Calibri"/>
          <w:color w:val="333333"/>
          <w:sz w:val="20"/>
          <w:szCs w:val="20"/>
        </w:rPr>
        <w:t>B</w:t>
      </w:r>
      <w:r>
        <w:rPr>
          <w:rFonts w:ascii="Calibri" w:hAnsi="Calibri"/>
          <w:color w:val="333333"/>
          <w:sz w:val="21"/>
          <w:szCs w:val="21"/>
        </w:rPr>
        <w:t>, are</w:t>
      </w:r>
      <w:r>
        <w:rPr>
          <w:rStyle w:val="apple-converted-space"/>
          <w:rFonts w:ascii="Calibri" w:hAnsi="Calibri"/>
          <w:color w:val="333333"/>
          <w:sz w:val="21"/>
          <w:szCs w:val="21"/>
        </w:rPr>
        <w:t> </w:t>
      </w:r>
      <w:r>
        <w:rPr>
          <w:rFonts w:ascii="Calibri" w:hAnsi="Calibri"/>
          <w:color w:val="333333"/>
          <w:sz w:val="21"/>
          <w:szCs w:val="21"/>
        </w:rPr>
        <w:t>compared for their respective consistencies. We arbitrarily label the population of Type</w:t>
      </w:r>
      <w:r>
        <w:rPr>
          <w:rStyle w:val="apple-converted-space"/>
          <w:rFonts w:ascii="Calibri" w:hAnsi="Calibri"/>
          <w:color w:val="333333"/>
          <w:sz w:val="21"/>
          <w:szCs w:val="21"/>
        </w:rPr>
        <w:t> </w:t>
      </w:r>
      <w:r>
        <w:rPr>
          <w:rStyle w:val="Emphasis"/>
          <w:rFonts w:ascii="Calibri" w:hAnsi="Calibri"/>
          <w:color w:val="333333"/>
          <w:sz w:val="20"/>
          <w:szCs w:val="20"/>
        </w:rPr>
        <w:t>A</w:t>
      </w:r>
      <w:r>
        <w:rPr>
          <w:rFonts w:ascii="Calibri" w:hAnsi="Calibri"/>
          <w:color w:val="333333"/>
          <w:sz w:val="21"/>
          <w:szCs w:val="21"/>
        </w:rPr>
        <w:t>strips Population 1 and the population of Type</w:t>
      </w:r>
      <w:r>
        <w:rPr>
          <w:rStyle w:val="apple-converted-space"/>
          <w:rFonts w:ascii="Calibri" w:hAnsi="Calibri"/>
          <w:color w:val="333333"/>
          <w:sz w:val="21"/>
          <w:szCs w:val="21"/>
        </w:rPr>
        <w:t> </w:t>
      </w:r>
      <w:r>
        <w:rPr>
          <w:rStyle w:val="Emphasis"/>
          <w:rFonts w:ascii="Calibri" w:hAnsi="Calibri"/>
          <w:color w:val="333333"/>
          <w:sz w:val="20"/>
          <w:szCs w:val="20"/>
        </w:rPr>
        <w:t>B</w:t>
      </w:r>
      <w:r>
        <w:rPr>
          <w:rStyle w:val="apple-converted-space"/>
          <w:rFonts w:ascii="Calibri" w:hAnsi="Calibri"/>
          <w:color w:val="333333"/>
          <w:sz w:val="21"/>
          <w:szCs w:val="21"/>
        </w:rPr>
        <w:t> </w:t>
      </w:r>
      <w:r>
        <w:rPr>
          <w:rFonts w:ascii="Calibri" w:hAnsi="Calibri"/>
          <w:color w:val="333333"/>
          <w:sz w:val="21"/>
          <w:szCs w:val="21"/>
        </w:rPr>
        <w:t>strips Population 2. Suppose 15 Type</w:t>
      </w:r>
      <w:r>
        <w:rPr>
          <w:rStyle w:val="apple-converted-space"/>
          <w:rFonts w:ascii="Calibri" w:hAnsi="Calibri"/>
          <w:color w:val="333333"/>
          <w:sz w:val="21"/>
          <w:szCs w:val="21"/>
        </w:rPr>
        <w:t> </w:t>
      </w:r>
      <w:r>
        <w:rPr>
          <w:rStyle w:val="Emphasis"/>
          <w:rFonts w:ascii="Calibri" w:hAnsi="Calibri"/>
          <w:color w:val="333333"/>
          <w:sz w:val="20"/>
          <w:szCs w:val="20"/>
        </w:rPr>
        <w:t>A</w:t>
      </w:r>
      <w:r>
        <w:rPr>
          <w:rStyle w:val="apple-converted-space"/>
          <w:rFonts w:ascii="Calibri" w:hAnsi="Calibri"/>
          <w:color w:val="333333"/>
          <w:sz w:val="21"/>
          <w:szCs w:val="21"/>
        </w:rPr>
        <w:t> </w:t>
      </w:r>
      <w:r>
        <w:rPr>
          <w:rFonts w:ascii="Calibri" w:hAnsi="Calibri"/>
          <w:color w:val="333333"/>
          <w:sz w:val="21"/>
          <w:szCs w:val="21"/>
        </w:rPr>
        <w:t>strips were tested with blood drops from a well-shaken vial and 20 Type</w:t>
      </w:r>
      <w:r>
        <w:rPr>
          <w:rStyle w:val="apple-converted-space"/>
          <w:rFonts w:ascii="Calibri" w:hAnsi="Calibri"/>
          <w:color w:val="333333"/>
          <w:sz w:val="21"/>
          <w:szCs w:val="21"/>
        </w:rPr>
        <w:t> </w:t>
      </w:r>
      <w:r>
        <w:rPr>
          <w:rStyle w:val="Emphasis"/>
          <w:rFonts w:ascii="Calibri" w:hAnsi="Calibri"/>
          <w:color w:val="333333"/>
          <w:sz w:val="20"/>
          <w:szCs w:val="20"/>
        </w:rPr>
        <w:t>B</w:t>
      </w:r>
      <w:r>
        <w:rPr>
          <w:rStyle w:val="apple-converted-space"/>
          <w:rFonts w:ascii="Calibri" w:hAnsi="Calibri"/>
          <w:color w:val="333333"/>
          <w:sz w:val="21"/>
          <w:szCs w:val="21"/>
        </w:rPr>
        <w:t> </w:t>
      </w:r>
      <w:r>
        <w:rPr>
          <w:rFonts w:ascii="Calibri" w:hAnsi="Calibri"/>
          <w:color w:val="333333"/>
          <w:sz w:val="21"/>
          <w:szCs w:val="21"/>
        </w:rPr>
        <w:t>strips were tested with the blood from the same vial. The results are summarized in</w:t>
      </w:r>
      <w:r>
        <w:rPr>
          <w:rStyle w:val="apple-converted-space"/>
          <w:rFonts w:ascii="Calibri" w:hAnsi="Calibri"/>
          <w:color w:val="333333"/>
          <w:sz w:val="21"/>
          <w:szCs w:val="21"/>
        </w:rPr>
        <w:t> </w:t>
      </w:r>
      <w:r>
        <w:rPr>
          <w:rFonts w:ascii="Calibri" w:eastAsiaTheme="majorEastAsia" w:hAnsi="Calibri"/>
          <w:color w:val="2689C6"/>
          <w:sz w:val="21"/>
          <w:szCs w:val="21"/>
        </w:rPr>
        <w:t>Table 11.16 "Two Types of Test Strips"</w:t>
      </w:r>
      <w:r>
        <w:rPr>
          <w:rFonts w:ascii="Calibri" w:hAnsi="Calibri"/>
          <w:color w:val="333333"/>
          <w:sz w:val="21"/>
          <w:szCs w:val="21"/>
        </w:rPr>
        <w:t>. Assume the glucose readings using Type</w:t>
      </w:r>
      <w:r>
        <w:rPr>
          <w:rStyle w:val="apple-converted-space"/>
          <w:rFonts w:ascii="Calibri" w:hAnsi="Calibri"/>
          <w:color w:val="333333"/>
          <w:sz w:val="21"/>
          <w:szCs w:val="21"/>
        </w:rPr>
        <w:t> </w:t>
      </w:r>
      <w:r>
        <w:rPr>
          <w:rStyle w:val="Emphasis"/>
          <w:rFonts w:ascii="Calibri" w:hAnsi="Calibri"/>
          <w:color w:val="333333"/>
          <w:sz w:val="20"/>
          <w:szCs w:val="20"/>
        </w:rPr>
        <w:t>A</w:t>
      </w:r>
      <w:r>
        <w:rPr>
          <w:rStyle w:val="apple-converted-space"/>
          <w:rFonts w:ascii="Calibri" w:hAnsi="Calibri"/>
          <w:color w:val="333333"/>
          <w:sz w:val="21"/>
          <w:szCs w:val="21"/>
        </w:rPr>
        <w:t> </w:t>
      </w:r>
      <w:r>
        <w:rPr>
          <w:rFonts w:ascii="Calibri" w:hAnsi="Calibri"/>
          <w:color w:val="333333"/>
          <w:sz w:val="21"/>
          <w:szCs w:val="21"/>
        </w:rPr>
        <w:t>strips follow a normal distribution with variance</w:t>
      </w:r>
      <w:r>
        <w:rPr>
          <w:rStyle w:val="apple-converted-space"/>
          <w:rFonts w:ascii="Calibri" w:hAnsi="Calibri"/>
          <w:color w:val="333333"/>
          <w:sz w:val="21"/>
          <w:szCs w:val="21"/>
        </w:rPr>
        <w:t> </w:t>
      </w:r>
      <w:r>
        <w:rPr>
          <w:rStyle w:val="mi"/>
          <w:rFonts w:ascii="MathJax_Math" w:hAnsi="MathJax_Math"/>
          <w:i/>
          <w:iCs/>
          <w:color w:val="333333"/>
          <w:sz w:val="17"/>
          <w:szCs w:val="17"/>
        </w:rPr>
        <w:t>σ</w:t>
      </w:r>
      <w:r>
        <w:rPr>
          <w:rStyle w:val="mn"/>
          <w:rFonts w:ascii="MathJax_Main" w:hAnsi="MathJax_Main"/>
          <w:color w:val="333333"/>
          <w:sz w:val="12"/>
          <w:szCs w:val="12"/>
        </w:rPr>
        <w:t>21</w:t>
      </w:r>
      <w:r>
        <w:rPr>
          <w:rStyle w:val="apple-converted-space"/>
          <w:rFonts w:ascii="Calibri" w:hAnsi="Calibri"/>
          <w:color w:val="333333"/>
          <w:sz w:val="21"/>
          <w:szCs w:val="21"/>
        </w:rPr>
        <w:t> </w:t>
      </w:r>
      <w:r>
        <w:rPr>
          <w:rFonts w:ascii="Calibri" w:hAnsi="Calibri"/>
          <w:color w:val="333333"/>
          <w:sz w:val="21"/>
          <w:szCs w:val="21"/>
        </w:rPr>
        <w:t>and those using Type</w:t>
      </w:r>
      <w:r>
        <w:rPr>
          <w:rStyle w:val="apple-converted-space"/>
          <w:rFonts w:ascii="Calibri" w:hAnsi="Calibri"/>
          <w:color w:val="333333"/>
          <w:sz w:val="21"/>
          <w:szCs w:val="21"/>
        </w:rPr>
        <w:t> </w:t>
      </w:r>
      <w:r>
        <w:rPr>
          <w:rStyle w:val="Emphasis"/>
          <w:rFonts w:ascii="Calibri" w:hAnsi="Calibri"/>
          <w:color w:val="333333"/>
          <w:sz w:val="20"/>
          <w:szCs w:val="20"/>
        </w:rPr>
        <w:t>B</w:t>
      </w:r>
      <w:r>
        <w:rPr>
          <w:rStyle w:val="apple-converted-space"/>
          <w:rFonts w:ascii="Calibri" w:hAnsi="Calibri"/>
          <w:color w:val="333333"/>
          <w:sz w:val="21"/>
          <w:szCs w:val="21"/>
        </w:rPr>
        <w:t> </w:t>
      </w:r>
      <w:r>
        <w:rPr>
          <w:rFonts w:ascii="Calibri" w:hAnsi="Calibri"/>
          <w:color w:val="333333"/>
          <w:sz w:val="21"/>
          <w:szCs w:val="21"/>
        </w:rPr>
        <w:t>strips follow a normal distribution with variance with</w:t>
      </w:r>
      <w:r>
        <w:rPr>
          <w:rStyle w:val="apple-converted-space"/>
          <w:rFonts w:ascii="Calibri" w:hAnsi="Calibri"/>
          <w:color w:val="333333"/>
          <w:sz w:val="21"/>
          <w:szCs w:val="21"/>
        </w:rPr>
        <w:t> </w:t>
      </w:r>
      <w:r>
        <w:rPr>
          <w:rStyle w:val="mi"/>
          <w:rFonts w:ascii="MathJax_Math" w:hAnsi="MathJax_Math"/>
          <w:i/>
          <w:iCs/>
          <w:color w:val="333333"/>
          <w:sz w:val="17"/>
          <w:szCs w:val="17"/>
        </w:rPr>
        <w:t>σ</w:t>
      </w:r>
      <w:r>
        <w:rPr>
          <w:rStyle w:val="mn"/>
          <w:rFonts w:ascii="MathJax_Main" w:hAnsi="MathJax_Main"/>
          <w:color w:val="333333"/>
          <w:sz w:val="12"/>
          <w:szCs w:val="12"/>
        </w:rPr>
        <w:t>22</w:t>
      </w:r>
      <w:r>
        <w:rPr>
          <w:rStyle w:val="mo"/>
          <w:rFonts w:ascii="MathJax_Main" w:hAnsi="MathJax_Main"/>
          <w:color w:val="333333"/>
          <w:sz w:val="17"/>
          <w:szCs w:val="17"/>
        </w:rPr>
        <w:t>.</w:t>
      </w:r>
      <w:r>
        <w:rPr>
          <w:rStyle w:val="apple-converted-space"/>
          <w:rFonts w:ascii="Calibri" w:hAnsi="Calibri"/>
          <w:color w:val="333333"/>
          <w:sz w:val="21"/>
          <w:szCs w:val="21"/>
        </w:rPr>
        <w:t> </w:t>
      </w:r>
      <w:r>
        <w:rPr>
          <w:rFonts w:ascii="Calibri" w:hAnsi="Calibri"/>
          <w:color w:val="333333"/>
          <w:sz w:val="21"/>
          <w:szCs w:val="21"/>
        </w:rPr>
        <w:t>Test, at the 10% level of significance, whether the data provide sufficient evidence to conclude that the consistencies of the two types of strips are different.</w:t>
      </w:r>
    </w:p>
    <w:p w:rsidR="00AD77BB" w:rsidRDefault="00B45BA0">
      <w:pPr>
        <w:tabs>
          <w:tab w:val="left" w:pos="5547"/>
        </w:tabs>
        <w:spacing w:line="360" w:lineRule="auto"/>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1C0FB6AC" wp14:editId="21DFA05B">
            <wp:extent cx="4171950" cy="5153025"/>
            <wp:effectExtent l="0" t="0" r="0" b="9525"/>
            <wp:docPr id="453"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171950" cy="5153025"/>
                    </a:xfrm>
                    <a:prstGeom prst="rect">
                      <a:avLst/>
                    </a:prstGeom>
                    <a:noFill/>
                    <a:ln>
                      <a:noFill/>
                    </a:ln>
                  </pic:spPr>
                </pic:pic>
              </a:graphicData>
            </a:graphic>
          </wp:inline>
        </w:drawing>
      </w:r>
    </w:p>
    <w:p w:rsidR="00AD77BB" w:rsidRDefault="00B45BA0">
      <w:pPr>
        <w:tabs>
          <w:tab w:val="left" w:pos="5547"/>
        </w:tabs>
        <w:spacing w:line="360" w:lineRule="auto"/>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1B177B8F" wp14:editId="6EEBCEC6">
            <wp:extent cx="4781550" cy="7143750"/>
            <wp:effectExtent l="0" t="0" r="0" b="0"/>
            <wp:docPr id="454"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4781550" cy="7143750"/>
                    </a:xfrm>
                    <a:prstGeom prst="rect">
                      <a:avLst/>
                    </a:prstGeom>
                    <a:noFill/>
                    <a:ln>
                      <a:noFill/>
                    </a:ln>
                  </pic:spPr>
                </pic:pic>
              </a:graphicData>
            </a:graphic>
          </wp:inline>
        </w:drawing>
      </w:r>
    </w:p>
    <w:p w:rsidR="00AD77BB" w:rsidRDefault="00B45BA0">
      <w:pPr>
        <w:tabs>
          <w:tab w:val="left" w:pos="5547"/>
        </w:tabs>
        <w:spacing w:line="360" w:lineRule="auto"/>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67687A1D" wp14:editId="2E2191DD">
            <wp:extent cx="4743450" cy="5057775"/>
            <wp:effectExtent l="0" t="0" r="0" b="9525"/>
            <wp:docPr id="455"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743450" cy="5057775"/>
                    </a:xfrm>
                    <a:prstGeom prst="rect">
                      <a:avLst/>
                    </a:prstGeom>
                    <a:noFill/>
                    <a:ln>
                      <a:noFill/>
                    </a:ln>
                  </pic:spPr>
                </pic:pic>
              </a:graphicData>
            </a:graphic>
          </wp:inline>
        </w:drawing>
      </w:r>
    </w:p>
    <w:p w:rsidR="00AD77BB" w:rsidRDefault="00B45BA0">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KEY TAKEAWAYS</w:t>
      </w:r>
    </w:p>
    <w:p w:rsidR="00AD77BB" w:rsidRDefault="00B45BA0">
      <w:pPr>
        <w:numPr>
          <w:ilvl w:val="0"/>
          <w:numId w:val="324"/>
        </w:numPr>
        <w:spacing w:after="0" w:line="360" w:lineRule="auto"/>
        <w:ind w:left="360" w:right="374"/>
        <w:textAlignment w:val="baseline"/>
        <w:rPr>
          <w:rFonts w:ascii="Calibri" w:hAnsi="Calibri"/>
          <w:color w:val="333333"/>
          <w:sz w:val="20"/>
          <w:szCs w:val="20"/>
        </w:rPr>
      </w:pPr>
      <w:r>
        <w:rPr>
          <w:rFonts w:ascii="Calibri" w:hAnsi="Calibri"/>
          <w:color w:val="333333"/>
          <w:sz w:val="20"/>
          <w:szCs w:val="20"/>
        </w:rPr>
        <w:t>Critical values of an</w:t>
      </w:r>
      <w:r>
        <w:rPr>
          <w:rStyle w:val="apple-converted-space"/>
          <w:rFonts w:ascii="Calibri" w:hAnsi="Calibri"/>
          <w:color w:val="333333"/>
          <w:sz w:val="20"/>
          <w:szCs w:val="20"/>
        </w:rPr>
        <w:t> </w:t>
      </w:r>
      <w:r>
        <w:rPr>
          <w:rStyle w:val="Emphasis"/>
          <w:rFonts w:ascii="Calibri" w:hAnsi="Calibri"/>
          <w:color w:val="333333"/>
          <w:sz w:val="20"/>
          <w:szCs w:val="20"/>
        </w:rPr>
        <w:t>F</w:t>
      </w:r>
      <w:r>
        <w:rPr>
          <w:rFonts w:ascii="Calibri" w:hAnsi="Calibri"/>
          <w:color w:val="333333"/>
          <w:sz w:val="20"/>
          <w:szCs w:val="20"/>
        </w:rPr>
        <w:t>-distribution with degrees of freedom</w:t>
      </w:r>
      <w:r>
        <w:rPr>
          <w:rStyle w:val="apple-converted-space"/>
          <w:rFonts w:ascii="Calibri" w:hAnsi="Calibri"/>
          <w:color w:val="333333"/>
          <w:sz w:val="20"/>
          <w:szCs w:val="20"/>
        </w:rPr>
        <w:t> </w:t>
      </w:r>
      <w:r>
        <w:rPr>
          <w:rStyle w:val="mi"/>
          <w:rFonts w:ascii="MathJax_Math" w:hAnsi="MathJax_Math"/>
          <w:i/>
          <w:iCs/>
          <w:color w:val="333333"/>
          <w:sz w:val="17"/>
          <w:szCs w:val="17"/>
        </w:rPr>
        <w:t>df</w:t>
      </w:r>
      <w:r>
        <w:rPr>
          <w:rStyle w:val="mn"/>
          <w:rFonts w:ascii="MathJax_Main" w:hAnsi="MathJax_Main"/>
          <w:color w:val="333333"/>
          <w:sz w:val="12"/>
          <w:szCs w:val="12"/>
        </w:rPr>
        <w:t>1</w:t>
      </w:r>
      <w:r>
        <w:rPr>
          <w:rStyle w:val="apple-converted-space"/>
          <w:rFonts w:ascii="Calibri" w:hAnsi="Calibri"/>
          <w:color w:val="333333"/>
          <w:sz w:val="20"/>
          <w:szCs w:val="20"/>
        </w:rPr>
        <w:t> </w:t>
      </w:r>
      <w:r>
        <w:rPr>
          <w:rFonts w:ascii="Calibri" w:hAnsi="Calibri"/>
          <w:color w:val="333333"/>
          <w:sz w:val="20"/>
          <w:szCs w:val="20"/>
        </w:rPr>
        <w:t>and</w:t>
      </w:r>
      <w:r>
        <w:rPr>
          <w:rStyle w:val="apple-converted-space"/>
          <w:rFonts w:ascii="Calibri" w:hAnsi="Calibri"/>
          <w:color w:val="333333"/>
          <w:sz w:val="20"/>
          <w:szCs w:val="20"/>
        </w:rPr>
        <w:t> </w:t>
      </w:r>
      <w:r>
        <w:rPr>
          <w:rStyle w:val="mi"/>
          <w:rFonts w:ascii="MathJax_Math" w:hAnsi="MathJax_Math"/>
          <w:i/>
          <w:iCs/>
          <w:color w:val="333333"/>
          <w:sz w:val="17"/>
          <w:szCs w:val="17"/>
        </w:rPr>
        <w:t>df</w:t>
      </w:r>
      <w:r>
        <w:rPr>
          <w:rStyle w:val="mn"/>
          <w:rFonts w:ascii="MathJax_Main" w:hAnsi="MathJax_Main"/>
          <w:color w:val="333333"/>
          <w:sz w:val="12"/>
          <w:szCs w:val="12"/>
        </w:rPr>
        <w:t>2</w:t>
      </w:r>
      <w:r>
        <w:rPr>
          <w:rStyle w:val="apple-converted-space"/>
          <w:rFonts w:ascii="Calibri" w:hAnsi="Calibri"/>
          <w:color w:val="333333"/>
          <w:sz w:val="20"/>
          <w:szCs w:val="20"/>
        </w:rPr>
        <w:t> </w:t>
      </w:r>
      <w:r>
        <w:rPr>
          <w:rFonts w:ascii="Calibri" w:hAnsi="Calibri"/>
          <w:color w:val="333333"/>
          <w:sz w:val="20"/>
          <w:szCs w:val="20"/>
        </w:rPr>
        <w:t>are found in tables in</w:t>
      </w:r>
      <w:r>
        <w:rPr>
          <w:rStyle w:val="apple-converted-space"/>
          <w:rFonts w:ascii="Calibri" w:hAnsi="Calibri"/>
          <w:color w:val="333333"/>
          <w:sz w:val="20"/>
          <w:szCs w:val="20"/>
        </w:rPr>
        <w:t> </w:t>
      </w:r>
      <w:r>
        <w:rPr>
          <w:rFonts w:ascii="Calibri" w:hAnsi="Calibri"/>
          <w:color w:val="2689C6"/>
          <w:sz w:val="20"/>
          <w:szCs w:val="20"/>
        </w:rPr>
        <w:t>Chapter 12 "Appendix"</w:t>
      </w:r>
      <w:r>
        <w:rPr>
          <w:rFonts w:ascii="Calibri" w:hAnsi="Calibri"/>
          <w:color w:val="333333"/>
          <w:sz w:val="20"/>
          <w:szCs w:val="20"/>
        </w:rPr>
        <w:t>.</w:t>
      </w:r>
    </w:p>
    <w:p w:rsidR="00AD77BB" w:rsidRDefault="00B45BA0">
      <w:pPr>
        <w:numPr>
          <w:ilvl w:val="0"/>
          <w:numId w:val="324"/>
        </w:numPr>
        <w:spacing w:after="0" w:line="360" w:lineRule="auto"/>
        <w:ind w:left="360" w:right="374"/>
        <w:textAlignment w:val="baseline"/>
        <w:rPr>
          <w:rFonts w:ascii="Calibri" w:hAnsi="Calibri"/>
          <w:color w:val="333333"/>
          <w:sz w:val="20"/>
          <w:szCs w:val="20"/>
        </w:rPr>
      </w:pPr>
      <w:r>
        <w:rPr>
          <w:rFonts w:ascii="Calibri" w:hAnsi="Calibri"/>
          <w:color w:val="333333"/>
          <w:sz w:val="20"/>
          <w:szCs w:val="20"/>
        </w:rPr>
        <w:t>An</w:t>
      </w:r>
      <w:r>
        <w:rPr>
          <w:rStyle w:val="apple-converted-space"/>
          <w:rFonts w:ascii="Calibri" w:hAnsi="Calibri"/>
          <w:color w:val="333333"/>
          <w:sz w:val="20"/>
          <w:szCs w:val="20"/>
        </w:rPr>
        <w:t> </w:t>
      </w:r>
      <w:r>
        <w:rPr>
          <w:rStyle w:val="Emphasis"/>
          <w:rFonts w:ascii="Calibri" w:hAnsi="Calibri"/>
          <w:color w:val="333333"/>
          <w:sz w:val="20"/>
          <w:szCs w:val="20"/>
        </w:rPr>
        <w:t>F</w:t>
      </w:r>
      <w:r>
        <w:rPr>
          <w:rFonts w:ascii="Calibri" w:hAnsi="Calibri"/>
          <w:color w:val="333333"/>
          <w:sz w:val="20"/>
          <w:szCs w:val="20"/>
        </w:rPr>
        <w:t>-test can be used to evaluate the hypothesis of two identical normal population variances.</w:t>
      </w:r>
    </w:p>
    <w:p w:rsidR="00AD77BB" w:rsidRDefault="00B45BA0">
      <w:pPr>
        <w:tabs>
          <w:tab w:val="left" w:pos="5547"/>
        </w:tabs>
        <w:spacing w:line="360" w:lineRule="auto"/>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58E59144" wp14:editId="7A02D091">
            <wp:extent cx="5191125" cy="7667625"/>
            <wp:effectExtent l="0" t="0" r="9525" b="9525"/>
            <wp:docPr id="456"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191125" cy="7667625"/>
                    </a:xfrm>
                    <a:prstGeom prst="rect">
                      <a:avLst/>
                    </a:prstGeom>
                    <a:noFill/>
                    <a:ln>
                      <a:noFill/>
                    </a:ln>
                  </pic:spPr>
                </pic:pic>
              </a:graphicData>
            </a:graphic>
          </wp:inline>
        </w:drawing>
      </w:r>
    </w:p>
    <w:p w:rsidR="00AD77BB" w:rsidRDefault="00B45BA0">
      <w:pPr>
        <w:tabs>
          <w:tab w:val="left" w:pos="5547"/>
        </w:tabs>
        <w:spacing w:line="360" w:lineRule="auto"/>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590835F9" wp14:editId="2B0B6F7E">
            <wp:extent cx="5057775" cy="7705725"/>
            <wp:effectExtent l="0" t="0" r="9525" b="9525"/>
            <wp:docPr id="457"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057775" cy="7705725"/>
                    </a:xfrm>
                    <a:prstGeom prst="rect">
                      <a:avLst/>
                    </a:prstGeom>
                    <a:noFill/>
                    <a:ln>
                      <a:noFill/>
                    </a:ln>
                  </pic:spPr>
                </pic:pic>
              </a:graphicData>
            </a:graphic>
          </wp:inline>
        </w:drawing>
      </w:r>
    </w:p>
    <w:p w:rsidR="00AD77BB" w:rsidRDefault="00B45BA0">
      <w:pPr>
        <w:tabs>
          <w:tab w:val="left" w:pos="5547"/>
        </w:tabs>
        <w:spacing w:line="360" w:lineRule="auto"/>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70C10D09" wp14:editId="391E116C">
            <wp:extent cx="5133975" cy="7877175"/>
            <wp:effectExtent l="0" t="0" r="9525" b="9525"/>
            <wp:docPr id="458"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133975" cy="7877175"/>
                    </a:xfrm>
                    <a:prstGeom prst="rect">
                      <a:avLst/>
                    </a:prstGeom>
                    <a:noFill/>
                    <a:ln>
                      <a:noFill/>
                    </a:ln>
                  </pic:spPr>
                </pic:pic>
              </a:graphicData>
            </a:graphic>
          </wp:inline>
        </w:drawing>
      </w:r>
    </w:p>
    <w:p w:rsidR="00AD77BB" w:rsidRDefault="00B45BA0">
      <w:pPr>
        <w:tabs>
          <w:tab w:val="left" w:pos="5547"/>
        </w:tabs>
        <w:spacing w:line="360" w:lineRule="auto"/>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518F3F83" wp14:editId="7F847847">
            <wp:extent cx="5048250" cy="6515100"/>
            <wp:effectExtent l="0" t="0" r="0" b="0"/>
            <wp:docPr id="459"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048250" cy="6515100"/>
                    </a:xfrm>
                    <a:prstGeom prst="rect">
                      <a:avLst/>
                    </a:prstGeom>
                    <a:noFill/>
                    <a:ln>
                      <a:noFill/>
                    </a:ln>
                  </pic:spPr>
                </pic:pic>
              </a:graphicData>
            </a:graphic>
          </wp:inline>
        </w:drawing>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APPLICATIONS</w:t>
      </w:r>
    </w:p>
    <w:p w:rsidR="00AD77BB" w:rsidRDefault="00B45BA0">
      <w:pPr>
        <w:numPr>
          <w:ilvl w:val="0"/>
          <w:numId w:val="325"/>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Japanese sturgeon is a subspecies of the sturgeon family indigenous to Japan and the Northwest Pacific. In a particular fish hatchery newly hatched baby Japanese sturgeon are kept in tanks for several weeks before being transferred to larger ponds. Dissolved oxygen in tank water is very tightly monitored by an electronic system and rigorously maintained at a target level of 6.5 milligrams per liter (mg/l). The fish hatchery looks to upgrade their water monitoring systems for tighter control of dissolved oxygen. A new system is evaluated </w:t>
      </w:r>
      <w:r>
        <w:rPr>
          <w:rFonts w:ascii="Calibri" w:eastAsia="Times New Roman" w:hAnsi="Calibri" w:cs="Times New Roman"/>
          <w:color w:val="333333"/>
          <w:sz w:val="20"/>
          <w:szCs w:val="20"/>
        </w:rPr>
        <w:lastRenderedPageBreak/>
        <w:t>against the old one currently being used in terms of the variance in measured dissolved oxygen. Thirty-one water samples from a tank operated with the new system were collected and 16 water samples from a tank operated with the old system were collected, all during the course of a day. The samples yield the following information:</w:t>
      </w:r>
    </w:p>
    <w:p w:rsidR="00AD77BB" w:rsidRDefault="00B45BA0">
      <w:pPr>
        <w:shd w:val="clear" w:color="auto" w:fill="DAEEF3" w:themeFill="accent5" w:themeFillTint="33"/>
        <w:spacing w:after="0" w:line="360" w:lineRule="auto"/>
        <w:ind w:left="446"/>
        <w:jc w:val="center"/>
        <w:textAlignment w:val="baseline"/>
        <w:rPr>
          <w:rFonts w:ascii="MathJax_Main" w:eastAsia="Times New Roman" w:hAnsi="MathJax_Main" w:cs="Times New Roman"/>
          <w:color w:val="333333"/>
          <w:sz w:val="17"/>
          <w:szCs w:val="17"/>
        </w:rPr>
      </w:pPr>
      <w:r>
        <w:rPr>
          <w:rFonts w:ascii="MathJax_Main" w:eastAsia="Times New Roman" w:hAnsi="MathJax_Main" w:cs="Times New Roman"/>
          <w:color w:val="333333"/>
          <w:sz w:val="17"/>
          <w:szCs w:val="17"/>
        </w:rPr>
        <w:t>New Sample 1 :</w:t>
      </w:r>
      <w:r>
        <w:rPr>
          <w:rFonts w:ascii="MathJax_Math" w:eastAsia="Times New Roman" w:hAnsi="MathJax_Math" w:cs="Times New Roman"/>
          <w:i/>
          <w:iCs/>
          <w:color w:val="333333"/>
          <w:sz w:val="17"/>
          <w:szCs w:val="17"/>
        </w:rPr>
        <w:t>n</w:t>
      </w:r>
      <w:r>
        <w:rPr>
          <w:rFonts w:ascii="MathJax_Main" w:eastAsia="Times New Roman" w:hAnsi="MathJax_Main" w:cs="Times New Roman"/>
          <w:color w:val="333333"/>
          <w:sz w:val="12"/>
          <w:szCs w:val="12"/>
        </w:rPr>
        <w:t>1</w:t>
      </w:r>
      <w:r>
        <w:rPr>
          <w:rFonts w:ascii="MathJax_Main" w:eastAsia="Times New Roman" w:hAnsi="MathJax_Main" w:cs="Times New Roman"/>
          <w:color w:val="333333"/>
          <w:sz w:val="17"/>
          <w:szCs w:val="17"/>
        </w:rPr>
        <w:t>=31</w:t>
      </w:r>
      <w:r>
        <w:rPr>
          <w:rFonts w:ascii="MathJax_Math" w:eastAsia="Times New Roman" w:hAnsi="MathJax_Math" w:cs="Times New Roman"/>
          <w:i/>
          <w:iCs/>
          <w:color w:val="333333"/>
          <w:sz w:val="17"/>
          <w:szCs w:val="17"/>
        </w:rPr>
        <w:t>s</w:t>
      </w:r>
      <w:r>
        <w:rPr>
          <w:rFonts w:ascii="MathJax_Main" w:eastAsia="Times New Roman" w:hAnsi="MathJax_Main" w:cs="Times New Roman"/>
          <w:color w:val="333333"/>
          <w:sz w:val="12"/>
          <w:szCs w:val="12"/>
        </w:rPr>
        <w:t>21</w:t>
      </w:r>
      <w:r>
        <w:rPr>
          <w:rFonts w:ascii="MathJax_Main" w:eastAsia="Times New Roman" w:hAnsi="MathJax_Main" w:cs="Times New Roman"/>
          <w:color w:val="333333"/>
          <w:sz w:val="17"/>
          <w:szCs w:val="17"/>
        </w:rPr>
        <w:t>=0.0121</w:t>
      </w:r>
      <w:r>
        <w:rPr>
          <w:rFonts w:ascii="MathJax_Math" w:eastAsia="Times New Roman" w:hAnsi="MathJax_Math" w:cs="Times New Roman"/>
          <w:i/>
          <w:iCs/>
          <w:color w:val="333333"/>
          <w:sz w:val="17"/>
          <w:szCs w:val="17"/>
        </w:rPr>
        <w:t xml:space="preserve"> </w:t>
      </w:r>
    </w:p>
    <w:p w:rsidR="00AD77BB" w:rsidRDefault="00B45BA0">
      <w:pPr>
        <w:shd w:val="clear" w:color="auto" w:fill="DAEEF3" w:themeFill="accent5" w:themeFillTint="33"/>
        <w:spacing w:after="0" w:line="360" w:lineRule="auto"/>
        <w:ind w:left="446"/>
        <w:jc w:val="center"/>
        <w:textAlignment w:val="baseline"/>
        <w:rPr>
          <w:rFonts w:ascii="Calibri" w:eastAsia="Times New Roman" w:hAnsi="Calibri" w:cs="Times New Roman"/>
          <w:color w:val="333333"/>
          <w:sz w:val="20"/>
          <w:szCs w:val="20"/>
        </w:rPr>
      </w:pPr>
      <w:r>
        <w:rPr>
          <w:rFonts w:ascii="MathJax_Main" w:eastAsia="Times New Roman" w:hAnsi="MathJax_Main" w:cs="Times New Roman"/>
          <w:color w:val="333333"/>
          <w:sz w:val="17"/>
          <w:szCs w:val="17"/>
        </w:rPr>
        <w:t xml:space="preserve">Old Sample 2: </w:t>
      </w:r>
      <w:r>
        <w:rPr>
          <w:rFonts w:ascii="MathJax_Math" w:eastAsia="Times New Roman" w:hAnsi="MathJax_Math" w:cs="Times New Roman"/>
          <w:i/>
          <w:iCs/>
          <w:color w:val="333333"/>
          <w:sz w:val="17"/>
          <w:szCs w:val="17"/>
        </w:rPr>
        <w:t>n</w:t>
      </w:r>
      <w:r>
        <w:rPr>
          <w:rFonts w:ascii="MathJax_Main" w:eastAsia="Times New Roman" w:hAnsi="MathJax_Main" w:cs="Times New Roman"/>
          <w:color w:val="333333"/>
          <w:sz w:val="12"/>
          <w:szCs w:val="12"/>
        </w:rPr>
        <w:t>2</w:t>
      </w:r>
      <w:r>
        <w:rPr>
          <w:rFonts w:ascii="MathJax_Main" w:eastAsia="Times New Roman" w:hAnsi="MathJax_Main" w:cs="Times New Roman"/>
          <w:color w:val="333333"/>
          <w:sz w:val="17"/>
          <w:szCs w:val="17"/>
        </w:rPr>
        <w:t xml:space="preserve">=16 </w:t>
      </w:r>
      <w:r>
        <w:rPr>
          <w:rFonts w:ascii="MathJax_Math" w:eastAsia="Times New Roman" w:hAnsi="MathJax_Math" w:cs="Times New Roman"/>
          <w:i/>
          <w:iCs/>
          <w:color w:val="333333"/>
          <w:sz w:val="17"/>
          <w:szCs w:val="17"/>
        </w:rPr>
        <w:t>s</w:t>
      </w:r>
      <w:r>
        <w:rPr>
          <w:rFonts w:ascii="MathJax_Main" w:eastAsia="Times New Roman" w:hAnsi="MathJax_Main" w:cs="Times New Roman"/>
          <w:color w:val="333333"/>
          <w:sz w:val="12"/>
          <w:szCs w:val="12"/>
        </w:rPr>
        <w:t>22</w:t>
      </w:r>
      <w:r>
        <w:rPr>
          <w:rFonts w:ascii="MathJax_Main" w:eastAsia="Times New Roman" w:hAnsi="MathJax_Main" w:cs="Times New Roman"/>
          <w:color w:val="333333"/>
          <w:sz w:val="17"/>
          <w:szCs w:val="17"/>
        </w:rPr>
        <w:t>=0.0319</w:t>
      </w:r>
    </w:p>
    <w:p w:rsidR="00AD77BB" w:rsidRDefault="00B45BA0">
      <w:p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at the 10% level of significance, whether the data provide sufficient evidence to conclude that the new system will provide a tighter control of dissolved oxygen in the tanks.</w:t>
      </w:r>
    </w:p>
    <w:p w:rsidR="00AD77BB" w:rsidRDefault="00B45BA0">
      <w:pPr>
        <w:numPr>
          <w:ilvl w:val="0"/>
          <w:numId w:val="325"/>
        </w:numPr>
        <w:shd w:val="clear" w:color="auto" w:fill="DAEEF3" w:themeFill="accent5" w:themeFillTint="33"/>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risk of investing in a stock is measured by the volatility, or the variance, in changes in the price of that stock. Mutual funds are baskets of stocks and offer generally lower risk to investors. Different mutual funds have different focuses and offer different levels of risk. Hippolyta is deciding between two mutual funds, </w:t>
      </w:r>
      <w:r>
        <w:rPr>
          <w:rFonts w:ascii="Calibri" w:eastAsia="Times New Roman" w:hAnsi="Calibri" w:cs="Times New Roman"/>
          <w:i/>
          <w:iCs/>
          <w:color w:val="333333"/>
          <w:sz w:val="20"/>
          <w:szCs w:val="20"/>
        </w:rPr>
        <w:t>A</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B</w:t>
      </w:r>
      <w:r>
        <w:rPr>
          <w:rFonts w:ascii="Calibri" w:eastAsia="Times New Roman" w:hAnsi="Calibri" w:cs="Times New Roman"/>
          <w:color w:val="333333"/>
          <w:sz w:val="20"/>
          <w:szCs w:val="20"/>
        </w:rPr>
        <w:t>, with similar expected returns. To make a final decision, she examined the annual returns of the two funds during the last ten years and obtained the following information:</w:t>
      </w:r>
    </w:p>
    <w:p w:rsidR="00AD77BB" w:rsidRDefault="00B45BA0">
      <w:pPr>
        <w:tabs>
          <w:tab w:val="left" w:pos="5547"/>
        </w:tabs>
        <w:spacing w:line="360" w:lineRule="auto"/>
        <w:rPr>
          <w:rFonts w:ascii="Calibri" w:eastAsia="Times New Roman" w:hAnsi="Calibri" w:cs="Times New Roman"/>
          <w:sz w:val="20"/>
          <w:szCs w:val="20"/>
        </w:rPr>
      </w:pPr>
      <w:r>
        <w:rPr>
          <w:rFonts w:ascii="Calibri" w:eastAsia="Times New Roman" w:hAnsi="Calibri" w:cs="Times New Roman"/>
          <w:noProof/>
          <w:sz w:val="20"/>
          <w:szCs w:val="20"/>
        </w:rPr>
        <w:drawing>
          <wp:inline distT="0" distB="0" distL="0" distR="0" wp14:anchorId="18072705" wp14:editId="65709B98">
            <wp:extent cx="4676775" cy="5172075"/>
            <wp:effectExtent l="0" t="0" r="9525" b="9525"/>
            <wp:docPr id="460"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4676775" cy="5172075"/>
                    </a:xfrm>
                    <a:prstGeom prst="rect">
                      <a:avLst/>
                    </a:prstGeom>
                    <a:noFill/>
                    <a:ln>
                      <a:noFill/>
                    </a:ln>
                  </pic:spPr>
                </pic:pic>
              </a:graphicData>
            </a:graphic>
          </wp:inline>
        </w:drawing>
      </w:r>
    </w:p>
    <w:p w:rsidR="00AD77BB" w:rsidRDefault="00AD77BB">
      <w:pPr>
        <w:tabs>
          <w:tab w:val="left" w:pos="5547"/>
        </w:tabs>
        <w:spacing w:line="360" w:lineRule="auto"/>
        <w:rPr>
          <w:rFonts w:ascii="Calibri" w:eastAsia="Times New Roman" w:hAnsi="Calibri" w:cs="Times New Roman"/>
          <w:sz w:val="20"/>
          <w:szCs w:val="20"/>
        </w:rPr>
      </w:pPr>
    </w:p>
    <w:p w:rsidR="00AD77BB" w:rsidRDefault="00B45BA0">
      <w:pPr>
        <w:pStyle w:val="para"/>
        <w:shd w:val="clear" w:color="auto" w:fill="DAEEF3" w:themeFill="accent5" w:themeFillTint="33"/>
        <w:spacing w:before="0" w:beforeAutospacing="0" w:after="0" w:afterAutospacing="0" w:line="360" w:lineRule="auto"/>
        <w:ind w:left="450"/>
        <w:textAlignment w:val="baseline"/>
        <w:rPr>
          <w:rFonts w:ascii="Calibri" w:hAnsi="Calibri"/>
          <w:color w:val="333333"/>
          <w:sz w:val="20"/>
          <w:szCs w:val="20"/>
        </w:rPr>
      </w:pPr>
      <w:r>
        <w:rPr>
          <w:rFonts w:ascii="Calibri" w:hAnsi="Calibri"/>
          <w:color w:val="333333"/>
          <w:sz w:val="20"/>
          <w:szCs w:val="20"/>
        </w:rPr>
        <w:t>Test, at the 10% level of significance, whether the data provide sufficient evidence to conclude that the new playlist has expanded the range of listener ages.</w:t>
      </w:r>
    </w:p>
    <w:p w:rsidR="00AD77BB" w:rsidRDefault="00B45BA0">
      <w:pPr>
        <w:pStyle w:val="para"/>
        <w:numPr>
          <w:ilvl w:val="0"/>
          <w:numId w:val="326"/>
        </w:numPr>
        <w:shd w:val="clear" w:color="auto" w:fill="DAEEF3" w:themeFill="accent5" w:themeFillTint="33"/>
        <w:spacing w:before="0" w:beforeAutospacing="0" w:after="0" w:afterAutospacing="0" w:line="360" w:lineRule="auto"/>
        <w:textAlignment w:val="baseline"/>
        <w:rPr>
          <w:rFonts w:ascii="Calibri" w:hAnsi="Calibri"/>
          <w:color w:val="333333"/>
          <w:sz w:val="20"/>
          <w:szCs w:val="20"/>
        </w:rPr>
      </w:pPr>
      <w:r>
        <w:rPr>
          <w:rFonts w:ascii="Calibri" w:hAnsi="Calibri"/>
          <w:color w:val="333333"/>
          <w:sz w:val="20"/>
          <w:szCs w:val="20"/>
        </w:rPr>
        <w:t>A laptop computer maker uses battery packs supplied by two companies,</w:t>
      </w:r>
      <w:r>
        <w:rPr>
          <w:rStyle w:val="apple-converted-space"/>
          <w:rFonts w:ascii="Calibri" w:hAnsi="Calibri"/>
          <w:color w:val="333333"/>
          <w:sz w:val="20"/>
          <w:szCs w:val="20"/>
        </w:rPr>
        <w:t> </w:t>
      </w:r>
      <w:r>
        <w:rPr>
          <w:rStyle w:val="Emphasis"/>
          <w:rFonts w:ascii="Calibri" w:hAnsi="Calibri"/>
          <w:color w:val="333333"/>
          <w:sz w:val="20"/>
          <w:szCs w:val="20"/>
        </w:rPr>
        <w:t>A</w:t>
      </w:r>
      <w:r>
        <w:rPr>
          <w:rFonts w:ascii="Calibri" w:hAnsi="Calibri"/>
          <w:color w:val="333333"/>
          <w:sz w:val="20"/>
          <w:szCs w:val="20"/>
        </w:rPr>
        <w:t>and</w:t>
      </w:r>
      <w:r>
        <w:rPr>
          <w:rStyle w:val="apple-converted-space"/>
          <w:rFonts w:ascii="Calibri" w:hAnsi="Calibri"/>
          <w:color w:val="333333"/>
          <w:sz w:val="20"/>
          <w:szCs w:val="20"/>
        </w:rPr>
        <w:t> </w:t>
      </w:r>
      <w:r>
        <w:rPr>
          <w:rStyle w:val="Emphasis"/>
          <w:rFonts w:ascii="Calibri" w:hAnsi="Calibri"/>
          <w:color w:val="333333"/>
          <w:sz w:val="20"/>
          <w:szCs w:val="20"/>
        </w:rPr>
        <w:t>B</w:t>
      </w:r>
      <w:r>
        <w:rPr>
          <w:rFonts w:ascii="Calibri" w:hAnsi="Calibri"/>
          <w:color w:val="333333"/>
          <w:sz w:val="20"/>
          <w:szCs w:val="20"/>
        </w:rPr>
        <w:t>. While both brands have the same average battery life between charges (LBC), the computer maker seems to receive more complaints about shorter LBC than expected for battery packs supplied by company</w:t>
      </w:r>
      <w:r>
        <w:rPr>
          <w:rStyle w:val="apple-converted-space"/>
          <w:rFonts w:ascii="Calibri" w:hAnsi="Calibri"/>
          <w:color w:val="333333"/>
          <w:sz w:val="20"/>
          <w:szCs w:val="20"/>
        </w:rPr>
        <w:t> </w:t>
      </w:r>
      <w:r>
        <w:rPr>
          <w:rStyle w:val="Emphasis"/>
          <w:rFonts w:ascii="Calibri" w:hAnsi="Calibri"/>
          <w:color w:val="333333"/>
          <w:sz w:val="20"/>
          <w:szCs w:val="20"/>
        </w:rPr>
        <w:t>B</w:t>
      </w:r>
      <w:r>
        <w:rPr>
          <w:rFonts w:ascii="Calibri" w:hAnsi="Calibri"/>
          <w:color w:val="333333"/>
          <w:sz w:val="20"/>
          <w:szCs w:val="20"/>
        </w:rPr>
        <w:t>. The computer maker suspects that this could be caused by higher variance in LBC for Brand</w:t>
      </w:r>
      <w:r>
        <w:rPr>
          <w:rStyle w:val="apple-converted-space"/>
          <w:rFonts w:ascii="Calibri" w:hAnsi="Calibri"/>
          <w:color w:val="333333"/>
          <w:sz w:val="20"/>
          <w:szCs w:val="20"/>
        </w:rPr>
        <w:t> </w:t>
      </w:r>
      <w:r>
        <w:rPr>
          <w:rStyle w:val="Emphasis"/>
          <w:rFonts w:ascii="Calibri" w:hAnsi="Calibri"/>
          <w:color w:val="333333"/>
          <w:sz w:val="20"/>
          <w:szCs w:val="20"/>
        </w:rPr>
        <w:t>B</w:t>
      </w:r>
      <w:r>
        <w:rPr>
          <w:rFonts w:ascii="Calibri" w:hAnsi="Calibri"/>
          <w:color w:val="333333"/>
          <w:sz w:val="20"/>
          <w:szCs w:val="20"/>
        </w:rPr>
        <w:t>. To check that, ten new battery packs from each brand are selected, installed on the same models of laptops, and the laptops are allowed to run until the battery packs are completely discharged. The following are the observed LBCs in hours.</w:t>
      </w:r>
    </w:p>
    <w:p w:rsidR="00AD77BB" w:rsidRDefault="00B45BA0">
      <w:pPr>
        <w:tabs>
          <w:tab w:val="left" w:pos="5547"/>
        </w:tabs>
        <w:spacing w:line="360" w:lineRule="auto"/>
        <w:ind w:left="360"/>
        <w:contextualSpacing/>
        <w:rPr>
          <w:rFonts w:ascii="Calibri" w:eastAsia="Times New Roman" w:hAnsi="Calibri" w:cs="Times New Roman"/>
          <w:sz w:val="20"/>
          <w:szCs w:val="20"/>
        </w:rPr>
      </w:pPr>
      <w:r>
        <w:rPr>
          <w:rFonts w:ascii="Calibri" w:eastAsia="Times New Roman" w:hAnsi="Calibri" w:cs="Times New Roman"/>
          <w:noProof/>
          <w:sz w:val="20"/>
          <w:szCs w:val="20"/>
        </w:rPr>
        <w:drawing>
          <wp:inline distT="0" distB="0" distL="0" distR="0" wp14:anchorId="2C0DF993" wp14:editId="2F2C50B3">
            <wp:extent cx="5181600" cy="5191125"/>
            <wp:effectExtent l="0" t="0" r="0" b="9525"/>
            <wp:docPr id="461"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181600" cy="5191125"/>
                    </a:xfrm>
                    <a:prstGeom prst="rect">
                      <a:avLst/>
                    </a:prstGeom>
                    <a:noFill/>
                    <a:ln>
                      <a:noFill/>
                    </a:ln>
                  </pic:spPr>
                </pic:pic>
              </a:graphicData>
            </a:graphic>
          </wp:inline>
        </w:drawing>
      </w:r>
    </w:p>
    <w:p w:rsidR="00AD77BB" w:rsidRDefault="00AD77BB">
      <w:pPr>
        <w:tabs>
          <w:tab w:val="left" w:pos="5547"/>
        </w:tabs>
        <w:spacing w:line="360" w:lineRule="auto"/>
        <w:ind w:left="360"/>
        <w:contextualSpacing/>
        <w:rPr>
          <w:rFonts w:ascii="Calibri" w:eastAsia="Times New Roman" w:hAnsi="Calibri" w:cs="Times New Roman"/>
          <w:sz w:val="20"/>
          <w:szCs w:val="20"/>
        </w:rPr>
      </w:pPr>
    </w:p>
    <w:p w:rsidR="00AD77BB" w:rsidRDefault="00AD77BB">
      <w:pPr>
        <w:tabs>
          <w:tab w:val="left" w:pos="5547"/>
        </w:tabs>
        <w:spacing w:line="360" w:lineRule="auto"/>
        <w:ind w:left="360"/>
        <w:contextualSpacing/>
        <w:rPr>
          <w:rFonts w:ascii="Calibri" w:eastAsia="Times New Roman" w:hAnsi="Calibri" w:cs="Times New Roman"/>
          <w:sz w:val="20"/>
          <w:szCs w:val="20"/>
        </w:rPr>
      </w:pPr>
    </w:p>
    <w:p w:rsidR="00AD77BB" w:rsidRDefault="00AD77BB">
      <w:pPr>
        <w:tabs>
          <w:tab w:val="left" w:pos="5547"/>
        </w:tabs>
        <w:spacing w:line="360" w:lineRule="auto"/>
        <w:ind w:left="360"/>
        <w:contextualSpacing/>
        <w:rPr>
          <w:rFonts w:ascii="Calibri" w:eastAsia="Times New Roman" w:hAnsi="Calibri" w:cs="Times New Roman"/>
          <w:sz w:val="20"/>
          <w:szCs w:val="20"/>
        </w:rPr>
      </w:pP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LARGE DATA SET EXERCISES</w:t>
      </w:r>
    </w:p>
    <w:p w:rsidR="00AD77BB" w:rsidRDefault="00B45BA0">
      <w:pPr>
        <w:numPr>
          <w:ilvl w:val="0"/>
          <w:numId w:val="327"/>
        </w:num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Large Data Sets 1A and 1B record SAT scores for 419 male and 581 female students. Test, at the 1% level of significance, whether the data provide sufficient evidence to conclude that the variances of scores of male and female students differ.</w:t>
      </w:r>
    </w:p>
    <w:p w:rsidR="00AD77BB" w:rsidRDefault="00B45BA0">
      <w:p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http://www.1A.xls</w:t>
      </w:r>
    </w:p>
    <w:p w:rsidR="00AD77BB" w:rsidRDefault="00B45BA0">
      <w:p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http://www.1B.xls</w:t>
      </w:r>
    </w:p>
    <w:p w:rsidR="00AD77BB" w:rsidRDefault="00AD77BB">
      <w:pPr>
        <w:spacing w:after="0" w:line="360" w:lineRule="auto"/>
        <w:ind w:left="446"/>
        <w:textAlignment w:val="baseline"/>
        <w:rPr>
          <w:rFonts w:ascii="Calibri" w:eastAsia="Times New Roman" w:hAnsi="Calibri" w:cs="Times New Roman"/>
          <w:color w:val="333333"/>
          <w:sz w:val="20"/>
          <w:szCs w:val="20"/>
        </w:rPr>
      </w:pPr>
    </w:p>
    <w:p w:rsidR="00AD77BB" w:rsidRDefault="00B45BA0">
      <w:pPr>
        <w:numPr>
          <w:ilvl w:val="0"/>
          <w:numId w:val="327"/>
        </w:num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Large Data Sets 7, 7A, and 7B record the survival times of 140 laboratory mice with thymic leukemia. Test, at the 10% level of significance, whether the data provide sufficient evidence to conclude that the variances of survival times of male mice and female mice differ.</w:t>
      </w:r>
    </w:p>
    <w:p w:rsidR="00AD77BB" w:rsidRDefault="00AD77BB">
      <w:pPr>
        <w:spacing w:after="0" w:line="360" w:lineRule="auto"/>
        <w:ind w:left="446"/>
        <w:textAlignment w:val="baseline"/>
        <w:rPr>
          <w:rFonts w:ascii="Calibri" w:eastAsia="Times New Roman" w:hAnsi="Calibri" w:cs="Times New Roman"/>
          <w:color w:val="333333"/>
          <w:sz w:val="20"/>
          <w:szCs w:val="20"/>
        </w:rPr>
      </w:pPr>
    </w:p>
    <w:p w:rsidR="00AD77BB" w:rsidRDefault="00B45BA0">
      <w:p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http://www.7.xls</w:t>
      </w:r>
    </w:p>
    <w:p w:rsidR="00AD77BB" w:rsidRDefault="00B45BA0">
      <w:p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http://www.7A.xls</w:t>
      </w:r>
    </w:p>
    <w:p w:rsidR="00AD77BB" w:rsidRDefault="00B45BA0">
      <w:p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http://www.7B.xls</w:t>
      </w:r>
    </w:p>
    <w:p w:rsidR="00AD77BB" w:rsidRDefault="00B45BA0">
      <w:p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lastRenderedPageBreak/>
        <w:drawing>
          <wp:inline distT="0" distB="0" distL="0" distR="0" wp14:anchorId="5C45B483" wp14:editId="792AE3C6">
            <wp:extent cx="4476750" cy="6029325"/>
            <wp:effectExtent l="0" t="0" r="0" b="9525"/>
            <wp:docPr id="462"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4476750" cy="6029325"/>
                    </a:xfrm>
                    <a:prstGeom prst="rect">
                      <a:avLst/>
                    </a:prstGeom>
                    <a:noFill/>
                    <a:ln>
                      <a:noFill/>
                    </a:ln>
                  </pic:spPr>
                </pic:pic>
              </a:graphicData>
            </a:graphic>
          </wp:inline>
        </w:drawing>
      </w:r>
    </w:p>
    <w:p w:rsidR="00AD77BB" w:rsidRDefault="00B45BA0">
      <w:pPr>
        <w:spacing w:after="0" w:line="360" w:lineRule="auto"/>
        <w:ind w:left="446"/>
        <w:textAlignment w:val="baseline"/>
        <w:rPr>
          <w:rFonts w:ascii="Calibri" w:eastAsia="Times New Roman" w:hAnsi="Calibri" w:cs="Times New Roman"/>
          <w:color w:val="333333"/>
          <w:sz w:val="20"/>
          <w:szCs w:val="20"/>
        </w:rPr>
      </w:pPr>
      <w:r>
        <w:rPr>
          <w:rFonts w:ascii="Calibri" w:eastAsia="Times New Roman" w:hAnsi="Calibri" w:cs="Times New Roman"/>
          <w:noProof/>
          <w:color w:val="333333"/>
          <w:sz w:val="20"/>
          <w:szCs w:val="20"/>
        </w:rPr>
        <w:drawing>
          <wp:inline distT="0" distB="0" distL="0" distR="0" wp14:anchorId="7D710921" wp14:editId="74782DE6">
            <wp:extent cx="4476750" cy="1981200"/>
            <wp:effectExtent l="0" t="0" r="0" b="0"/>
            <wp:docPr id="463"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4476750" cy="1981200"/>
                    </a:xfrm>
                    <a:prstGeom prst="rect">
                      <a:avLst/>
                    </a:prstGeom>
                    <a:noFill/>
                    <a:ln>
                      <a:noFill/>
                    </a:ln>
                  </pic:spPr>
                </pic:pic>
              </a:graphicData>
            </a:graphic>
          </wp:inline>
        </w:drawing>
      </w:r>
    </w:p>
    <w:p w:rsidR="00AD77BB" w:rsidRDefault="00B45BA0">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3"/>
          <w:szCs w:val="33"/>
        </w:rPr>
        <w:lastRenderedPageBreak/>
        <w:t>11.4</w:t>
      </w:r>
      <w:r>
        <w:rPr>
          <w:rStyle w:val="apple-converted-space"/>
          <w:rFonts w:ascii="Calibri" w:hAnsi="Calibri"/>
          <w:color w:val="333333"/>
        </w:rPr>
        <w:t> </w:t>
      </w:r>
      <w:r>
        <w:rPr>
          <w:rStyle w:val="Emphasis"/>
          <w:rFonts w:ascii="Calibri" w:hAnsi="Calibri"/>
          <w:color w:val="333333"/>
          <w:sz w:val="33"/>
          <w:szCs w:val="33"/>
        </w:rPr>
        <w:t>F</w:t>
      </w:r>
      <w:r>
        <w:rPr>
          <w:rFonts w:ascii="Calibri" w:hAnsi="Calibri"/>
          <w:color w:val="333333"/>
        </w:rPr>
        <w:t>-Tests in One-Way ANOVA</w:t>
      </w:r>
    </w:p>
    <w:p w:rsidR="00AD77BB" w:rsidRDefault="00AD77BB"/>
    <w:p w:rsidR="00AD77BB" w:rsidRDefault="00B45BA0">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rsidR="00AD77BB" w:rsidRDefault="00B45BA0">
      <w:pPr>
        <w:numPr>
          <w:ilvl w:val="0"/>
          <w:numId w:val="328"/>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To understand how to use an</w:t>
      </w:r>
      <w:r>
        <w:rPr>
          <w:rStyle w:val="apple-converted-space"/>
          <w:rFonts w:ascii="Calibri" w:hAnsi="Calibri"/>
          <w:color w:val="333333"/>
          <w:sz w:val="20"/>
          <w:szCs w:val="20"/>
        </w:rPr>
        <w:t> </w:t>
      </w:r>
      <w:r>
        <w:rPr>
          <w:rStyle w:val="Emphasis"/>
          <w:rFonts w:ascii="Calibri" w:hAnsi="Calibri"/>
          <w:color w:val="333333"/>
          <w:sz w:val="20"/>
          <w:szCs w:val="20"/>
        </w:rPr>
        <w:t>F</w:t>
      </w:r>
      <w:r>
        <w:rPr>
          <w:rFonts w:ascii="Calibri" w:hAnsi="Calibri"/>
          <w:color w:val="333333"/>
          <w:sz w:val="20"/>
          <w:szCs w:val="20"/>
        </w:rPr>
        <w:t>-test to judge whether several population means are all equal.</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w:t>
      </w:r>
      <w:r>
        <w:rPr>
          <w:rStyle w:val="apple-converted-space"/>
          <w:rFonts w:ascii="Georgia" w:hAnsi="Georgia"/>
          <w:color w:val="333333"/>
          <w:sz w:val="21"/>
          <w:szCs w:val="21"/>
        </w:rPr>
        <w:t> </w:t>
      </w:r>
      <w:r>
        <w:rPr>
          <w:rFonts w:ascii="Georgia" w:eastAsiaTheme="majorEastAsia" w:hAnsi="Georgia"/>
          <w:color w:val="2689C6"/>
          <w:sz w:val="21"/>
          <w:szCs w:val="21"/>
        </w:rPr>
        <w:t>Chapter 9 "Two-Sample Problems"</w:t>
      </w:r>
      <w:r>
        <w:rPr>
          <w:rStyle w:val="apple-converted-space"/>
          <w:rFonts w:ascii="Georgia" w:hAnsi="Georgia"/>
          <w:color w:val="333333"/>
          <w:sz w:val="21"/>
          <w:szCs w:val="21"/>
        </w:rPr>
        <w:t> </w:t>
      </w:r>
      <w:r>
        <w:rPr>
          <w:rFonts w:ascii="Georgia" w:hAnsi="Georgia"/>
          <w:color w:val="333333"/>
          <w:sz w:val="21"/>
          <w:szCs w:val="21"/>
        </w:rPr>
        <w:t>we saw how to compare two population means</w:t>
      </w:r>
      <w:r>
        <w:rPr>
          <w:rStyle w:val="apple-converted-space"/>
          <w:rFonts w:ascii="Georgia" w:hAnsi="Georgia"/>
          <w:color w:val="333333"/>
          <w:sz w:val="21"/>
          <w:szCs w:val="21"/>
        </w:rPr>
        <w:t> </w:t>
      </w:r>
      <w:r>
        <w:rPr>
          <w:rStyle w:val="mi"/>
          <w:rFonts w:ascii="MathJax_Math" w:hAnsi="MathJax_Math"/>
          <w:i/>
          <w:iCs/>
          <w:color w:val="333333"/>
          <w:sz w:val="20"/>
          <w:szCs w:val="20"/>
        </w:rPr>
        <w:t>μ</w:t>
      </w:r>
      <w:r>
        <w:rPr>
          <w:rStyle w:val="mn"/>
          <w:rFonts w:ascii="MathJax_Main" w:hAnsi="MathJax_Main"/>
          <w:color w:val="333333"/>
          <w:sz w:val="15"/>
          <w:szCs w:val="15"/>
        </w:rPr>
        <w:t>1</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mi"/>
          <w:rFonts w:ascii="MathJax_Math" w:hAnsi="MathJax_Math"/>
          <w:i/>
          <w:iCs/>
          <w:color w:val="333333"/>
          <w:sz w:val="20"/>
          <w:szCs w:val="20"/>
        </w:rPr>
        <w:t>μ</w:t>
      </w:r>
      <w:r>
        <w:rPr>
          <w:rStyle w:val="mn"/>
          <w:rFonts w:ascii="MathJax_Main" w:hAnsi="MathJax_Main"/>
          <w:color w:val="333333"/>
          <w:sz w:val="15"/>
          <w:szCs w:val="15"/>
        </w:rPr>
        <w:t>2</w:t>
      </w:r>
      <w:r>
        <w:rPr>
          <w:rStyle w:val="mo"/>
          <w:rFonts w:ascii="MathJax_Main" w:hAnsi="MathJax_Main"/>
          <w:color w:val="333333"/>
          <w:sz w:val="20"/>
          <w:szCs w:val="20"/>
        </w:rPr>
        <w:t>.</w:t>
      </w:r>
      <w:r>
        <w:rPr>
          <w:rStyle w:val="apple-converted-space"/>
          <w:rFonts w:ascii="Georgia" w:hAnsi="Georgia"/>
          <w:color w:val="333333"/>
          <w:sz w:val="21"/>
          <w:szCs w:val="21"/>
        </w:rPr>
        <w:t> </w:t>
      </w:r>
      <w:r>
        <w:rPr>
          <w:rFonts w:ascii="Georgia" w:hAnsi="Georgia"/>
          <w:color w:val="333333"/>
          <w:sz w:val="21"/>
          <w:szCs w:val="21"/>
        </w:rPr>
        <w:t>In this section we will learn to compare three or more population means at the same time, which is often of interest in practical applications. For example, an administrator at a university may be interested in knowing whether student grade point averages are the same for different majors. In another example, an oncologist may be interested in knowing whether patients with the same type of cancer have the same average survival times under several different competing cancer treatments.</w:t>
      </w:r>
    </w:p>
    <w:p w:rsidR="00AD77BB" w:rsidRDefault="00AD77BB">
      <w:pPr>
        <w:pStyle w:val="para"/>
        <w:shd w:val="clear" w:color="auto" w:fill="FFFFFF"/>
        <w:spacing w:before="0" w:beforeAutospacing="0" w:after="0" w:afterAutospacing="0" w:line="360" w:lineRule="auto"/>
        <w:textAlignment w:val="baseline"/>
        <w:rPr>
          <w:rFonts w:ascii="Georgia" w:hAnsi="Georgia"/>
          <w:color w:val="333333"/>
          <w:sz w:val="21"/>
          <w:szCs w:val="21"/>
        </w:rPr>
      </w:pPr>
    </w:p>
    <w:p w:rsidR="00AD77BB" w:rsidRDefault="00B45BA0">
      <w:pPr>
        <w:pStyle w:val="para"/>
        <w:shd w:val="clear" w:color="auto" w:fill="FFFFFF"/>
        <w:spacing w:before="0" w:beforeAutospacing="0" w:after="0" w:afterAutospacing="0" w:line="360" w:lineRule="auto"/>
        <w:textAlignment w:val="baseline"/>
        <w:rPr>
          <w:rFonts w:ascii="Georgia" w:hAnsi="Georgia"/>
          <w:color w:val="333333"/>
          <w:sz w:val="21"/>
          <w:szCs w:val="21"/>
        </w:rPr>
      </w:pPr>
      <w:r>
        <w:rPr>
          <w:rFonts w:ascii="Georgia" w:hAnsi="Georgia"/>
          <w:color w:val="333333"/>
          <w:sz w:val="21"/>
          <w:szCs w:val="21"/>
        </w:rPr>
        <w:t>In general, suppose there are</w:t>
      </w:r>
      <w:r>
        <w:rPr>
          <w:rStyle w:val="apple-converted-space"/>
          <w:rFonts w:ascii="Georgia" w:hAnsi="Georgia"/>
          <w:color w:val="333333"/>
          <w:sz w:val="21"/>
          <w:szCs w:val="21"/>
        </w:rPr>
        <w:t> </w:t>
      </w:r>
      <w:r>
        <w:rPr>
          <w:rStyle w:val="Emphasis"/>
          <w:rFonts w:ascii="Georgia" w:hAnsi="Georgia"/>
          <w:color w:val="333333"/>
          <w:sz w:val="20"/>
          <w:szCs w:val="20"/>
        </w:rPr>
        <w:t>K</w:t>
      </w:r>
      <w:r>
        <w:rPr>
          <w:rStyle w:val="apple-converted-space"/>
          <w:rFonts w:ascii="Georgia" w:hAnsi="Georgia"/>
          <w:color w:val="333333"/>
          <w:sz w:val="21"/>
          <w:szCs w:val="21"/>
        </w:rPr>
        <w:t> </w:t>
      </w:r>
      <w:r>
        <w:rPr>
          <w:rFonts w:ascii="Georgia" w:hAnsi="Georgia"/>
          <w:color w:val="333333"/>
          <w:sz w:val="21"/>
          <w:szCs w:val="21"/>
        </w:rPr>
        <w:t>normal populations with possibly different means,</w:t>
      </w:r>
      <w:r>
        <w:rPr>
          <w:rStyle w:val="apple-converted-space"/>
          <w:rFonts w:ascii="Georgia" w:hAnsi="Georgia"/>
          <w:color w:val="333333"/>
          <w:sz w:val="21"/>
          <w:szCs w:val="21"/>
        </w:rPr>
        <w:t> </w:t>
      </w:r>
      <w:r>
        <w:rPr>
          <w:rStyle w:val="mi"/>
          <w:rFonts w:ascii="MathJax_Math" w:hAnsi="MathJax_Math"/>
          <w:i/>
          <w:iCs/>
          <w:color w:val="333333"/>
          <w:sz w:val="20"/>
          <w:szCs w:val="20"/>
        </w:rPr>
        <w:t>μ</w:t>
      </w:r>
      <w:r>
        <w:rPr>
          <w:rStyle w:val="mn"/>
          <w:rFonts w:ascii="MathJax_Main" w:hAnsi="MathJax_Main"/>
          <w:color w:val="333333"/>
          <w:sz w:val="15"/>
          <w:szCs w:val="15"/>
        </w:rPr>
        <w:t>1</w:t>
      </w:r>
      <w:r>
        <w:rPr>
          <w:rStyle w:val="mo"/>
          <w:rFonts w:ascii="MathJax_Main" w:hAnsi="MathJax_Main"/>
          <w:color w:val="333333"/>
          <w:sz w:val="20"/>
          <w:szCs w:val="20"/>
        </w:rPr>
        <w:t>,</w:t>
      </w:r>
      <w:r>
        <w:rPr>
          <w:rStyle w:val="mi"/>
          <w:rFonts w:ascii="MathJax_Math" w:hAnsi="MathJax_Math"/>
          <w:i/>
          <w:iCs/>
          <w:color w:val="333333"/>
          <w:sz w:val="20"/>
          <w:szCs w:val="20"/>
        </w:rPr>
        <w:t>μ</w:t>
      </w:r>
      <w:r>
        <w:rPr>
          <w:rStyle w:val="mn"/>
          <w:rFonts w:ascii="MathJax_Main" w:hAnsi="MathJax_Main"/>
          <w:color w:val="333333"/>
          <w:sz w:val="15"/>
          <w:szCs w:val="15"/>
        </w:rPr>
        <w:t>2</w:t>
      </w:r>
      <w:r>
        <w:rPr>
          <w:rStyle w:val="mo"/>
          <w:rFonts w:ascii="MathJax_Main" w:hAnsi="MathJax_Main"/>
          <w:color w:val="333333"/>
          <w:sz w:val="20"/>
          <w:szCs w:val="20"/>
        </w:rPr>
        <w:t>,…,</w:t>
      </w:r>
      <w:r>
        <w:rPr>
          <w:rStyle w:val="mi"/>
          <w:rFonts w:ascii="MathJax_Math" w:hAnsi="MathJax_Math"/>
          <w:i/>
          <w:iCs/>
          <w:color w:val="333333"/>
          <w:sz w:val="20"/>
          <w:szCs w:val="20"/>
        </w:rPr>
        <w:t>μ</w:t>
      </w:r>
      <w:r>
        <w:rPr>
          <w:rStyle w:val="mi"/>
          <w:rFonts w:ascii="MathJax_Math" w:hAnsi="MathJax_Math"/>
          <w:i/>
          <w:iCs/>
          <w:color w:val="333333"/>
          <w:sz w:val="15"/>
          <w:szCs w:val="15"/>
        </w:rPr>
        <w:t>K</w:t>
      </w:r>
      <w:r>
        <w:rPr>
          <w:rFonts w:ascii="Georgia" w:hAnsi="Georgia"/>
          <w:color w:val="333333"/>
          <w:sz w:val="21"/>
          <w:szCs w:val="21"/>
        </w:rPr>
        <w:t>, but all with the same variance</w:t>
      </w:r>
      <w:r>
        <w:rPr>
          <w:rStyle w:val="apple-converted-space"/>
          <w:rFonts w:ascii="Georgia" w:hAnsi="Georgia"/>
          <w:color w:val="333333"/>
          <w:sz w:val="21"/>
          <w:szCs w:val="21"/>
        </w:rPr>
        <w:t> </w:t>
      </w:r>
      <w:r>
        <w:rPr>
          <w:rStyle w:val="mi"/>
          <w:rFonts w:ascii="MathJax_Math" w:hAnsi="MathJax_Math"/>
          <w:i/>
          <w:iCs/>
          <w:color w:val="333333"/>
          <w:sz w:val="20"/>
          <w:szCs w:val="20"/>
        </w:rPr>
        <w:t>σ</w:t>
      </w:r>
      <w:r>
        <w:rPr>
          <w:rStyle w:val="mn"/>
          <w:rFonts w:ascii="MathJax_Main" w:hAnsi="MathJax_Main"/>
          <w:color w:val="333333"/>
          <w:sz w:val="15"/>
          <w:szCs w:val="15"/>
        </w:rPr>
        <w:t>2</w:t>
      </w:r>
      <w:r>
        <w:rPr>
          <w:rStyle w:val="mo"/>
          <w:rFonts w:ascii="MathJax_Main" w:hAnsi="MathJax_Main"/>
          <w:color w:val="333333"/>
          <w:sz w:val="20"/>
          <w:szCs w:val="20"/>
        </w:rPr>
        <w:t>.</w:t>
      </w:r>
      <w:r>
        <w:rPr>
          <w:rStyle w:val="apple-converted-space"/>
          <w:rFonts w:ascii="Georgia" w:hAnsi="Georgia"/>
          <w:color w:val="333333"/>
          <w:sz w:val="21"/>
          <w:szCs w:val="21"/>
        </w:rPr>
        <w:t> </w:t>
      </w:r>
      <w:r>
        <w:rPr>
          <w:rFonts w:ascii="Georgia" w:hAnsi="Georgia"/>
          <w:color w:val="333333"/>
          <w:sz w:val="21"/>
          <w:szCs w:val="21"/>
        </w:rPr>
        <w:t>The study question is whether all the</w:t>
      </w:r>
      <w:r>
        <w:rPr>
          <w:rStyle w:val="apple-converted-space"/>
          <w:rFonts w:ascii="Georgia" w:hAnsi="Georgia"/>
          <w:color w:val="333333"/>
          <w:sz w:val="21"/>
          <w:szCs w:val="21"/>
        </w:rPr>
        <w:t> </w:t>
      </w:r>
      <w:r>
        <w:rPr>
          <w:rStyle w:val="Emphasis"/>
          <w:rFonts w:ascii="Georgia" w:hAnsi="Georgia"/>
          <w:color w:val="333333"/>
          <w:sz w:val="20"/>
          <w:szCs w:val="20"/>
        </w:rPr>
        <w:t>K</w:t>
      </w:r>
      <w:r>
        <w:rPr>
          <w:rStyle w:val="apple-converted-space"/>
          <w:rFonts w:ascii="Georgia" w:hAnsi="Georgia"/>
          <w:color w:val="333333"/>
          <w:sz w:val="21"/>
          <w:szCs w:val="21"/>
        </w:rPr>
        <w:t> </w:t>
      </w:r>
      <w:r>
        <w:rPr>
          <w:rFonts w:ascii="Georgia" w:hAnsi="Georgia"/>
          <w:color w:val="333333"/>
          <w:sz w:val="21"/>
          <w:szCs w:val="21"/>
        </w:rPr>
        <w:t>population means are the same. We formulate this question as the test of hypotheses</w:t>
      </w:r>
    </w:p>
    <w:p w:rsidR="00AD77BB" w:rsidRDefault="00B45BA0">
      <w:pPr>
        <w:spacing w:line="270" w:lineRule="atLeast"/>
        <w:jc w:val="center"/>
        <w:textAlignment w:val="baseline"/>
        <w:rPr>
          <w:rFonts w:ascii="MathJax_Main" w:eastAsia="Times New Roman" w:hAnsi="MathJax_Main" w:cs="Times New Roman"/>
          <w:color w:val="555555"/>
          <w:sz w:val="20"/>
          <w:szCs w:val="20"/>
          <w:shd w:val="clear" w:color="auto" w:fill="FFFFFF"/>
        </w:rPr>
      </w:pPr>
      <w:r>
        <w:rPr>
          <w:rFonts w:ascii="MathJax_Math" w:eastAsia="Times New Roman" w:hAnsi="MathJax_Math" w:cs="Times New Roman"/>
          <w:i/>
          <w:iCs/>
          <w:color w:val="555555"/>
          <w:sz w:val="20"/>
          <w:szCs w:val="20"/>
          <w:shd w:val="clear" w:color="auto" w:fill="FFFFFF"/>
        </w:rPr>
        <w:t>H</w:t>
      </w:r>
      <w:r>
        <w:rPr>
          <w:rFonts w:ascii="MathJax_Main" w:eastAsia="Times New Roman" w:hAnsi="MathJax_Main" w:cs="Times New Roman"/>
          <w:color w:val="555555"/>
          <w:sz w:val="15"/>
          <w:szCs w:val="15"/>
          <w:shd w:val="clear" w:color="auto" w:fill="FFFFFF"/>
        </w:rPr>
        <w:t>0</w:t>
      </w:r>
      <w:r>
        <w:rPr>
          <w:rFonts w:ascii="MathJax_Main" w:eastAsia="Times New Roman" w:hAnsi="MathJax_Main" w:cs="Times New Roman"/>
          <w:color w:val="555555"/>
          <w:sz w:val="20"/>
          <w:szCs w:val="20"/>
          <w:shd w:val="clear" w:color="auto" w:fill="FFFFFF"/>
        </w:rPr>
        <w:t>:</w:t>
      </w:r>
      <w:r>
        <w:rPr>
          <w:rFonts w:ascii="MathJax_Math" w:eastAsia="Times New Roman" w:hAnsi="MathJax_Math" w:cs="Times New Roman"/>
          <w:i/>
          <w:iCs/>
          <w:color w:val="555555"/>
          <w:sz w:val="20"/>
          <w:szCs w:val="20"/>
          <w:shd w:val="clear" w:color="auto" w:fill="FFFFFF"/>
        </w:rPr>
        <w:t xml:space="preserve"> μ</w:t>
      </w:r>
      <w:r>
        <w:rPr>
          <w:rFonts w:ascii="MathJax_Main" w:eastAsia="Times New Roman" w:hAnsi="MathJax_Main" w:cs="Times New Roman"/>
          <w:color w:val="555555"/>
          <w:sz w:val="15"/>
          <w:szCs w:val="15"/>
          <w:shd w:val="clear" w:color="auto" w:fill="FFFFFF"/>
        </w:rPr>
        <w:t>1</w:t>
      </w:r>
      <w:r>
        <w:rPr>
          <w:rFonts w:ascii="MathJax_Main" w:eastAsia="Times New Roman" w:hAnsi="MathJax_Main" w:cs="Times New Roman"/>
          <w:color w:val="555555"/>
          <w:sz w:val="20"/>
          <w:szCs w:val="20"/>
          <w:shd w:val="clear" w:color="auto" w:fill="FFFFFF"/>
        </w:rPr>
        <w:t>=</w:t>
      </w:r>
      <w:r>
        <w:rPr>
          <w:rFonts w:ascii="MathJax_Math" w:eastAsia="Times New Roman" w:hAnsi="MathJax_Math" w:cs="Times New Roman"/>
          <w:i/>
          <w:iCs/>
          <w:color w:val="555555"/>
          <w:sz w:val="20"/>
          <w:szCs w:val="20"/>
          <w:shd w:val="clear" w:color="auto" w:fill="FFFFFF"/>
        </w:rPr>
        <w:t>μ</w:t>
      </w:r>
      <w:r>
        <w:rPr>
          <w:rFonts w:ascii="MathJax_Main" w:eastAsia="Times New Roman" w:hAnsi="MathJax_Main" w:cs="Times New Roman"/>
          <w:color w:val="555555"/>
          <w:sz w:val="15"/>
          <w:szCs w:val="15"/>
          <w:shd w:val="clear" w:color="auto" w:fill="FFFFFF"/>
        </w:rPr>
        <w:t>2</w:t>
      </w:r>
      <w:r>
        <w:rPr>
          <w:rFonts w:ascii="MathJax_Main" w:eastAsia="Times New Roman" w:hAnsi="MathJax_Main" w:cs="Times New Roman"/>
          <w:color w:val="555555"/>
          <w:sz w:val="20"/>
          <w:szCs w:val="20"/>
          <w:shd w:val="clear" w:color="auto" w:fill="FFFFFF"/>
        </w:rPr>
        <w:t>= </w:t>
      </w:r>
      <w:r>
        <w:rPr>
          <w:rFonts w:ascii="Cambria Math" w:eastAsia="Times New Roman" w:hAnsi="Cambria Math" w:cs="Cambria Math"/>
          <w:color w:val="555555"/>
          <w:sz w:val="20"/>
          <w:szCs w:val="20"/>
          <w:shd w:val="clear" w:color="auto" w:fill="FFFFFF"/>
        </w:rPr>
        <w:t>⋅</w:t>
      </w:r>
      <w:r>
        <w:rPr>
          <w:rFonts w:ascii="MathJax_Main" w:eastAsia="Times New Roman" w:hAnsi="MathJax_Main" w:cs="Times New Roman"/>
          <w:color w:val="555555"/>
          <w:sz w:val="20"/>
          <w:szCs w:val="20"/>
          <w:shd w:val="clear" w:color="auto" w:fill="FFFFFF"/>
        </w:rPr>
        <w:t xml:space="preserve"> </w:t>
      </w:r>
      <w:r>
        <w:rPr>
          <w:rFonts w:ascii="Cambria Math" w:eastAsia="Times New Roman" w:hAnsi="Cambria Math" w:cs="Cambria Math"/>
          <w:color w:val="555555"/>
          <w:sz w:val="20"/>
          <w:szCs w:val="20"/>
          <w:shd w:val="clear" w:color="auto" w:fill="FFFFFF"/>
        </w:rPr>
        <w:t>⋅</w:t>
      </w:r>
      <w:r>
        <w:rPr>
          <w:rFonts w:ascii="MathJax_Main" w:eastAsia="Times New Roman" w:hAnsi="MathJax_Main" w:cs="Times New Roman"/>
          <w:color w:val="555555"/>
          <w:sz w:val="20"/>
          <w:szCs w:val="20"/>
          <w:shd w:val="clear" w:color="auto" w:fill="FFFFFF"/>
        </w:rPr>
        <w:t xml:space="preserve"> </w:t>
      </w:r>
      <w:r>
        <w:rPr>
          <w:rFonts w:ascii="Cambria Math" w:eastAsia="Times New Roman" w:hAnsi="Cambria Math" w:cs="Cambria Math"/>
          <w:color w:val="555555"/>
          <w:sz w:val="20"/>
          <w:szCs w:val="20"/>
          <w:shd w:val="clear" w:color="auto" w:fill="FFFFFF"/>
        </w:rPr>
        <w:t>⋅</w:t>
      </w:r>
      <w:r>
        <w:rPr>
          <w:rFonts w:ascii="MathJax_Main" w:eastAsia="Times New Roman" w:hAnsi="MathJax_Main" w:cs="Times New Roman"/>
          <w:color w:val="555555"/>
          <w:sz w:val="20"/>
          <w:szCs w:val="20"/>
          <w:shd w:val="clear" w:color="auto" w:fill="FFFFFF"/>
        </w:rPr>
        <w:t> =</w:t>
      </w:r>
      <w:r>
        <w:rPr>
          <w:rFonts w:ascii="MathJax_Math" w:eastAsia="Times New Roman" w:hAnsi="MathJax_Math" w:cs="Times New Roman"/>
          <w:i/>
          <w:iCs/>
          <w:color w:val="555555"/>
          <w:sz w:val="20"/>
          <w:szCs w:val="20"/>
          <w:shd w:val="clear" w:color="auto" w:fill="FFFFFF"/>
        </w:rPr>
        <w:t>μ</w:t>
      </w:r>
      <w:r>
        <w:rPr>
          <w:rFonts w:ascii="MathJax_Math" w:eastAsia="Times New Roman" w:hAnsi="MathJax_Math" w:cs="Times New Roman"/>
          <w:i/>
          <w:iCs/>
          <w:color w:val="555555"/>
          <w:sz w:val="15"/>
          <w:szCs w:val="15"/>
          <w:shd w:val="clear" w:color="auto" w:fill="FFFFFF"/>
        </w:rPr>
        <w:t>K</w:t>
      </w:r>
      <w:r>
        <w:rPr>
          <w:rFonts w:ascii="MathJax_Main" w:eastAsia="Times New Roman" w:hAnsi="MathJax_Main" w:cs="Times New Roman"/>
          <w:color w:val="555555"/>
          <w:sz w:val="20"/>
          <w:szCs w:val="20"/>
          <w:shd w:val="clear" w:color="auto" w:fill="FFFFFF"/>
        </w:rPr>
        <w:t> </w:t>
      </w:r>
    </w:p>
    <w:p w:rsidR="00AD77BB" w:rsidRDefault="00B45BA0">
      <w:pPr>
        <w:spacing w:line="270" w:lineRule="atLeast"/>
        <w:jc w:val="center"/>
        <w:textAlignment w:val="baseline"/>
        <w:rPr>
          <w:rFonts w:ascii="Calibri" w:eastAsia="Times New Roman" w:hAnsi="Calibri" w:cs="Times New Roman"/>
          <w:color w:val="555555"/>
          <w:sz w:val="23"/>
          <w:szCs w:val="23"/>
          <w:shd w:val="clear" w:color="auto" w:fill="FFFFFF"/>
        </w:rPr>
      </w:pPr>
      <w:r>
        <w:rPr>
          <w:rFonts w:ascii="MathJax_Main" w:eastAsia="Times New Roman" w:hAnsi="MathJax_Main" w:cs="Times New Roman"/>
          <w:color w:val="555555"/>
          <w:sz w:val="20"/>
          <w:szCs w:val="20"/>
          <w:shd w:val="clear" w:color="auto" w:fill="FFFFFF"/>
        </w:rPr>
        <w:t>vs. </w:t>
      </w:r>
      <w:r>
        <w:rPr>
          <w:rFonts w:ascii="MathJax_Math" w:eastAsia="Times New Roman" w:hAnsi="MathJax_Math" w:cs="Times New Roman"/>
          <w:i/>
          <w:iCs/>
          <w:color w:val="555555"/>
          <w:sz w:val="20"/>
          <w:szCs w:val="20"/>
          <w:shd w:val="clear" w:color="auto" w:fill="FFFFFF"/>
        </w:rPr>
        <w:t>H</w:t>
      </w:r>
      <w:r>
        <w:rPr>
          <w:rFonts w:ascii="MathJax_Math" w:eastAsia="Times New Roman" w:hAnsi="MathJax_Math" w:cs="Times New Roman"/>
          <w:i/>
          <w:iCs/>
          <w:color w:val="555555"/>
          <w:sz w:val="15"/>
          <w:szCs w:val="15"/>
          <w:shd w:val="clear" w:color="auto" w:fill="FFFFFF"/>
        </w:rPr>
        <w:t>a</w:t>
      </w:r>
      <w:r>
        <w:rPr>
          <w:rFonts w:ascii="MathJax_Main" w:eastAsia="Times New Roman" w:hAnsi="MathJax_Main" w:cs="Times New Roman"/>
          <w:color w:val="555555"/>
          <w:sz w:val="20"/>
          <w:szCs w:val="20"/>
          <w:shd w:val="clear" w:color="auto" w:fill="FFFFFF"/>
        </w:rPr>
        <w:t>: not all </w:t>
      </w:r>
      <w:r>
        <w:rPr>
          <w:rFonts w:ascii="MathJax_Math" w:eastAsia="Times New Roman" w:hAnsi="MathJax_Math" w:cs="Times New Roman"/>
          <w:i/>
          <w:iCs/>
          <w:color w:val="555555"/>
          <w:sz w:val="20"/>
          <w:szCs w:val="20"/>
          <w:shd w:val="clear" w:color="auto" w:fill="FFFFFF"/>
        </w:rPr>
        <w:t>K</w:t>
      </w:r>
      <w:r>
        <w:rPr>
          <w:rFonts w:ascii="MathJax_Main" w:eastAsia="Times New Roman" w:hAnsi="MathJax_Main" w:cs="Times New Roman"/>
          <w:color w:val="555555"/>
          <w:sz w:val="20"/>
          <w:szCs w:val="20"/>
          <w:shd w:val="clear" w:color="auto" w:fill="FFFFFF"/>
        </w:rPr>
        <w:t> population means are equal</w:t>
      </w:r>
    </w:p>
    <w:p w:rsidR="00AD77BB" w:rsidRDefault="00B45BA0">
      <w:pPr>
        <w:shd w:val="clear" w:color="auto" w:fill="FFFFFF"/>
        <w:spacing w:after="0"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To perform the test </w:t>
      </w:r>
      <w:r>
        <w:rPr>
          <w:rFonts w:ascii="Georgia" w:eastAsia="Times New Roman" w:hAnsi="Georgia" w:cs="Times New Roman"/>
          <w:i/>
          <w:iCs/>
          <w:color w:val="333333"/>
          <w:sz w:val="20"/>
          <w:szCs w:val="20"/>
        </w:rPr>
        <w:t>K</w:t>
      </w:r>
      <w:r>
        <w:rPr>
          <w:rFonts w:ascii="Georgia" w:eastAsia="Times New Roman" w:hAnsi="Georgia" w:cs="Times New Roman"/>
          <w:color w:val="333333"/>
          <w:sz w:val="21"/>
          <w:szCs w:val="21"/>
        </w:rPr>
        <w:t> independent random samples are taken from the </w:t>
      </w:r>
      <w:r>
        <w:rPr>
          <w:rFonts w:ascii="Georgia" w:eastAsia="Times New Roman" w:hAnsi="Georgia" w:cs="Times New Roman"/>
          <w:i/>
          <w:iCs/>
          <w:color w:val="333333"/>
          <w:sz w:val="20"/>
          <w:szCs w:val="20"/>
        </w:rPr>
        <w:t>K</w:t>
      </w:r>
      <w:r>
        <w:rPr>
          <w:rFonts w:ascii="Georgia" w:eastAsia="Times New Roman" w:hAnsi="Georgia" w:cs="Times New Roman"/>
          <w:color w:val="333333"/>
          <w:sz w:val="21"/>
          <w:szCs w:val="21"/>
        </w:rPr>
        <w:t>normal populations. The </w:t>
      </w:r>
      <w:r>
        <w:rPr>
          <w:rFonts w:ascii="Georgia" w:eastAsia="Times New Roman" w:hAnsi="Georgia" w:cs="Times New Roman"/>
          <w:i/>
          <w:iCs/>
          <w:color w:val="333333"/>
          <w:sz w:val="20"/>
          <w:szCs w:val="20"/>
        </w:rPr>
        <w:t>K</w:t>
      </w:r>
      <w:r>
        <w:rPr>
          <w:rFonts w:ascii="Georgia" w:eastAsia="Times New Roman" w:hAnsi="Georgia" w:cs="Times New Roman"/>
          <w:color w:val="333333"/>
          <w:sz w:val="21"/>
          <w:szCs w:val="21"/>
        </w:rPr>
        <w:t> sample means, the </w:t>
      </w:r>
      <w:r>
        <w:rPr>
          <w:rFonts w:ascii="Georgia" w:eastAsia="Times New Roman" w:hAnsi="Georgia" w:cs="Times New Roman"/>
          <w:i/>
          <w:iCs/>
          <w:color w:val="333333"/>
          <w:sz w:val="20"/>
          <w:szCs w:val="20"/>
        </w:rPr>
        <w:t>K</w:t>
      </w:r>
      <w:r>
        <w:rPr>
          <w:rFonts w:ascii="Georgia" w:eastAsia="Times New Roman" w:hAnsi="Georgia" w:cs="Times New Roman"/>
          <w:color w:val="333333"/>
          <w:sz w:val="21"/>
          <w:szCs w:val="21"/>
        </w:rPr>
        <w:t> sample variances, and the </w:t>
      </w:r>
      <w:r>
        <w:rPr>
          <w:rFonts w:ascii="Georgia" w:eastAsia="Times New Roman" w:hAnsi="Georgia" w:cs="Times New Roman"/>
          <w:i/>
          <w:iCs/>
          <w:color w:val="333333"/>
          <w:sz w:val="20"/>
          <w:szCs w:val="20"/>
        </w:rPr>
        <w:t>K</w:t>
      </w:r>
      <w:r>
        <w:rPr>
          <w:rFonts w:ascii="Georgia" w:eastAsia="Times New Roman" w:hAnsi="Georgia" w:cs="Times New Roman"/>
          <w:color w:val="333333"/>
          <w:sz w:val="21"/>
          <w:szCs w:val="21"/>
        </w:rPr>
        <w:t>sample sizes are summarized in the table:</w:t>
      </w:r>
    </w:p>
    <w:tbl>
      <w:tblPr>
        <w:tblW w:w="0" w:type="auto"/>
        <w:tblCellMar>
          <w:left w:w="0" w:type="dxa"/>
          <w:right w:w="0" w:type="dxa"/>
        </w:tblCellMar>
        <w:tblLook w:val="04A0" w:firstRow="1" w:lastRow="0" w:firstColumn="1" w:lastColumn="0" w:noHBand="0" w:noVBand="1"/>
      </w:tblPr>
      <w:tblGrid>
        <w:gridCol w:w="1084"/>
        <w:gridCol w:w="1178"/>
        <w:gridCol w:w="1323"/>
        <w:gridCol w:w="1611"/>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0"/>
                <w:szCs w:val="20"/>
              </w:rPr>
            </w:pPr>
            <w:r>
              <w:rPr>
                <w:rFonts w:ascii="Times New Roman" w:eastAsia="Times New Roman" w:hAnsi="Times New Roman" w:cs="Times New Roman"/>
                <w:b/>
                <w:bCs/>
                <w:color w:val="F48800"/>
                <w:sz w:val="20"/>
                <w:szCs w:val="20"/>
              </w:rPr>
              <w:t>Population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0"/>
                <w:szCs w:val="20"/>
              </w:rPr>
            </w:pPr>
            <w:r>
              <w:rPr>
                <w:rFonts w:ascii="Times New Roman" w:eastAsia="Times New Roman" w:hAnsi="Times New Roman" w:cs="Times New Roman"/>
                <w:b/>
                <w:bCs/>
                <w:color w:val="F48800"/>
                <w:sz w:val="20"/>
                <w:szCs w:val="20"/>
              </w:rPr>
              <w:t>Sample Size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0"/>
                <w:szCs w:val="20"/>
              </w:rPr>
            </w:pPr>
            <w:r>
              <w:rPr>
                <w:rFonts w:ascii="Times New Roman" w:eastAsia="Times New Roman" w:hAnsi="Times New Roman" w:cs="Times New Roman"/>
                <w:b/>
                <w:bCs/>
                <w:color w:val="F48800"/>
                <w:sz w:val="20"/>
                <w:szCs w:val="20"/>
              </w:rPr>
              <w:t>Sample Mean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b/>
                <w:bCs/>
                <w:color w:val="F48800"/>
                <w:sz w:val="20"/>
                <w:szCs w:val="20"/>
              </w:rPr>
            </w:pPr>
            <w:r>
              <w:rPr>
                <w:rFonts w:ascii="Times New Roman" w:eastAsia="Times New Roman" w:hAnsi="Times New Roman" w:cs="Times New Roman"/>
                <w:b/>
                <w:bCs/>
                <w:color w:val="F48800"/>
                <w:sz w:val="20"/>
                <w:szCs w:val="20"/>
              </w:rPr>
              <w:t>Sample Variance</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MathJax_Math" w:eastAsia="Times New Roman" w:hAnsi="MathJax_Math" w:cs="Times New Roman"/>
                <w:i/>
                <w:iCs/>
                <w:sz w:val="17"/>
                <w:szCs w:val="17"/>
              </w:rPr>
              <w:t>n</w:t>
            </w:r>
            <w:r>
              <w:rPr>
                <w:rFonts w:ascii="MathJax_Main" w:eastAsia="Times New Roman" w:hAnsi="MathJax_Main" w:cs="Times New Roman"/>
                <w:sz w:val="12"/>
                <w:szCs w:val="12"/>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MathJax_Math" w:eastAsia="Times New Roman" w:hAnsi="MathJax_Math" w:cs="Times New Roman"/>
                <w:i/>
                <w:iCs/>
                <w:sz w:val="17"/>
                <w:szCs w:val="17"/>
              </w:rPr>
              <w:t>x</w:t>
            </w:r>
            <w:r>
              <w:rPr>
                <w:rFonts w:ascii="MathJax_Main" w:eastAsia="Times New Roman" w:hAnsi="MathJax_Main" w:cs="Times New Roman"/>
                <w:sz w:val="17"/>
                <w:szCs w:val="17"/>
              </w:rPr>
              <w:t>−</w:t>
            </w:r>
            <w:r>
              <w:rPr>
                <w:rFonts w:ascii="MathJax_Main" w:eastAsia="Times New Roman" w:hAnsi="MathJax_Main" w:cs="Times New Roman"/>
                <w:sz w:val="12"/>
                <w:szCs w:val="12"/>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MathJax_Math" w:eastAsia="Times New Roman" w:hAnsi="MathJax_Math" w:cs="Times New Roman"/>
                <w:i/>
                <w:iCs/>
                <w:sz w:val="17"/>
                <w:szCs w:val="17"/>
              </w:rPr>
              <w:t>s</w:t>
            </w:r>
            <w:r>
              <w:rPr>
                <w:rFonts w:ascii="MathJax_Main" w:eastAsia="Times New Roman" w:hAnsi="MathJax_Main" w:cs="Times New Roman"/>
                <w:sz w:val="12"/>
                <w:szCs w:val="12"/>
              </w:rPr>
              <w:t>21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MathJax_Math" w:eastAsia="Times New Roman" w:hAnsi="MathJax_Math" w:cs="Times New Roman"/>
                <w:i/>
                <w:iCs/>
                <w:sz w:val="17"/>
                <w:szCs w:val="17"/>
              </w:rPr>
              <w:t>n</w:t>
            </w:r>
            <w:r>
              <w:rPr>
                <w:rFonts w:ascii="MathJax_Main" w:eastAsia="Times New Roman" w:hAnsi="MathJax_Main" w:cs="Times New Roman"/>
                <w:sz w:val="12"/>
                <w:szCs w:val="12"/>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MathJax_Math" w:eastAsia="Times New Roman" w:hAnsi="MathJax_Math" w:cs="Times New Roman"/>
                <w:i/>
                <w:iCs/>
                <w:sz w:val="17"/>
                <w:szCs w:val="17"/>
              </w:rPr>
              <w:t>x</w:t>
            </w:r>
            <w:r>
              <w:rPr>
                <w:rFonts w:ascii="MathJax_Main" w:eastAsia="Times New Roman" w:hAnsi="MathJax_Main" w:cs="Times New Roman"/>
                <w:sz w:val="17"/>
                <w:szCs w:val="17"/>
              </w:rPr>
              <w:t>−</w:t>
            </w:r>
            <w:r>
              <w:rPr>
                <w:rFonts w:ascii="MathJax_Main" w:eastAsia="Times New Roman" w:hAnsi="MathJax_Main" w:cs="Times New Roman"/>
                <w:sz w:val="12"/>
                <w:szCs w:val="12"/>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MathJax_Math" w:eastAsia="Times New Roman" w:hAnsi="MathJax_Math" w:cs="Times New Roman"/>
                <w:i/>
                <w:iCs/>
                <w:sz w:val="17"/>
                <w:szCs w:val="17"/>
              </w:rPr>
              <w:t>s</w:t>
            </w:r>
            <w:r>
              <w:rPr>
                <w:rFonts w:ascii="MathJax_Main" w:eastAsia="Times New Roman" w:hAnsi="MathJax_Main" w:cs="Times New Roman"/>
                <w:sz w:val="12"/>
                <w:szCs w:val="12"/>
              </w:rPr>
              <w:t>22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Cambria Math" w:eastAsia="Times New Roman"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Cambria Math" w:eastAsia="Times New Roman"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Cambria Math" w:eastAsia="Times New Roman" w:hAnsi="Cambria Math" w:cs="Cambria Math"/>
                <w:sz w:val="20"/>
                <w:szCs w:val="20"/>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Cambria Math" w:eastAsia="Times New Roman" w:hAnsi="Cambria Math" w:cs="Cambria Math"/>
                <w:sz w:val="20"/>
                <w:szCs w:val="20"/>
              </w:rPr>
              <w:t>⋮</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i/>
                <w:iCs/>
                <w:sz w:val="20"/>
                <w:szCs w:val="20"/>
              </w:rPr>
              <w:t>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MathJax_Math" w:eastAsia="Times New Roman" w:hAnsi="MathJax_Math" w:cs="Times New Roman"/>
                <w:i/>
                <w:iCs/>
                <w:sz w:val="17"/>
                <w:szCs w:val="17"/>
              </w:rPr>
              <w:t>n</w:t>
            </w:r>
            <w:r>
              <w:rPr>
                <w:rFonts w:ascii="MathJax_Math" w:eastAsia="Times New Roman" w:hAnsi="MathJax_Math" w:cs="Times New Roman"/>
                <w:i/>
                <w:iCs/>
                <w:sz w:val="12"/>
                <w:szCs w:val="12"/>
              </w:rPr>
              <w:t>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MathJax_Math" w:eastAsia="Times New Roman" w:hAnsi="MathJax_Math" w:cs="Times New Roman"/>
                <w:i/>
                <w:iCs/>
                <w:sz w:val="17"/>
                <w:szCs w:val="17"/>
              </w:rPr>
              <w:t>x</w:t>
            </w:r>
            <w:r>
              <w:rPr>
                <w:rFonts w:ascii="MathJax_Main" w:eastAsia="Times New Roman" w:hAnsi="MathJax_Main" w:cs="Times New Roman"/>
                <w:sz w:val="17"/>
                <w:szCs w:val="17"/>
              </w:rPr>
              <w:t>−</w:t>
            </w:r>
            <w:r>
              <w:rPr>
                <w:rFonts w:ascii="MathJax_Math" w:eastAsia="Times New Roman" w:hAnsi="MathJax_Math" w:cs="Times New Roman"/>
                <w:i/>
                <w:iCs/>
                <w:sz w:val="12"/>
                <w:szCs w:val="12"/>
              </w:rPr>
              <w:t>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240" w:lineRule="auto"/>
              <w:jc w:val="center"/>
              <w:rPr>
                <w:rFonts w:ascii="Times New Roman" w:eastAsia="Times New Roman" w:hAnsi="Times New Roman" w:cs="Times New Roman"/>
                <w:sz w:val="20"/>
                <w:szCs w:val="20"/>
              </w:rPr>
            </w:pPr>
            <w:r>
              <w:rPr>
                <w:rFonts w:ascii="MathJax_Math" w:eastAsia="Times New Roman" w:hAnsi="MathJax_Math" w:cs="Times New Roman"/>
                <w:i/>
                <w:iCs/>
                <w:sz w:val="17"/>
                <w:szCs w:val="17"/>
              </w:rPr>
              <w:t>s</w:t>
            </w:r>
            <w:r>
              <w:rPr>
                <w:rFonts w:ascii="MathJax_Main" w:eastAsia="Times New Roman" w:hAnsi="MathJax_Main" w:cs="Times New Roman"/>
                <w:sz w:val="12"/>
                <w:szCs w:val="12"/>
              </w:rPr>
              <w:t>2</w:t>
            </w:r>
            <w:r>
              <w:rPr>
                <w:rFonts w:ascii="MathJax_Math" w:eastAsia="Times New Roman" w:hAnsi="MathJax_Math" w:cs="Times New Roman"/>
                <w:i/>
                <w:iCs/>
                <w:sz w:val="12"/>
                <w:szCs w:val="12"/>
              </w:rPr>
              <w:t>K</w:t>
            </w:r>
          </w:p>
        </w:tc>
      </w:tr>
    </w:tbl>
    <w:p w:rsidR="00AD77BB" w:rsidRDefault="00B45BA0">
      <w:pPr>
        <w:shd w:val="clear" w:color="auto" w:fill="FFFFFF"/>
        <w:spacing w:after="0"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Define the following quantities:</w:t>
      </w:r>
    </w:p>
    <w:p w:rsidR="00AD77BB" w:rsidRDefault="00B45BA0">
      <w:pPr>
        <w:tabs>
          <w:tab w:val="left" w:pos="5547"/>
        </w:tabs>
        <w:spacing w:line="360" w:lineRule="auto"/>
        <w:ind w:left="360"/>
        <w:contextualSpacing/>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4185B496" wp14:editId="416DA4DA">
            <wp:extent cx="4086225" cy="5429250"/>
            <wp:effectExtent l="0" t="0" r="9525" b="0"/>
            <wp:docPr id="464"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4086225" cy="5429250"/>
                    </a:xfrm>
                    <a:prstGeom prst="rect">
                      <a:avLst/>
                    </a:prstGeom>
                    <a:noFill/>
                    <a:ln>
                      <a:noFill/>
                    </a:ln>
                  </pic:spPr>
                </pic:pic>
              </a:graphicData>
            </a:graphic>
          </wp:inline>
        </w:drawing>
      </w:r>
    </w:p>
    <w:p w:rsidR="00AD77BB" w:rsidRDefault="00B45BA0">
      <w:pPr>
        <w:tabs>
          <w:tab w:val="left" w:pos="5547"/>
        </w:tabs>
        <w:spacing w:line="360" w:lineRule="auto"/>
        <w:ind w:left="360"/>
        <w:contextualSpacing/>
        <w:rPr>
          <w:rFonts w:ascii="Calibri" w:eastAsia="Times New Roman" w:hAnsi="Calibri" w:cs="Times New Roman"/>
          <w:sz w:val="20"/>
          <w:szCs w:val="20"/>
        </w:rPr>
      </w:pPr>
      <w:r>
        <w:rPr>
          <w:rFonts w:ascii="Calibri" w:eastAsia="Times New Roman" w:hAnsi="Calibri" w:cs="Times New Roman"/>
          <w:noProof/>
          <w:sz w:val="20"/>
          <w:szCs w:val="20"/>
        </w:rPr>
        <w:drawing>
          <wp:inline distT="0" distB="0" distL="0" distR="0" wp14:anchorId="265A082D" wp14:editId="66F87D0A">
            <wp:extent cx="4086225" cy="2638425"/>
            <wp:effectExtent l="0" t="0" r="9525" b="9525"/>
            <wp:docPr id="465"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4086225" cy="2638425"/>
                    </a:xfrm>
                    <a:prstGeom prst="rect">
                      <a:avLst/>
                    </a:prstGeom>
                    <a:noFill/>
                    <a:ln>
                      <a:noFill/>
                    </a:ln>
                  </pic:spPr>
                </pic:pic>
              </a:graphicData>
            </a:graphic>
          </wp:inline>
        </w:drawing>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lastRenderedPageBreak/>
        <w:t>EXAMPLE 8</w:t>
      </w:r>
    </w:p>
    <w:p w:rsidR="00AD77BB" w:rsidRDefault="00B45BA0">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The average of grade point averages (GPAs) of college courses in a specific major is a measure of difficulty of the major. An educator wishes to conduct a study to find out whether the difficulty levels of different majors are the same. For such a study, a random sample of major grade point averages (GPA) of 11 graduating seniors at a large university is selected for each of the four majors mathematics, English, education, and biology. The data are given in</w:t>
      </w:r>
      <w:r>
        <w:rPr>
          <w:rStyle w:val="apple-converted-space"/>
          <w:rFonts w:ascii="Calibri" w:hAnsi="Calibri"/>
          <w:color w:val="333333"/>
          <w:sz w:val="21"/>
          <w:szCs w:val="21"/>
        </w:rPr>
        <w:t> </w:t>
      </w:r>
      <w:r>
        <w:rPr>
          <w:rFonts w:ascii="Calibri" w:hAnsi="Calibri"/>
          <w:color w:val="2689C6"/>
          <w:sz w:val="21"/>
          <w:szCs w:val="21"/>
        </w:rPr>
        <w:t>Table 11.17 "Difficulty Levels of College Majors"</w:t>
      </w:r>
      <w:r>
        <w:rPr>
          <w:rFonts w:ascii="Calibri" w:hAnsi="Calibri"/>
          <w:color w:val="333333"/>
          <w:sz w:val="21"/>
          <w:szCs w:val="21"/>
        </w:rPr>
        <w:t>. Test, at the 5% level of significance, whether the data contain sufficient evidence to conclude that there are differences among the average major GPAs of these four majors.</w:t>
      </w:r>
    </w:p>
    <w:p w:rsidR="00AD77BB" w:rsidRDefault="00B45BA0">
      <w:pPr>
        <w:pStyle w:val="Title9"/>
        <w:shd w:val="clear" w:color="auto" w:fill="08629A"/>
        <w:spacing w:before="0" w:beforeAutospacing="0" w:after="0" w:afterAutospacing="0" w:line="360" w:lineRule="auto"/>
        <w:ind w:left="300" w:right="375"/>
        <w:jc w:val="center"/>
        <w:textAlignment w:val="baseline"/>
        <w:rPr>
          <w:rFonts w:ascii="Calibri" w:hAnsi="Calibri"/>
          <w:caps/>
          <w:color w:val="FFFFFF"/>
          <w:spacing w:val="30"/>
          <w:sz w:val="25"/>
          <w:szCs w:val="25"/>
        </w:rPr>
      </w:pPr>
      <w:r>
        <w:rPr>
          <w:rStyle w:val="title-prefix"/>
          <w:rFonts w:ascii="Calibri" w:eastAsiaTheme="majorEastAsia" w:hAnsi="Calibri"/>
          <w:caps/>
          <w:color w:val="FFFFFF"/>
          <w:spacing w:val="30"/>
          <w:sz w:val="25"/>
          <w:szCs w:val="25"/>
        </w:rPr>
        <w:t>TABLE 11.17</w:t>
      </w:r>
      <w:r>
        <w:rPr>
          <w:rStyle w:val="apple-converted-space"/>
          <w:rFonts w:ascii="Calibri" w:hAnsi="Calibri"/>
          <w:caps/>
          <w:color w:val="FFFFFF"/>
          <w:spacing w:val="30"/>
          <w:sz w:val="25"/>
          <w:szCs w:val="25"/>
        </w:rPr>
        <w:t> </w:t>
      </w:r>
      <w:r>
        <w:rPr>
          <w:rFonts w:ascii="Calibri" w:hAnsi="Calibri"/>
          <w:caps/>
          <w:color w:val="FFFFFF"/>
          <w:spacing w:val="30"/>
          <w:sz w:val="25"/>
          <w:szCs w:val="25"/>
        </w:rPr>
        <w:t>DIFFICULTY LEVELS OF COLLEGE MAJORS</w:t>
      </w:r>
    </w:p>
    <w:tbl>
      <w:tblPr>
        <w:tblW w:w="0" w:type="auto"/>
        <w:tblInd w:w="720" w:type="dxa"/>
        <w:tblCellMar>
          <w:left w:w="0" w:type="dxa"/>
          <w:right w:w="0" w:type="dxa"/>
        </w:tblCellMar>
        <w:tblLook w:val="04A0" w:firstRow="1" w:lastRow="0" w:firstColumn="1" w:lastColumn="0" w:noHBand="0" w:noVBand="1"/>
      </w:tblPr>
      <w:tblGrid>
        <w:gridCol w:w="1245"/>
        <w:gridCol w:w="736"/>
        <w:gridCol w:w="978"/>
        <w:gridCol w:w="765"/>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b/>
                <w:bCs/>
                <w:color w:val="F48800"/>
                <w:sz w:val="20"/>
                <w:szCs w:val="20"/>
              </w:rPr>
            </w:pPr>
            <w:r>
              <w:rPr>
                <w:b/>
                <w:bCs/>
                <w:color w:val="F48800"/>
                <w:sz w:val="20"/>
                <w:szCs w:val="20"/>
              </w:rPr>
              <w:t>Mathematics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b/>
                <w:bCs/>
                <w:color w:val="F48800"/>
                <w:sz w:val="20"/>
                <w:szCs w:val="20"/>
              </w:rPr>
            </w:pPr>
            <w:r>
              <w:rPr>
                <w:b/>
                <w:bCs/>
                <w:color w:val="F48800"/>
                <w:sz w:val="20"/>
                <w:szCs w:val="20"/>
              </w:rPr>
              <w:t>English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b/>
                <w:bCs/>
                <w:color w:val="F48800"/>
                <w:sz w:val="20"/>
                <w:szCs w:val="20"/>
              </w:rPr>
            </w:pPr>
            <w:r>
              <w:rPr>
                <w:b/>
                <w:bCs/>
                <w:color w:val="F48800"/>
                <w:sz w:val="20"/>
                <w:szCs w:val="20"/>
              </w:rPr>
              <w:t>Education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b/>
                <w:bCs/>
                <w:color w:val="F48800"/>
                <w:sz w:val="20"/>
                <w:szCs w:val="20"/>
              </w:rPr>
            </w:pPr>
            <w:r>
              <w:rPr>
                <w:b/>
                <w:bCs/>
                <w:color w:val="F48800"/>
                <w:sz w:val="20"/>
                <w:szCs w:val="20"/>
              </w:rPr>
              <w:t>Biology</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2.78</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3.51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2.65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3.16</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2.94</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2.32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2.58</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3.21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3.23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3.57</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2.64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line="360" w:lineRule="auto"/>
              <w:jc w:val="center"/>
              <w:rPr>
                <w:sz w:val="20"/>
                <w:szCs w:val="20"/>
              </w:rPr>
            </w:pPr>
            <w:r>
              <w:rPr>
                <w:sz w:val="20"/>
                <w:szCs w:val="20"/>
              </w:rPr>
              <w:t>3.22</w:t>
            </w:r>
          </w:p>
        </w:tc>
      </w:tr>
    </w:tbl>
    <w:p w:rsidR="00AD77BB" w:rsidRDefault="00B45BA0">
      <w:pPr>
        <w:shd w:val="clear" w:color="auto" w:fill="DAEEF3" w:themeFill="accent5" w:themeFillTint="33"/>
        <w:tabs>
          <w:tab w:val="left" w:pos="5547"/>
        </w:tabs>
        <w:spacing w:line="360" w:lineRule="auto"/>
        <w:ind w:left="360"/>
        <w:contextualSpacing/>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65E1C88A" wp14:editId="21D74328">
            <wp:extent cx="4686300" cy="7000875"/>
            <wp:effectExtent l="0" t="0" r="0" b="9525"/>
            <wp:docPr id="466"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4686300" cy="7000875"/>
                    </a:xfrm>
                    <a:prstGeom prst="rect">
                      <a:avLst/>
                    </a:prstGeom>
                    <a:noFill/>
                    <a:ln>
                      <a:noFill/>
                    </a:ln>
                  </pic:spPr>
                </pic:pic>
              </a:graphicData>
            </a:graphic>
          </wp:inline>
        </w:drawing>
      </w:r>
    </w:p>
    <w:p w:rsidR="00AD77BB" w:rsidRDefault="00B45BA0">
      <w:pPr>
        <w:shd w:val="clear" w:color="auto" w:fill="DAEEF3" w:themeFill="accent5" w:themeFillTint="33"/>
        <w:tabs>
          <w:tab w:val="left" w:pos="5547"/>
        </w:tabs>
        <w:spacing w:line="360" w:lineRule="auto"/>
        <w:ind w:left="360"/>
        <w:contextualSpacing/>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5A381405" wp14:editId="3464F063">
            <wp:extent cx="4829175" cy="5876925"/>
            <wp:effectExtent l="0" t="0" r="9525" b="9525"/>
            <wp:docPr id="467"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4829175" cy="5876925"/>
                    </a:xfrm>
                    <a:prstGeom prst="rect">
                      <a:avLst/>
                    </a:prstGeom>
                    <a:noFill/>
                    <a:ln>
                      <a:noFill/>
                    </a:ln>
                  </pic:spPr>
                </pic:pic>
              </a:graphicData>
            </a:graphic>
          </wp:inline>
        </w:drawing>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6"/>
          <w:szCs w:val="26"/>
        </w:rPr>
      </w:pPr>
      <w:r>
        <w:rPr>
          <w:rFonts w:ascii="Calibri" w:hAnsi="Calibri"/>
          <w:caps/>
          <w:color w:val="FFFFFF"/>
          <w:spacing w:val="30"/>
          <w:sz w:val="26"/>
          <w:szCs w:val="26"/>
        </w:rPr>
        <w:t>EXAMPLE 9</w:t>
      </w:r>
    </w:p>
    <w:p w:rsidR="00AD77BB" w:rsidRDefault="00B45BA0">
      <w:pPr>
        <w:pStyle w:val="para"/>
        <w:shd w:val="clear" w:color="auto" w:fill="DAEEF3" w:themeFill="accent5" w:themeFillTint="33"/>
        <w:spacing w:before="0" w:beforeAutospacing="0" w:after="0" w:afterAutospacing="0" w:line="360" w:lineRule="auto"/>
        <w:ind w:left="300" w:right="375"/>
        <w:textAlignment w:val="baseline"/>
        <w:rPr>
          <w:rFonts w:ascii="Calibri" w:hAnsi="Calibri"/>
          <w:color w:val="333333"/>
          <w:sz w:val="21"/>
          <w:szCs w:val="21"/>
        </w:rPr>
      </w:pPr>
      <w:r>
        <w:rPr>
          <w:rFonts w:ascii="Calibri" w:hAnsi="Calibri"/>
          <w:color w:val="333333"/>
          <w:sz w:val="21"/>
          <w:szCs w:val="21"/>
        </w:rPr>
        <w:t>A research laboratory developed two treatments which are believed to have the potential of prolonging the survival times of patients with an acute form of thymic leukemia. To evaluate the potential treatment effects 33 laboratory mice with thymic leukemia were randomly divided into three groups. One group received Treatment 1, one received Treatment 2, and the third was observed as a control group. The survival times of these mice are given in</w:t>
      </w:r>
      <w:r>
        <w:rPr>
          <w:rStyle w:val="apple-converted-space"/>
          <w:rFonts w:ascii="Calibri" w:hAnsi="Calibri"/>
          <w:color w:val="333333"/>
          <w:sz w:val="21"/>
          <w:szCs w:val="21"/>
        </w:rPr>
        <w:t> </w:t>
      </w:r>
      <w:r>
        <w:rPr>
          <w:rFonts w:ascii="Calibri" w:hAnsi="Calibri"/>
          <w:color w:val="2689C6"/>
          <w:sz w:val="21"/>
          <w:szCs w:val="21"/>
        </w:rPr>
        <w:t>Table 11.18 "Mice Survival Times in Days"</w:t>
      </w:r>
      <w:r>
        <w:rPr>
          <w:rFonts w:ascii="Calibri" w:hAnsi="Calibri"/>
          <w:color w:val="333333"/>
          <w:sz w:val="21"/>
          <w:szCs w:val="21"/>
        </w:rPr>
        <w:t xml:space="preserve">. Test, at the 1% level of significance, whether these data provide sufficient evidence to </w:t>
      </w:r>
      <w:r>
        <w:rPr>
          <w:rFonts w:ascii="Calibri" w:hAnsi="Calibri"/>
          <w:color w:val="333333"/>
          <w:sz w:val="21"/>
          <w:szCs w:val="21"/>
        </w:rPr>
        <w:lastRenderedPageBreak/>
        <w:t>confirm the belief that at least one of the two treatments affects the average survival time of mice with thymic leukemia.</w:t>
      </w:r>
    </w:p>
    <w:p w:rsidR="00AD77BB" w:rsidRDefault="00B45BA0">
      <w:pPr>
        <w:pStyle w:val="Title9"/>
        <w:shd w:val="clear" w:color="auto" w:fill="08629A"/>
        <w:spacing w:before="0" w:beforeAutospacing="0" w:after="0" w:afterAutospacing="0" w:line="360" w:lineRule="auto"/>
        <w:ind w:left="300" w:right="375"/>
        <w:jc w:val="center"/>
        <w:textAlignment w:val="baseline"/>
        <w:rPr>
          <w:rFonts w:ascii="Calibri" w:hAnsi="Calibri"/>
          <w:caps/>
          <w:color w:val="FFFFFF"/>
          <w:spacing w:val="30"/>
          <w:sz w:val="25"/>
          <w:szCs w:val="25"/>
        </w:rPr>
      </w:pPr>
      <w:r>
        <w:rPr>
          <w:rStyle w:val="title-prefix"/>
          <w:rFonts w:ascii="Calibri" w:eastAsiaTheme="majorEastAsia" w:hAnsi="Calibri"/>
          <w:caps/>
          <w:color w:val="FFFFFF"/>
          <w:spacing w:val="30"/>
          <w:sz w:val="25"/>
          <w:szCs w:val="25"/>
        </w:rPr>
        <w:t>TABLE 11.18</w:t>
      </w:r>
      <w:r>
        <w:rPr>
          <w:rStyle w:val="apple-converted-space"/>
          <w:rFonts w:ascii="Calibri" w:hAnsi="Calibri"/>
          <w:caps/>
          <w:color w:val="FFFFFF"/>
          <w:spacing w:val="30"/>
          <w:sz w:val="25"/>
          <w:szCs w:val="25"/>
        </w:rPr>
        <w:t> </w:t>
      </w:r>
      <w:r>
        <w:rPr>
          <w:rFonts w:ascii="Calibri" w:hAnsi="Calibri"/>
          <w:caps/>
          <w:color w:val="FFFFFF"/>
          <w:spacing w:val="30"/>
          <w:sz w:val="25"/>
          <w:szCs w:val="25"/>
        </w:rPr>
        <w:t>MICE SURVIVAL TIMES IN DAYS</w:t>
      </w:r>
    </w:p>
    <w:tbl>
      <w:tblPr>
        <w:tblW w:w="0" w:type="auto"/>
        <w:tblCellMar>
          <w:left w:w="0" w:type="dxa"/>
          <w:right w:w="0" w:type="dxa"/>
        </w:tblCellMar>
        <w:tblLook w:val="04A0" w:firstRow="1" w:lastRow="0" w:firstColumn="1" w:lastColumn="0" w:noHBand="0" w:noVBand="1"/>
      </w:tblPr>
      <w:tblGrid>
        <w:gridCol w:w="588"/>
        <w:gridCol w:w="588"/>
        <w:gridCol w:w="1176"/>
        <w:gridCol w:w="768"/>
      </w:tblGrid>
      <w:tr w:rsidR="00AD77BB">
        <w:trPr>
          <w:tblHeader/>
        </w:trPr>
        <w:tc>
          <w:tcPr>
            <w:tcW w:w="0" w:type="auto"/>
            <w:gridSpan w:val="2"/>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Treatment 1</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Treatment 2</w:t>
            </w:r>
          </w:p>
        </w:tc>
        <w:tc>
          <w:tcPr>
            <w:tcW w:w="0" w:type="auto"/>
            <w:tcBorders>
              <w:top w:val="single" w:sz="6" w:space="0" w:color="000000"/>
              <w:left w:val="single" w:sz="6" w:space="0" w:color="000000"/>
              <w:bottom w:val="single" w:sz="6" w:space="0" w:color="000000"/>
              <w:right w:val="single" w:sz="6" w:space="0" w:color="000000"/>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b/>
                <w:bCs/>
                <w:color w:val="F48800"/>
                <w:sz w:val="20"/>
                <w:szCs w:val="20"/>
              </w:rPr>
            </w:pPr>
            <w:r>
              <w:rPr>
                <w:b/>
                <w:bCs/>
                <w:color w:val="F48800"/>
                <w:sz w:val="20"/>
                <w:szCs w:val="20"/>
              </w:rPr>
              <w:t>Control</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71</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75</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77</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81</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72</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73</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67</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79</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75</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72</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79</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73</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80</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65</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78</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71</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60</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63</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81</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75</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65</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69</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72</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84</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63</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64</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71</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77</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78</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71</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84</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67</w:t>
            </w:r>
          </w:p>
        </w:tc>
      </w:tr>
      <w:tr w:rsidR="00AD77BB">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B45BA0">
            <w:pPr>
              <w:spacing w:line="360" w:lineRule="auto"/>
              <w:jc w:val="center"/>
              <w:rPr>
                <w:sz w:val="20"/>
                <w:szCs w:val="20"/>
              </w:rPr>
            </w:pPr>
            <w:r>
              <w:rPr>
                <w:sz w:val="20"/>
                <w:szCs w:val="20"/>
              </w:rPr>
              <w:t>91</w:t>
            </w:r>
          </w:p>
        </w:tc>
        <w:tc>
          <w:tcPr>
            <w:tcW w:w="0" w:type="auto"/>
            <w:tcBorders>
              <w:top w:val="single" w:sz="6" w:space="0" w:color="auto"/>
              <w:left w:val="single" w:sz="6" w:space="0" w:color="auto"/>
              <w:bottom w:val="single" w:sz="6" w:space="0" w:color="auto"/>
              <w:right w:val="single" w:sz="6" w:space="0" w:color="auto"/>
            </w:tcBorders>
            <w:shd w:val="clear" w:color="auto" w:fill="DAEEF3" w:themeFill="accent5" w:themeFillTint="33"/>
            <w:tcMar>
              <w:top w:w="75" w:type="dxa"/>
              <w:left w:w="75" w:type="dxa"/>
              <w:bottom w:w="75" w:type="dxa"/>
              <w:right w:w="75" w:type="dxa"/>
            </w:tcMar>
            <w:vAlign w:val="bottom"/>
            <w:hideMark/>
          </w:tcPr>
          <w:p w:rsidR="00AD77BB" w:rsidRDefault="00AD77BB">
            <w:pPr>
              <w:spacing w:after="0"/>
              <w:rPr>
                <w:rFonts w:cs="Times New Roman"/>
              </w:rPr>
            </w:pPr>
          </w:p>
        </w:tc>
      </w:tr>
    </w:tbl>
    <w:p w:rsidR="00AD77BB" w:rsidRDefault="00B45BA0">
      <w:pPr>
        <w:shd w:val="clear" w:color="auto" w:fill="DAEEF3" w:themeFill="accent5" w:themeFillTint="33"/>
        <w:tabs>
          <w:tab w:val="left" w:pos="5547"/>
        </w:tabs>
        <w:spacing w:line="360" w:lineRule="auto"/>
        <w:ind w:left="360"/>
        <w:contextualSpacing/>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1F66E760" wp14:editId="49C70672">
            <wp:extent cx="4333875" cy="6619875"/>
            <wp:effectExtent l="0" t="0" r="9525" b="9525"/>
            <wp:docPr id="468"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4333875" cy="6619875"/>
                    </a:xfrm>
                    <a:prstGeom prst="rect">
                      <a:avLst/>
                    </a:prstGeom>
                    <a:noFill/>
                    <a:ln>
                      <a:noFill/>
                    </a:ln>
                  </pic:spPr>
                </pic:pic>
              </a:graphicData>
            </a:graphic>
          </wp:inline>
        </w:drawing>
      </w:r>
    </w:p>
    <w:p w:rsidR="00AD77BB" w:rsidRDefault="00B45BA0">
      <w:pPr>
        <w:shd w:val="clear" w:color="auto" w:fill="DAEEF3" w:themeFill="accent5" w:themeFillTint="33"/>
        <w:tabs>
          <w:tab w:val="left" w:pos="5547"/>
        </w:tabs>
        <w:spacing w:line="360" w:lineRule="auto"/>
        <w:ind w:left="360"/>
        <w:contextualSpacing/>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14:anchorId="734F2292" wp14:editId="3DEE2F1A">
            <wp:extent cx="3524250" cy="4457700"/>
            <wp:effectExtent l="0" t="0" r="0" b="0"/>
            <wp:docPr id="469"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3524250" cy="4457700"/>
                    </a:xfrm>
                    <a:prstGeom prst="rect">
                      <a:avLst/>
                    </a:prstGeom>
                    <a:noFill/>
                    <a:ln>
                      <a:noFill/>
                    </a:ln>
                  </pic:spPr>
                </pic:pic>
              </a:graphicData>
            </a:graphic>
          </wp:inline>
        </w:drawing>
      </w:r>
    </w:p>
    <w:p w:rsidR="00AD77BB" w:rsidRDefault="00B45BA0">
      <w:pPr>
        <w:shd w:val="clear" w:color="auto" w:fill="39892F"/>
        <w:spacing w:after="150" w:line="264" w:lineRule="atLeast"/>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w:t>
      </w:r>
    </w:p>
    <w:p w:rsidR="00AD77BB" w:rsidRDefault="00B45BA0">
      <w:pPr>
        <w:numPr>
          <w:ilvl w:val="0"/>
          <w:numId w:val="329"/>
        </w:numPr>
        <w:shd w:val="clear" w:color="auto" w:fill="ECF9EA"/>
        <w:spacing w:line="360" w:lineRule="auto"/>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An </w:t>
      </w:r>
      <w:r>
        <w:rPr>
          <w:rFonts w:ascii="Calibri" w:eastAsia="Times New Roman" w:hAnsi="Calibri" w:cs="Times New Roman"/>
          <w:i/>
          <w:iCs/>
          <w:color w:val="333333"/>
          <w:sz w:val="20"/>
          <w:szCs w:val="20"/>
        </w:rPr>
        <w:t>F</w:t>
      </w:r>
      <w:r>
        <w:rPr>
          <w:rFonts w:ascii="Calibri" w:eastAsia="Times New Roman" w:hAnsi="Calibri" w:cs="Times New Roman"/>
          <w:color w:val="333333"/>
          <w:sz w:val="20"/>
          <w:szCs w:val="20"/>
        </w:rPr>
        <w:t>-test can be used to evaluate the hypothesis that the means of several normal populations, all with the same standard deviation, are identical.</w:t>
      </w:r>
    </w:p>
    <w:p w:rsidR="00AD77BB" w:rsidRDefault="00B45BA0">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EXERCISES</w:t>
      </w:r>
    </w:p>
    <w:p w:rsidR="00AD77BB" w:rsidRDefault="00B45BA0">
      <w:pPr>
        <w:shd w:val="clear" w:color="auto" w:fill="08629A"/>
        <w:spacing w:after="150" w:line="360" w:lineRule="auto"/>
        <w:jc w:val="center"/>
        <w:textAlignment w:val="baseline"/>
        <w:outlineLvl w:val="2"/>
        <w:rPr>
          <w:rFonts w:ascii="Calibri" w:eastAsia="Times New Roman" w:hAnsi="Calibri" w:cs="Times New Roman"/>
          <w:b/>
          <w:bCs/>
          <w:caps/>
          <w:color w:val="FFFFFF"/>
          <w:spacing w:val="30"/>
        </w:rPr>
      </w:pPr>
      <w:r>
        <w:rPr>
          <w:rFonts w:ascii="Calibri" w:eastAsia="Times New Roman" w:hAnsi="Calibri" w:cs="Times New Roman"/>
          <w:b/>
          <w:bCs/>
          <w:caps/>
          <w:color w:val="FFFFFF"/>
          <w:spacing w:val="30"/>
        </w:rPr>
        <w:t>BASIC</w:t>
      </w:r>
    </w:p>
    <w:p w:rsidR="00AD77BB" w:rsidRDefault="00B45BA0">
      <w:pPr>
        <w:numPr>
          <w:ilvl w:val="0"/>
          <w:numId w:val="330"/>
        </w:numPr>
        <w:shd w:val="clear" w:color="auto" w:fill="E3EFF7"/>
        <w:spacing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following three random samples are taken from three normal populations with respective means </w:t>
      </w:r>
      <w:r>
        <w:rPr>
          <w:rFonts w:ascii="MathJax_Math" w:eastAsia="Times New Roman" w:hAnsi="MathJax_Math" w:cs="Times New Roman"/>
          <w:i/>
          <w:iCs/>
          <w:color w:val="333333"/>
          <w:sz w:val="17"/>
          <w:szCs w:val="17"/>
        </w:rPr>
        <w:t>μ</w:t>
      </w:r>
      <w:r>
        <w:rPr>
          <w:rFonts w:ascii="MathJax_Main" w:eastAsia="Times New Roman" w:hAnsi="MathJax_Main" w:cs="Times New Roman"/>
          <w:color w:val="333333"/>
          <w:sz w:val="12"/>
          <w:szCs w:val="12"/>
        </w:rPr>
        <w:t>1</w:t>
      </w:r>
      <w:r>
        <w:rPr>
          <w:rFonts w:ascii="Calibri" w:eastAsia="Times New Roman" w:hAnsi="Calibri" w:cs="Times New Roman"/>
          <w:color w:val="333333"/>
          <w:sz w:val="20"/>
          <w:szCs w:val="20"/>
        </w:rPr>
        <w:t>, </w:t>
      </w:r>
      <w:r>
        <w:rPr>
          <w:rFonts w:ascii="MathJax_Math" w:eastAsia="Times New Roman" w:hAnsi="MathJax_Math" w:cs="Times New Roman"/>
          <w:i/>
          <w:iCs/>
          <w:color w:val="333333"/>
          <w:sz w:val="17"/>
          <w:szCs w:val="17"/>
        </w:rPr>
        <w:t>μ</w:t>
      </w:r>
      <w:r>
        <w:rPr>
          <w:rFonts w:ascii="MathJax_Main" w:eastAsia="Times New Roman" w:hAnsi="MathJax_Main" w:cs="Times New Roman"/>
          <w:color w:val="333333"/>
          <w:sz w:val="12"/>
          <w:szCs w:val="12"/>
        </w:rPr>
        <w:t>2</w:t>
      </w:r>
      <w:r>
        <w:rPr>
          <w:rFonts w:ascii="Calibri" w:eastAsia="Times New Roman" w:hAnsi="Calibri" w:cs="Times New Roman"/>
          <w:color w:val="333333"/>
          <w:sz w:val="20"/>
          <w:szCs w:val="20"/>
        </w:rPr>
        <w:t>, and </w:t>
      </w:r>
      <w:r>
        <w:rPr>
          <w:rFonts w:ascii="MathJax_Math" w:eastAsia="Times New Roman" w:hAnsi="MathJax_Math" w:cs="Times New Roman"/>
          <w:i/>
          <w:iCs/>
          <w:color w:val="333333"/>
          <w:sz w:val="17"/>
          <w:szCs w:val="17"/>
        </w:rPr>
        <w:t>μ</w:t>
      </w:r>
      <w:r>
        <w:rPr>
          <w:rFonts w:ascii="MathJax_Main" w:eastAsia="Times New Roman" w:hAnsi="MathJax_Main" w:cs="Times New Roman"/>
          <w:color w:val="333333"/>
          <w:sz w:val="12"/>
          <w:szCs w:val="12"/>
        </w:rPr>
        <w:t>3</w:t>
      </w:r>
      <w:r>
        <w:rPr>
          <w:rFonts w:ascii="Calibri" w:eastAsia="Times New Roman" w:hAnsi="Calibri" w:cs="Times New Roman"/>
          <w:color w:val="333333"/>
          <w:sz w:val="20"/>
          <w:szCs w:val="20"/>
        </w:rPr>
        <w:t>, and the same variance </w:t>
      </w:r>
      <w:r>
        <w:rPr>
          <w:rFonts w:ascii="MathJax_Math" w:eastAsia="Times New Roman" w:hAnsi="MathJax_Math" w:cs="Times New Roman"/>
          <w:i/>
          <w:iCs/>
          <w:color w:val="333333"/>
          <w:sz w:val="17"/>
          <w:szCs w:val="17"/>
        </w:rPr>
        <w:t>σ</w:t>
      </w:r>
      <w:r>
        <w:rPr>
          <w:rFonts w:ascii="MathJax_Main" w:eastAsia="Times New Roman" w:hAnsi="MathJax_Main" w:cs="Times New Roman"/>
          <w:color w:val="333333"/>
          <w:sz w:val="12"/>
          <w:szCs w:val="12"/>
        </w:rPr>
        <w:t>2</w:t>
      </w:r>
      <w:r>
        <w:rPr>
          <w:rFonts w:ascii="MathJax_Main" w:eastAsia="Times New Roman" w:hAnsi="MathJax_Main" w:cs="Times New Roman"/>
          <w:color w:val="333333"/>
          <w:sz w:val="17"/>
          <w:szCs w:val="17"/>
        </w:rPr>
        <w:t>.</w:t>
      </w:r>
    </w:p>
    <w:tbl>
      <w:tblPr>
        <w:tblW w:w="0" w:type="auto"/>
        <w:tblInd w:w="450" w:type="dxa"/>
        <w:tblCellMar>
          <w:left w:w="0" w:type="dxa"/>
          <w:right w:w="0" w:type="dxa"/>
        </w:tblCellMar>
        <w:tblLook w:val="04A0" w:firstRow="1" w:lastRow="0" w:firstColumn="1" w:lastColumn="0" w:noHBand="0" w:noVBand="1"/>
      </w:tblPr>
      <w:tblGrid>
        <w:gridCol w:w="1091"/>
        <w:gridCol w:w="1091"/>
        <w:gridCol w:w="1091"/>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Sample 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Sample 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Sample 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r>
    </w:tbl>
    <w:p w:rsidR="00AD77BB" w:rsidRDefault="00B45BA0">
      <w:pPr>
        <w:numPr>
          <w:ilvl w:val="1"/>
          <w:numId w:val="330"/>
        </w:numPr>
        <w:shd w:val="clear" w:color="auto" w:fill="E3EFF7"/>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combined sample size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w:t>
      </w:r>
    </w:p>
    <w:p w:rsidR="00AD77BB" w:rsidRDefault="00B45BA0">
      <w:pPr>
        <w:numPr>
          <w:ilvl w:val="1"/>
          <w:numId w:val="330"/>
        </w:numPr>
        <w:shd w:val="clear" w:color="auto" w:fill="E3EFF7"/>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combined sample mean </w:t>
      </w:r>
      <w:r>
        <w:rPr>
          <w:rFonts w:ascii="MathJax_Math" w:eastAsia="Times New Roman" w:hAnsi="MathJax_Math" w:cs="Times New Roman"/>
          <w:i/>
          <w:iCs/>
          <w:color w:val="333333"/>
          <w:sz w:val="17"/>
          <w:szCs w:val="17"/>
        </w:rPr>
        <w:t>x</w:t>
      </w:r>
      <w:r>
        <w:rPr>
          <w:rFonts w:ascii="MathJax_Main" w:eastAsia="Times New Roman" w:hAnsi="MathJax_Main" w:cs="Times New Roman"/>
          <w:color w:val="333333"/>
          <w:sz w:val="17"/>
          <w:szCs w:val="17"/>
        </w:rPr>
        <w:t>−.</w:t>
      </w:r>
    </w:p>
    <w:p w:rsidR="00AD77BB" w:rsidRDefault="00B45BA0">
      <w:pPr>
        <w:numPr>
          <w:ilvl w:val="1"/>
          <w:numId w:val="330"/>
        </w:numPr>
        <w:shd w:val="clear" w:color="auto" w:fill="E3EFF7"/>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sample mean for each of the three samples.</w:t>
      </w:r>
    </w:p>
    <w:p w:rsidR="00AD77BB" w:rsidRDefault="00B45BA0">
      <w:pPr>
        <w:numPr>
          <w:ilvl w:val="1"/>
          <w:numId w:val="330"/>
        </w:numPr>
        <w:shd w:val="clear" w:color="auto" w:fill="E3EFF7"/>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sample variance for each of the three samples.</w:t>
      </w:r>
    </w:p>
    <w:p w:rsidR="00AD77BB" w:rsidRDefault="00B45BA0">
      <w:pPr>
        <w:numPr>
          <w:ilvl w:val="1"/>
          <w:numId w:val="330"/>
        </w:numPr>
        <w:shd w:val="clear" w:color="auto" w:fill="E3EFF7"/>
        <w:spacing w:after="0" w:line="360" w:lineRule="auto"/>
        <w:ind w:left="450"/>
        <w:textAlignment w:val="baseline"/>
        <w:rPr>
          <w:rFonts w:ascii="Calibri" w:eastAsia="Times New Roman" w:hAnsi="Calibri" w:cs="Times New Roman"/>
          <w:b/>
          <w:color w:val="333333"/>
          <w:sz w:val="20"/>
          <w:szCs w:val="20"/>
        </w:rPr>
      </w:pPr>
      <w:r>
        <w:rPr>
          <w:rFonts w:ascii="Calibri" w:eastAsia="Times New Roman" w:hAnsi="Calibri" w:cs="Times New Roman"/>
          <w:color w:val="333333"/>
          <w:sz w:val="20"/>
          <w:szCs w:val="20"/>
        </w:rPr>
        <w:t>Find</w:t>
      </w:r>
      <w:r>
        <w:rPr>
          <w:rFonts w:ascii="Calibri" w:eastAsia="Times New Roman" w:hAnsi="Calibri" w:cs="Times New Roman"/>
          <w:b/>
          <w:color w:val="333333"/>
          <w:sz w:val="20"/>
          <w:szCs w:val="20"/>
        </w:rPr>
        <w:t> </w:t>
      </w:r>
      <w:r>
        <w:rPr>
          <w:rFonts w:ascii="MathJax_Math" w:eastAsia="Times New Roman" w:hAnsi="MathJax_Math" w:cs="Times New Roman"/>
          <w:b/>
          <w:i/>
          <w:iCs/>
          <w:color w:val="333333"/>
          <w:sz w:val="17"/>
          <w:szCs w:val="17"/>
        </w:rPr>
        <w:t>MST</w:t>
      </w:r>
      <w:r>
        <w:rPr>
          <w:rFonts w:ascii="MathJax_Main" w:eastAsia="Times New Roman" w:hAnsi="MathJax_Main" w:cs="Times New Roman"/>
          <w:b/>
          <w:color w:val="333333"/>
          <w:sz w:val="17"/>
          <w:szCs w:val="17"/>
        </w:rPr>
        <w:t>.</w:t>
      </w:r>
    </w:p>
    <w:p w:rsidR="00AD77BB" w:rsidRDefault="00B45BA0">
      <w:pPr>
        <w:numPr>
          <w:ilvl w:val="1"/>
          <w:numId w:val="330"/>
        </w:numPr>
        <w:shd w:val="clear" w:color="auto" w:fill="E3EFF7"/>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w:t>
      </w:r>
      <w:r>
        <w:rPr>
          <w:rFonts w:ascii="MathJax_Math" w:eastAsia="Times New Roman" w:hAnsi="MathJax_Math" w:cs="Times New Roman"/>
          <w:b/>
          <w:i/>
          <w:iCs/>
          <w:color w:val="333333"/>
          <w:sz w:val="17"/>
          <w:szCs w:val="17"/>
        </w:rPr>
        <w:t>MSE</w:t>
      </w:r>
      <w:r>
        <w:rPr>
          <w:rFonts w:ascii="MathJax_Main" w:eastAsia="Times New Roman" w:hAnsi="MathJax_Main" w:cs="Times New Roman"/>
          <w:b/>
          <w:color w:val="333333"/>
          <w:sz w:val="17"/>
          <w:szCs w:val="17"/>
        </w:rPr>
        <w:t>.</w:t>
      </w:r>
    </w:p>
    <w:p w:rsidR="00AD77BB" w:rsidRDefault="00B45BA0">
      <w:pPr>
        <w:numPr>
          <w:ilvl w:val="1"/>
          <w:numId w:val="330"/>
        </w:numPr>
        <w:shd w:val="clear" w:color="auto" w:fill="E3EFF7"/>
        <w:spacing w:line="360" w:lineRule="auto"/>
        <w:ind w:left="450"/>
        <w:textAlignment w:val="baseline"/>
        <w:rPr>
          <w:rFonts w:ascii="Calibri" w:eastAsia="Times New Roman" w:hAnsi="Calibri" w:cs="Times New Roman"/>
          <w:b/>
          <w:color w:val="333333"/>
          <w:sz w:val="20"/>
          <w:szCs w:val="20"/>
        </w:rPr>
      </w:pPr>
      <w:r>
        <w:rPr>
          <w:rFonts w:ascii="Calibri" w:eastAsia="Times New Roman" w:hAnsi="Calibri" w:cs="Times New Roman"/>
          <w:color w:val="333333"/>
          <w:sz w:val="20"/>
          <w:szCs w:val="20"/>
        </w:rPr>
        <w:t>Find </w:t>
      </w:r>
      <w:r>
        <w:rPr>
          <w:rFonts w:ascii="MathJax_Math" w:eastAsia="Times New Roman" w:hAnsi="MathJax_Math" w:cs="Times New Roman"/>
          <w:b/>
          <w:i/>
          <w:iCs/>
          <w:color w:val="333333"/>
          <w:sz w:val="17"/>
          <w:szCs w:val="17"/>
        </w:rPr>
        <w:t>F</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MST</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MSE</w:t>
      </w:r>
      <w:r>
        <w:rPr>
          <w:rFonts w:ascii="MathJax_Main" w:eastAsia="Times New Roman" w:hAnsi="MathJax_Main" w:cs="Times New Roman"/>
          <w:b/>
          <w:color w:val="333333"/>
          <w:sz w:val="17"/>
          <w:szCs w:val="17"/>
        </w:rPr>
        <w:t>.</w:t>
      </w:r>
    </w:p>
    <w:p w:rsidR="00AD77BB" w:rsidRDefault="00B45BA0">
      <w:pPr>
        <w:numPr>
          <w:ilvl w:val="0"/>
          <w:numId w:val="33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following three random samples are taken from three normal populations with respective means </w:t>
      </w:r>
      <w:r>
        <w:rPr>
          <w:rFonts w:ascii="MathJax_Math" w:eastAsia="Times New Roman" w:hAnsi="MathJax_Math" w:cs="Times New Roman"/>
          <w:i/>
          <w:iCs/>
          <w:color w:val="333333"/>
          <w:sz w:val="17"/>
          <w:szCs w:val="17"/>
        </w:rPr>
        <w:t>μ</w:t>
      </w:r>
      <w:r>
        <w:rPr>
          <w:rFonts w:ascii="MathJax_Main" w:eastAsia="Times New Roman" w:hAnsi="MathJax_Main" w:cs="Times New Roman"/>
          <w:color w:val="333333"/>
          <w:sz w:val="12"/>
          <w:szCs w:val="12"/>
        </w:rPr>
        <w:t>1</w:t>
      </w:r>
      <w:r>
        <w:rPr>
          <w:rFonts w:ascii="Calibri" w:eastAsia="Times New Roman" w:hAnsi="Calibri" w:cs="Times New Roman"/>
          <w:color w:val="333333"/>
          <w:sz w:val="20"/>
          <w:szCs w:val="20"/>
        </w:rPr>
        <w:t>, </w:t>
      </w:r>
      <w:r>
        <w:rPr>
          <w:rFonts w:ascii="MathJax_Math" w:eastAsia="Times New Roman" w:hAnsi="MathJax_Math" w:cs="Times New Roman"/>
          <w:i/>
          <w:iCs/>
          <w:color w:val="333333"/>
          <w:sz w:val="17"/>
          <w:szCs w:val="17"/>
        </w:rPr>
        <w:t>μ</w:t>
      </w:r>
      <w:r>
        <w:rPr>
          <w:rFonts w:ascii="MathJax_Main" w:eastAsia="Times New Roman" w:hAnsi="MathJax_Main" w:cs="Times New Roman"/>
          <w:color w:val="333333"/>
          <w:sz w:val="12"/>
          <w:szCs w:val="12"/>
        </w:rPr>
        <w:t>2</w:t>
      </w:r>
      <w:r>
        <w:rPr>
          <w:rFonts w:ascii="Calibri" w:eastAsia="Times New Roman" w:hAnsi="Calibri" w:cs="Times New Roman"/>
          <w:color w:val="333333"/>
          <w:sz w:val="20"/>
          <w:szCs w:val="20"/>
        </w:rPr>
        <w:t>, and </w:t>
      </w:r>
      <w:r>
        <w:rPr>
          <w:rFonts w:ascii="MathJax_Math" w:eastAsia="Times New Roman" w:hAnsi="MathJax_Math" w:cs="Times New Roman"/>
          <w:i/>
          <w:iCs/>
          <w:color w:val="333333"/>
          <w:sz w:val="17"/>
          <w:szCs w:val="17"/>
        </w:rPr>
        <w:t>μ</w:t>
      </w:r>
      <w:r>
        <w:rPr>
          <w:rFonts w:ascii="MathJax_Main" w:eastAsia="Times New Roman" w:hAnsi="MathJax_Main" w:cs="Times New Roman"/>
          <w:color w:val="333333"/>
          <w:sz w:val="12"/>
          <w:szCs w:val="12"/>
        </w:rPr>
        <w:t>3</w:t>
      </w:r>
      <w:r>
        <w:rPr>
          <w:rFonts w:ascii="Calibri" w:eastAsia="Times New Roman" w:hAnsi="Calibri" w:cs="Times New Roman"/>
          <w:color w:val="333333"/>
          <w:sz w:val="20"/>
          <w:szCs w:val="20"/>
        </w:rPr>
        <w:t>, and a same variance </w:t>
      </w:r>
      <w:r>
        <w:rPr>
          <w:rFonts w:ascii="MathJax_Math" w:eastAsia="Times New Roman" w:hAnsi="MathJax_Math" w:cs="Times New Roman"/>
          <w:i/>
          <w:iCs/>
          <w:color w:val="333333"/>
          <w:sz w:val="17"/>
          <w:szCs w:val="17"/>
        </w:rPr>
        <w:t>σ</w:t>
      </w:r>
      <w:r>
        <w:rPr>
          <w:rFonts w:ascii="MathJax_Main" w:eastAsia="Times New Roman" w:hAnsi="MathJax_Main" w:cs="Times New Roman"/>
          <w:color w:val="333333"/>
          <w:sz w:val="12"/>
          <w:szCs w:val="12"/>
        </w:rPr>
        <w:t>2</w:t>
      </w:r>
      <w:r>
        <w:rPr>
          <w:rFonts w:ascii="MathJax_Main" w:eastAsia="Times New Roman" w:hAnsi="MathJax_Main" w:cs="Times New Roman"/>
          <w:color w:val="333333"/>
          <w:sz w:val="17"/>
          <w:szCs w:val="17"/>
        </w:rPr>
        <w:t>.</w:t>
      </w:r>
    </w:p>
    <w:tbl>
      <w:tblPr>
        <w:tblW w:w="0" w:type="auto"/>
        <w:tblInd w:w="450" w:type="dxa"/>
        <w:tblCellMar>
          <w:left w:w="0" w:type="dxa"/>
          <w:right w:w="0" w:type="dxa"/>
        </w:tblCellMar>
        <w:tblLook w:val="04A0" w:firstRow="1" w:lastRow="0" w:firstColumn="1" w:lastColumn="0" w:noHBand="0" w:noVBand="1"/>
      </w:tblPr>
      <w:tblGrid>
        <w:gridCol w:w="1091"/>
        <w:gridCol w:w="1091"/>
        <w:gridCol w:w="1091"/>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Sample 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Sample 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Sample 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r>
    </w:tbl>
    <w:p w:rsidR="00AD77BB" w:rsidRDefault="00B45BA0">
      <w:pPr>
        <w:numPr>
          <w:ilvl w:val="1"/>
          <w:numId w:val="33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combined sample size </w:t>
      </w:r>
      <w:r>
        <w:rPr>
          <w:rFonts w:ascii="Calibri" w:eastAsia="Times New Roman" w:hAnsi="Calibri" w:cs="Times New Roman"/>
          <w:i/>
          <w:iCs/>
          <w:color w:val="333333"/>
          <w:sz w:val="20"/>
          <w:szCs w:val="20"/>
        </w:rPr>
        <w:t>n</w:t>
      </w:r>
      <w:r>
        <w:rPr>
          <w:rFonts w:ascii="Calibri" w:eastAsia="Times New Roman" w:hAnsi="Calibri" w:cs="Times New Roman"/>
          <w:color w:val="333333"/>
          <w:sz w:val="20"/>
          <w:szCs w:val="20"/>
        </w:rPr>
        <w:t>.</w:t>
      </w:r>
    </w:p>
    <w:p w:rsidR="00AD77BB" w:rsidRDefault="00B45BA0">
      <w:pPr>
        <w:numPr>
          <w:ilvl w:val="1"/>
          <w:numId w:val="33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combined sample mean </w:t>
      </w:r>
      <w:r>
        <w:rPr>
          <w:rFonts w:ascii="MathJax_Math" w:eastAsia="Times New Roman" w:hAnsi="MathJax_Math" w:cs="Times New Roman"/>
          <w:i/>
          <w:iCs/>
          <w:color w:val="333333"/>
          <w:sz w:val="17"/>
          <w:szCs w:val="17"/>
        </w:rPr>
        <w:t>x</w:t>
      </w:r>
      <w:r>
        <w:rPr>
          <w:rFonts w:ascii="MathJax_Main" w:eastAsia="Times New Roman" w:hAnsi="MathJax_Main" w:cs="Times New Roman"/>
          <w:color w:val="333333"/>
          <w:sz w:val="17"/>
          <w:szCs w:val="17"/>
        </w:rPr>
        <w:t>−.</w:t>
      </w:r>
    </w:p>
    <w:p w:rsidR="00AD77BB" w:rsidRDefault="00B45BA0">
      <w:pPr>
        <w:numPr>
          <w:ilvl w:val="1"/>
          <w:numId w:val="33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sample mean for each of the three samples.</w:t>
      </w:r>
    </w:p>
    <w:p w:rsidR="00AD77BB" w:rsidRDefault="00B45BA0">
      <w:pPr>
        <w:numPr>
          <w:ilvl w:val="1"/>
          <w:numId w:val="33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sample variance for each of the three samples.</w:t>
      </w:r>
    </w:p>
    <w:p w:rsidR="00AD77BB" w:rsidRDefault="00B45BA0">
      <w:pPr>
        <w:numPr>
          <w:ilvl w:val="1"/>
          <w:numId w:val="330"/>
        </w:numPr>
        <w:shd w:val="clear" w:color="auto" w:fill="DAEEF3" w:themeFill="accent5" w:themeFillTint="33"/>
        <w:spacing w:after="0" w:line="360" w:lineRule="auto"/>
        <w:textAlignment w:val="baseline"/>
        <w:rPr>
          <w:rFonts w:ascii="Calibri" w:eastAsia="Times New Roman" w:hAnsi="Calibri" w:cs="Times New Roman"/>
          <w:b/>
          <w:color w:val="333333"/>
          <w:sz w:val="20"/>
          <w:szCs w:val="20"/>
        </w:rPr>
      </w:pPr>
      <w:r>
        <w:rPr>
          <w:rFonts w:ascii="Calibri" w:eastAsia="Times New Roman" w:hAnsi="Calibri" w:cs="Times New Roman"/>
          <w:color w:val="333333"/>
          <w:sz w:val="20"/>
          <w:szCs w:val="20"/>
        </w:rPr>
        <w:t>Find </w:t>
      </w:r>
      <w:r>
        <w:rPr>
          <w:rFonts w:ascii="MathJax_Math" w:eastAsia="Times New Roman" w:hAnsi="MathJax_Math" w:cs="Times New Roman"/>
          <w:b/>
          <w:i/>
          <w:iCs/>
          <w:color w:val="333333"/>
          <w:sz w:val="17"/>
          <w:szCs w:val="17"/>
        </w:rPr>
        <w:t>MST</w:t>
      </w:r>
      <w:r>
        <w:rPr>
          <w:rFonts w:ascii="MathJax_Main" w:eastAsia="Times New Roman" w:hAnsi="MathJax_Main" w:cs="Times New Roman"/>
          <w:b/>
          <w:color w:val="333333"/>
          <w:sz w:val="17"/>
          <w:szCs w:val="17"/>
        </w:rPr>
        <w:t>.</w:t>
      </w:r>
    </w:p>
    <w:p w:rsidR="00AD77BB" w:rsidRDefault="00B45BA0">
      <w:pPr>
        <w:numPr>
          <w:ilvl w:val="1"/>
          <w:numId w:val="33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w:t>
      </w:r>
      <w:r>
        <w:rPr>
          <w:rFonts w:ascii="MathJax_Math" w:eastAsia="Times New Roman" w:hAnsi="MathJax_Math" w:cs="Times New Roman"/>
          <w:b/>
          <w:i/>
          <w:iCs/>
          <w:color w:val="333333"/>
          <w:sz w:val="17"/>
          <w:szCs w:val="17"/>
        </w:rPr>
        <w:t>MSE</w:t>
      </w:r>
      <w:r>
        <w:rPr>
          <w:rFonts w:ascii="MathJax_Main" w:eastAsia="Times New Roman" w:hAnsi="MathJax_Main" w:cs="Times New Roman"/>
          <w:b/>
          <w:color w:val="333333"/>
          <w:sz w:val="17"/>
          <w:szCs w:val="17"/>
        </w:rPr>
        <w:t>.</w:t>
      </w:r>
    </w:p>
    <w:p w:rsidR="00AD77BB" w:rsidRDefault="00B45BA0">
      <w:pPr>
        <w:numPr>
          <w:ilvl w:val="1"/>
          <w:numId w:val="33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w:t>
      </w:r>
      <w:r>
        <w:rPr>
          <w:rFonts w:ascii="MathJax_Math" w:eastAsia="Times New Roman" w:hAnsi="MathJax_Math" w:cs="Times New Roman"/>
          <w:b/>
          <w:i/>
          <w:iCs/>
          <w:color w:val="333333"/>
          <w:sz w:val="17"/>
          <w:szCs w:val="17"/>
        </w:rPr>
        <w:t>F</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MST</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MSE</w:t>
      </w:r>
      <w:r>
        <w:rPr>
          <w:rFonts w:ascii="MathJax_Main" w:eastAsia="Times New Roman" w:hAnsi="MathJax_Main" w:cs="Times New Roman"/>
          <w:b/>
          <w:color w:val="333333"/>
          <w:sz w:val="17"/>
          <w:szCs w:val="17"/>
        </w:rPr>
        <w:t>.</w:t>
      </w:r>
    </w:p>
    <w:p w:rsidR="00AD77BB" w:rsidRDefault="00B45BA0">
      <w:pPr>
        <w:numPr>
          <w:ilvl w:val="0"/>
          <w:numId w:val="33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Refer to Exercise 1.</w:t>
      </w:r>
    </w:p>
    <w:p w:rsidR="00AD77BB" w:rsidRDefault="00B45BA0">
      <w:pPr>
        <w:numPr>
          <w:ilvl w:val="1"/>
          <w:numId w:val="33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number of populations under consideration </w:t>
      </w:r>
      <w:r>
        <w:rPr>
          <w:rFonts w:ascii="Calibri" w:eastAsia="Times New Roman" w:hAnsi="Calibri" w:cs="Times New Roman"/>
          <w:i/>
          <w:iCs/>
          <w:color w:val="333333"/>
          <w:sz w:val="20"/>
          <w:szCs w:val="20"/>
        </w:rPr>
        <w:t>K</w:t>
      </w:r>
      <w:r>
        <w:rPr>
          <w:rFonts w:ascii="Calibri" w:eastAsia="Times New Roman" w:hAnsi="Calibri" w:cs="Times New Roman"/>
          <w:color w:val="333333"/>
          <w:sz w:val="20"/>
          <w:szCs w:val="20"/>
        </w:rPr>
        <w:t>.</w:t>
      </w:r>
    </w:p>
    <w:p w:rsidR="00AD77BB" w:rsidRDefault="00B45BA0">
      <w:pPr>
        <w:numPr>
          <w:ilvl w:val="1"/>
          <w:numId w:val="33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Find the degrees of freedom </w:t>
      </w:r>
      <w:r>
        <w:rPr>
          <w:rFonts w:ascii="MathJax_Math" w:eastAsia="Times New Roman" w:hAnsi="MathJax_Math" w:cs="Times New Roman"/>
          <w:b/>
          <w:i/>
          <w:iCs/>
          <w:color w:val="333333"/>
          <w:sz w:val="17"/>
          <w:szCs w:val="17"/>
        </w:rPr>
        <w:t>df</w:t>
      </w:r>
      <w:r>
        <w:rPr>
          <w:rFonts w:ascii="MathJax_Main" w:eastAsia="Times New Roman" w:hAnsi="MathJax_Main" w:cs="Times New Roman"/>
          <w:b/>
          <w:color w:val="333333"/>
          <w:sz w:val="12"/>
          <w:szCs w:val="12"/>
        </w:rPr>
        <w:t>1</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K</w:t>
      </w:r>
      <w:r>
        <w:rPr>
          <w:rFonts w:ascii="MathJax_Main" w:eastAsia="Times New Roman" w:hAnsi="MathJax_Main" w:cs="Times New Roman"/>
          <w:b/>
          <w:color w:val="333333"/>
          <w:sz w:val="17"/>
          <w:szCs w:val="17"/>
        </w:rPr>
        <w:t>−1</w:t>
      </w:r>
      <w:r>
        <w:rPr>
          <w:rFonts w:ascii="Calibri" w:eastAsia="Times New Roman" w:hAnsi="Calibri" w:cs="Times New Roman"/>
          <w:color w:val="333333"/>
          <w:sz w:val="20"/>
          <w:szCs w:val="20"/>
        </w:rPr>
        <w:t> and </w:t>
      </w:r>
      <w:r>
        <w:rPr>
          <w:rFonts w:ascii="MathJax_Math" w:eastAsia="Times New Roman" w:hAnsi="MathJax_Math" w:cs="Times New Roman"/>
          <w:b/>
          <w:i/>
          <w:iCs/>
          <w:color w:val="333333"/>
          <w:sz w:val="17"/>
          <w:szCs w:val="17"/>
        </w:rPr>
        <w:t>df</w:t>
      </w:r>
      <w:r>
        <w:rPr>
          <w:rFonts w:ascii="MathJax_Main" w:eastAsia="Times New Roman" w:hAnsi="MathJax_Main" w:cs="Times New Roman"/>
          <w:b/>
          <w:color w:val="333333"/>
          <w:sz w:val="12"/>
          <w:szCs w:val="12"/>
        </w:rPr>
        <w:t>2</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n</w:t>
      </w:r>
      <w:r>
        <w:rPr>
          <w:rFonts w:ascii="MathJax_Main" w:eastAsia="Times New Roman" w:hAnsi="MathJax_Main" w:cs="Times New Roman"/>
          <w:b/>
          <w:color w:val="333333"/>
          <w:sz w:val="17"/>
          <w:szCs w:val="17"/>
        </w:rPr>
        <w:t>−</w:t>
      </w:r>
      <w:r>
        <w:rPr>
          <w:rFonts w:ascii="MathJax_Math" w:eastAsia="Times New Roman" w:hAnsi="MathJax_Math" w:cs="Times New Roman"/>
          <w:b/>
          <w:i/>
          <w:iCs/>
          <w:color w:val="333333"/>
          <w:sz w:val="17"/>
          <w:szCs w:val="17"/>
        </w:rPr>
        <w:t>K</w:t>
      </w:r>
      <w:r>
        <w:rPr>
          <w:rFonts w:ascii="MathJax_Main" w:eastAsia="Times New Roman" w:hAnsi="MathJax_Main" w:cs="Times New Roman"/>
          <w:b/>
          <w:color w:val="333333"/>
          <w:sz w:val="17"/>
          <w:szCs w:val="17"/>
        </w:rPr>
        <w:t>.</w:t>
      </w:r>
    </w:p>
    <w:p w:rsidR="00AD77BB" w:rsidRDefault="00B45BA0">
      <w:pPr>
        <w:numPr>
          <w:ilvl w:val="1"/>
          <w:numId w:val="33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For </w:t>
      </w:r>
      <w:r>
        <w:rPr>
          <w:rFonts w:ascii="MathJax_Math" w:eastAsia="Times New Roman" w:hAnsi="MathJax_Math" w:cs="Times New Roman"/>
          <w:i/>
          <w:iCs/>
          <w:color w:val="333333"/>
          <w:sz w:val="17"/>
          <w:szCs w:val="17"/>
        </w:rPr>
        <w:t>α</w:t>
      </w:r>
      <w:r>
        <w:rPr>
          <w:rFonts w:ascii="MathJax_Main" w:eastAsia="Times New Roman" w:hAnsi="MathJax_Main" w:cs="Times New Roman"/>
          <w:color w:val="333333"/>
          <w:sz w:val="17"/>
          <w:szCs w:val="17"/>
        </w:rPr>
        <w:t>=0.05</w:t>
      </w:r>
      <w:r>
        <w:rPr>
          <w:rFonts w:ascii="Calibri" w:eastAsia="Times New Roman" w:hAnsi="Calibri" w:cs="Times New Roman"/>
          <w:color w:val="333333"/>
          <w:sz w:val="20"/>
          <w:szCs w:val="20"/>
        </w:rPr>
        <w:t>, find </w:t>
      </w:r>
      <w:r>
        <w:rPr>
          <w:rFonts w:ascii="MathJax_Math" w:eastAsia="Times New Roman" w:hAnsi="MathJax_Math" w:cs="Times New Roman"/>
          <w:b/>
          <w:i/>
          <w:iCs/>
          <w:color w:val="333333"/>
          <w:sz w:val="17"/>
          <w:szCs w:val="17"/>
        </w:rPr>
        <w:t>F</w:t>
      </w:r>
      <w:r>
        <w:rPr>
          <w:rFonts w:ascii="MathJax_Math" w:eastAsia="Times New Roman" w:hAnsi="MathJax_Math" w:cs="Times New Roman"/>
          <w:b/>
          <w:i/>
          <w:iCs/>
          <w:color w:val="333333"/>
          <w:sz w:val="12"/>
          <w:szCs w:val="12"/>
        </w:rPr>
        <w:t>α</w:t>
      </w:r>
      <w:r>
        <w:rPr>
          <w:rFonts w:ascii="Calibri" w:eastAsia="Times New Roman" w:hAnsi="Calibri" w:cs="Times New Roman"/>
          <w:b/>
          <w:color w:val="333333"/>
          <w:sz w:val="20"/>
          <w:szCs w:val="20"/>
        </w:rPr>
        <w:t> </w:t>
      </w:r>
      <w:r>
        <w:rPr>
          <w:rFonts w:ascii="Calibri" w:eastAsia="Times New Roman" w:hAnsi="Calibri" w:cs="Times New Roman"/>
          <w:color w:val="333333"/>
          <w:sz w:val="20"/>
          <w:szCs w:val="20"/>
        </w:rPr>
        <w:t>with the degrees of freedom computed above.</w:t>
      </w:r>
    </w:p>
    <w:p w:rsidR="00AD77BB" w:rsidRDefault="00B45BA0">
      <w:pPr>
        <w:numPr>
          <w:ilvl w:val="1"/>
          <w:numId w:val="330"/>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At </w:t>
      </w:r>
      <w:r>
        <w:rPr>
          <w:rFonts w:ascii="MathJax_Math" w:eastAsia="Times New Roman" w:hAnsi="MathJax_Math" w:cs="Times New Roman"/>
          <w:i/>
          <w:iCs/>
          <w:color w:val="333333"/>
          <w:sz w:val="17"/>
          <w:szCs w:val="17"/>
        </w:rPr>
        <w:t>α</w:t>
      </w:r>
      <w:r>
        <w:rPr>
          <w:rFonts w:ascii="MathJax_Main" w:eastAsia="Times New Roman" w:hAnsi="MathJax_Main" w:cs="Times New Roman"/>
          <w:color w:val="333333"/>
          <w:sz w:val="17"/>
          <w:szCs w:val="17"/>
        </w:rPr>
        <w:t>=0.05</w:t>
      </w:r>
      <w:r>
        <w:rPr>
          <w:rFonts w:ascii="Calibri" w:eastAsia="Times New Roman" w:hAnsi="Calibri" w:cs="Times New Roman"/>
          <w:color w:val="333333"/>
          <w:sz w:val="20"/>
          <w:szCs w:val="20"/>
        </w:rPr>
        <w:t>, test hypotheses</w:t>
      </w:r>
    </w:p>
    <w:p w:rsidR="00AD77BB" w:rsidRDefault="00AD77BB">
      <w:pPr>
        <w:shd w:val="clear" w:color="auto" w:fill="E3EFF7"/>
        <w:spacing w:line="360" w:lineRule="auto"/>
        <w:ind w:left="450"/>
        <w:textAlignment w:val="baseline"/>
        <w:rPr>
          <w:rFonts w:ascii="Calibri" w:eastAsia="Times New Roman" w:hAnsi="Calibri" w:cs="Times New Roman"/>
          <w:b/>
          <w:color w:val="333333"/>
          <w:sz w:val="20"/>
          <w:szCs w:val="20"/>
        </w:rPr>
      </w:pPr>
    </w:p>
    <w:p w:rsidR="00AD77BB" w:rsidRDefault="00B45BA0">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r>
        <w:rPr>
          <w:rFonts w:ascii="Calibri" w:eastAsia="Times New Roman" w:hAnsi="Calibri" w:cs="Times New Roman"/>
          <w:noProof/>
          <w:sz w:val="20"/>
          <w:szCs w:val="20"/>
        </w:rPr>
        <w:drawing>
          <wp:inline distT="0" distB="0" distL="0" distR="0" wp14:anchorId="7591E038" wp14:editId="7853B422">
            <wp:extent cx="5495925" cy="2667000"/>
            <wp:effectExtent l="0" t="0" r="9525" b="0"/>
            <wp:docPr id="470"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495925" cy="2667000"/>
                    </a:xfrm>
                    <a:prstGeom prst="rect">
                      <a:avLst/>
                    </a:prstGeom>
                    <a:noFill/>
                    <a:ln>
                      <a:noFill/>
                    </a:ln>
                  </pic:spPr>
                </pic:pic>
              </a:graphicData>
            </a:graphic>
          </wp:inline>
        </w:drawing>
      </w:r>
    </w:p>
    <w:p w:rsidR="00AD77BB" w:rsidRDefault="00B45BA0">
      <w:pPr>
        <w:shd w:val="clear" w:color="auto" w:fill="08629A"/>
        <w:spacing w:after="150" w:line="264" w:lineRule="atLeast"/>
        <w:jc w:val="center"/>
        <w:textAlignment w:val="baseline"/>
        <w:outlineLvl w:val="2"/>
        <w:rPr>
          <w:rFonts w:ascii="Calibri" w:eastAsia="Times New Roman" w:hAnsi="Calibri" w:cs="Times New Roman"/>
          <w:b/>
          <w:bCs/>
          <w:caps/>
          <w:color w:val="FFFFFF"/>
          <w:spacing w:val="30"/>
          <w:sz w:val="23"/>
          <w:szCs w:val="23"/>
        </w:rPr>
      </w:pPr>
      <w:r>
        <w:rPr>
          <w:rFonts w:ascii="Calibri" w:eastAsia="Times New Roman" w:hAnsi="Calibri" w:cs="Times New Roman"/>
          <w:b/>
          <w:bCs/>
          <w:caps/>
          <w:color w:val="FFFFFF"/>
          <w:spacing w:val="30"/>
          <w:sz w:val="23"/>
          <w:szCs w:val="23"/>
        </w:rPr>
        <w:t>APPLICATIONS</w:t>
      </w:r>
    </w:p>
    <w:p w:rsidR="00AD77BB" w:rsidRDefault="00B45BA0">
      <w:pPr>
        <w:numPr>
          <w:ilvl w:val="0"/>
          <w:numId w:val="33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Mozart effect refers to a boost of average performance on tests for elementary school students if the students listen to Mozart’s chamber music for a period of time immediately before the test. In order to attempt to test whether the Mozart effect actually exists, an elementary school teacher conducted an experiment by dividing her third-grade class of 15 students into three groups of 5. The first group was given an end-of-grade test without music; the second group listened to Mozart’s chamber music for 10 minutes; and the third groups listened to Mozart’s chamber music for 20 minutes before the test. The scores of the 15 students are given below:</w:t>
      </w:r>
    </w:p>
    <w:tbl>
      <w:tblPr>
        <w:tblW w:w="0" w:type="auto"/>
        <w:tblInd w:w="450" w:type="dxa"/>
        <w:tblCellMar>
          <w:left w:w="0" w:type="dxa"/>
          <w:right w:w="0" w:type="dxa"/>
        </w:tblCellMar>
        <w:tblLook w:val="04A0" w:firstRow="1" w:lastRow="0" w:firstColumn="1" w:lastColumn="0" w:noHBand="0" w:noVBand="1"/>
      </w:tblPr>
      <w:tblGrid>
        <w:gridCol w:w="1011"/>
        <w:gridCol w:w="1011"/>
        <w:gridCol w:w="1011"/>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Group 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Group 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Group 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84</w:t>
            </w:r>
          </w:p>
        </w:tc>
      </w:tr>
    </w:tbl>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Using the ANOVA F-test at </w:t>
      </w:r>
      <w:r>
        <w:rPr>
          <w:rFonts w:ascii="MathJax_Math" w:eastAsia="Times New Roman" w:hAnsi="MathJax_Math" w:cs="Times New Roman"/>
          <w:i/>
          <w:iCs/>
          <w:color w:val="333333"/>
          <w:sz w:val="17"/>
          <w:szCs w:val="17"/>
        </w:rPr>
        <w:t>α</w:t>
      </w:r>
      <w:r>
        <w:rPr>
          <w:rFonts w:ascii="MathJax_Main" w:eastAsia="Times New Roman" w:hAnsi="MathJax_Main" w:cs="Times New Roman"/>
          <w:color w:val="333333"/>
          <w:sz w:val="17"/>
          <w:szCs w:val="17"/>
        </w:rPr>
        <w:t>=0.10</w:t>
      </w:r>
      <w:r>
        <w:rPr>
          <w:rFonts w:ascii="Calibri" w:eastAsia="Times New Roman" w:hAnsi="Calibri" w:cs="Times New Roman"/>
          <w:color w:val="333333"/>
          <w:sz w:val="20"/>
          <w:szCs w:val="20"/>
        </w:rPr>
        <w:t>, is there sufficient evidence in the data to suggest that the Mozart effect exists?</w:t>
      </w:r>
    </w:p>
    <w:p w:rsidR="00AD77BB" w:rsidRDefault="00B45BA0">
      <w:pPr>
        <w:numPr>
          <w:ilvl w:val="0"/>
          <w:numId w:val="33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The Mozart effect refers to a boost of average performance on tests for elementary school students if the students listen to Mozart’s chamber music for a period of time immediately before the test. Many educators believe that such an effect is not necessarily due to Mozart’s music per se but rather a relaxation period before the test. To support this belief, an elementary school teacher conducted an experiment by dividing her third-grade class of 15 students into three groups of 5. Students in the first group were asked to give themselves a self-administered facial massage; students in the second group listened to Mozart’s chamber music for 15 minutes; students in the third group listened to Schubert’s chamber music for 15 minutes before the test. The scores of the 15 students are given below:</w:t>
      </w:r>
    </w:p>
    <w:tbl>
      <w:tblPr>
        <w:tblW w:w="0" w:type="auto"/>
        <w:tblInd w:w="450" w:type="dxa"/>
        <w:tblCellMar>
          <w:left w:w="0" w:type="dxa"/>
          <w:right w:w="0" w:type="dxa"/>
        </w:tblCellMar>
        <w:tblLook w:val="04A0" w:firstRow="1" w:lastRow="0" w:firstColumn="1" w:lastColumn="0" w:noHBand="0" w:noVBand="1"/>
      </w:tblPr>
      <w:tblGrid>
        <w:gridCol w:w="1011"/>
        <w:gridCol w:w="1011"/>
        <w:gridCol w:w="1011"/>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Group 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Group 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Group 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86</w:t>
            </w:r>
          </w:p>
        </w:tc>
      </w:tr>
    </w:tbl>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using the ANOVA </w:t>
      </w:r>
      <w:r>
        <w:rPr>
          <w:rFonts w:ascii="Calibri" w:eastAsia="Times New Roman" w:hAnsi="Calibri" w:cs="Times New Roman"/>
          <w:i/>
          <w:iCs/>
          <w:color w:val="333333"/>
          <w:sz w:val="20"/>
          <w:szCs w:val="20"/>
        </w:rPr>
        <w:t>F</w:t>
      </w:r>
      <w:r>
        <w:rPr>
          <w:rFonts w:ascii="Calibri" w:eastAsia="Times New Roman" w:hAnsi="Calibri" w:cs="Times New Roman"/>
          <w:color w:val="333333"/>
          <w:sz w:val="20"/>
          <w:szCs w:val="20"/>
        </w:rPr>
        <w:t>-test at the 10% level of significance, whether the data provide sufficient evidence to conclude that any of the three relaxation method does better than the others.</w:t>
      </w:r>
    </w:p>
    <w:p w:rsidR="00AD77BB" w:rsidRDefault="00B45BA0">
      <w:pPr>
        <w:numPr>
          <w:ilvl w:val="0"/>
          <w:numId w:val="331"/>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Precision weighing devices are sensitive to environmental conditions. Temperature and humidity in a laboratory room where such a device is installed are tightly controlled to ensure high precision in weighing. A newly designed weighing device is claimed to be more robust against small variations of temperature and humidity. To verify such a claim, a laboratory tests the new device under four settings of temperature-humidity conditions. First, two levels of </w:t>
      </w:r>
      <w:r>
        <w:rPr>
          <w:rFonts w:ascii="Calibri" w:eastAsia="Times New Roman" w:hAnsi="Calibri" w:cs="Times New Roman"/>
          <w:i/>
          <w:iCs/>
          <w:color w:val="333333"/>
          <w:sz w:val="20"/>
          <w:szCs w:val="20"/>
        </w:rPr>
        <w:t>high</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low</w:t>
      </w:r>
      <w:r>
        <w:rPr>
          <w:rFonts w:ascii="Calibri" w:eastAsia="Times New Roman" w:hAnsi="Calibri" w:cs="Times New Roman"/>
          <w:color w:val="333333"/>
          <w:sz w:val="20"/>
          <w:szCs w:val="20"/>
        </w:rPr>
        <w:t> temperature and two levels of</w:t>
      </w:r>
      <w:r>
        <w:rPr>
          <w:rFonts w:ascii="Calibri" w:eastAsia="Times New Roman" w:hAnsi="Calibri" w:cs="Times New Roman"/>
          <w:i/>
          <w:iCs/>
          <w:color w:val="333333"/>
          <w:sz w:val="20"/>
          <w:szCs w:val="20"/>
        </w:rPr>
        <w:t>high</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low</w:t>
      </w:r>
      <w:r>
        <w:rPr>
          <w:rFonts w:ascii="Calibri" w:eastAsia="Times New Roman" w:hAnsi="Calibri" w:cs="Times New Roman"/>
          <w:color w:val="333333"/>
          <w:sz w:val="20"/>
          <w:szCs w:val="20"/>
        </w:rPr>
        <w:t> humidity are identified. Let </w:t>
      </w:r>
      <w:r>
        <w:rPr>
          <w:rFonts w:ascii="Calibri" w:eastAsia="Times New Roman" w:hAnsi="Calibri" w:cs="Times New Roman"/>
          <w:i/>
          <w:iCs/>
          <w:color w:val="333333"/>
          <w:sz w:val="20"/>
          <w:szCs w:val="20"/>
        </w:rPr>
        <w:t>T</w:t>
      </w:r>
      <w:r>
        <w:rPr>
          <w:rFonts w:ascii="Calibri" w:eastAsia="Times New Roman" w:hAnsi="Calibri" w:cs="Times New Roman"/>
          <w:color w:val="333333"/>
          <w:sz w:val="20"/>
          <w:szCs w:val="20"/>
        </w:rPr>
        <w:t> stand for temperature and </w:t>
      </w:r>
      <w:r>
        <w:rPr>
          <w:rFonts w:ascii="Calibri" w:eastAsia="Times New Roman" w:hAnsi="Calibri" w:cs="Times New Roman"/>
          <w:i/>
          <w:iCs/>
          <w:color w:val="333333"/>
          <w:sz w:val="20"/>
          <w:szCs w:val="20"/>
        </w:rPr>
        <w:t>H</w:t>
      </w:r>
      <w:r>
        <w:rPr>
          <w:rFonts w:ascii="Calibri" w:eastAsia="Times New Roman" w:hAnsi="Calibri" w:cs="Times New Roman"/>
          <w:color w:val="333333"/>
          <w:sz w:val="20"/>
          <w:szCs w:val="20"/>
        </w:rPr>
        <w:t> for humidity. The four experimental settings are defined and noted as (</w:t>
      </w:r>
      <w:r>
        <w:rPr>
          <w:rFonts w:ascii="Calibri" w:eastAsia="Times New Roman" w:hAnsi="Calibri" w:cs="Times New Roman"/>
          <w:i/>
          <w:iCs/>
          <w:color w:val="333333"/>
          <w:sz w:val="20"/>
          <w:szCs w:val="20"/>
        </w:rPr>
        <w:t>T</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H</w:t>
      </w:r>
      <w:r>
        <w:rPr>
          <w:rFonts w:ascii="Calibri" w:eastAsia="Times New Roman" w:hAnsi="Calibri" w:cs="Times New Roman"/>
          <w:color w:val="333333"/>
          <w:sz w:val="20"/>
          <w:szCs w:val="20"/>
        </w:rPr>
        <w:t>): (high, high), (high, low), (low, high), and (low, low). A pre-calibrated standard weight of 1 kg was weighed by the new device four times in each setting. The results in terms of error (in micrograms mcg) are given below:</w:t>
      </w:r>
    </w:p>
    <w:tbl>
      <w:tblPr>
        <w:tblW w:w="0" w:type="auto"/>
        <w:tblInd w:w="450" w:type="dxa"/>
        <w:tblCellMar>
          <w:left w:w="0" w:type="dxa"/>
          <w:right w:w="0" w:type="dxa"/>
        </w:tblCellMar>
        <w:tblLook w:val="04A0" w:firstRow="1" w:lastRow="0" w:firstColumn="1" w:lastColumn="0" w:noHBand="0" w:noVBand="1"/>
      </w:tblPr>
      <w:tblGrid>
        <w:gridCol w:w="1338"/>
        <w:gridCol w:w="1244"/>
        <w:gridCol w:w="1244"/>
        <w:gridCol w:w="115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(high, high)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(high, low)</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(low, high)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(low, low)</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5.54</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10.34</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15.23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−5.72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−5.69</w:t>
            </w:r>
          </w:p>
        </w:tc>
      </w:tr>
    </w:tbl>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using the ANOVA </w:t>
      </w:r>
      <w:r>
        <w:rPr>
          <w:rFonts w:ascii="Calibri" w:eastAsia="Times New Roman" w:hAnsi="Calibri" w:cs="Times New Roman"/>
          <w:i/>
          <w:iCs/>
          <w:color w:val="333333"/>
          <w:sz w:val="20"/>
          <w:szCs w:val="20"/>
        </w:rPr>
        <w:t>F</w:t>
      </w:r>
      <w:r>
        <w:rPr>
          <w:rFonts w:ascii="Calibri" w:eastAsia="Times New Roman" w:hAnsi="Calibri" w:cs="Times New Roman"/>
          <w:color w:val="333333"/>
          <w:sz w:val="20"/>
          <w:szCs w:val="20"/>
        </w:rPr>
        <w:t>-test at the 1% level of significance, whether the data provide sufficient evidence to conclude that the mean weight readings by the newly designed device vary among the four settings.</w:t>
      </w:r>
    </w:p>
    <w:p w:rsidR="00AD77BB" w:rsidRDefault="00B45BA0">
      <w:pPr>
        <w:pStyle w:val="ListParagraph"/>
        <w:numPr>
          <w:ilvl w:val="0"/>
          <w:numId w:val="331"/>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 To investigate the real cost of owning different makes and models of new automobiles, a consumer protection agency followed 16 owners of new vehicles of four popular makes and models, call them </w:t>
      </w:r>
      <w:r>
        <w:rPr>
          <w:rFonts w:ascii="MathJax_Math" w:eastAsia="Times New Roman" w:hAnsi="MathJax_Math" w:cs="Times New Roman"/>
          <w:i/>
          <w:iCs/>
          <w:color w:val="333333"/>
          <w:sz w:val="17"/>
          <w:szCs w:val="17"/>
        </w:rPr>
        <w:t>TC</w:t>
      </w:r>
      <w:r>
        <w:rPr>
          <w:rFonts w:ascii="Calibri" w:eastAsia="Times New Roman" w:hAnsi="Calibri" w:cs="Times New Roman"/>
          <w:color w:val="333333"/>
          <w:sz w:val="20"/>
          <w:szCs w:val="20"/>
        </w:rPr>
        <w:t>, </w:t>
      </w:r>
      <w:r>
        <w:rPr>
          <w:rFonts w:ascii="MathJax_Math" w:eastAsia="Times New Roman" w:hAnsi="MathJax_Math" w:cs="Times New Roman"/>
          <w:i/>
          <w:iCs/>
          <w:color w:val="333333"/>
          <w:sz w:val="17"/>
          <w:szCs w:val="17"/>
        </w:rPr>
        <w:t>HA</w:t>
      </w:r>
      <w:r>
        <w:rPr>
          <w:rFonts w:ascii="Calibri" w:eastAsia="Times New Roman" w:hAnsi="Calibri" w:cs="Times New Roman"/>
          <w:color w:val="333333"/>
          <w:sz w:val="20"/>
          <w:szCs w:val="20"/>
        </w:rPr>
        <w:t>, </w:t>
      </w:r>
      <w:r>
        <w:rPr>
          <w:rFonts w:ascii="MathJax_Math" w:eastAsia="Times New Roman" w:hAnsi="MathJax_Math" w:cs="Times New Roman"/>
          <w:i/>
          <w:iCs/>
          <w:color w:val="333333"/>
          <w:sz w:val="17"/>
          <w:szCs w:val="17"/>
        </w:rPr>
        <w:t>NA</w:t>
      </w:r>
      <w:r>
        <w:rPr>
          <w:rFonts w:ascii="Calibri" w:eastAsia="Times New Roman" w:hAnsi="Calibri" w:cs="Times New Roman"/>
          <w:color w:val="333333"/>
          <w:sz w:val="20"/>
          <w:szCs w:val="20"/>
        </w:rPr>
        <w:t>, and </w:t>
      </w:r>
      <w:r>
        <w:rPr>
          <w:rFonts w:ascii="MathJax_Math" w:eastAsia="Times New Roman" w:hAnsi="MathJax_Math" w:cs="Times New Roman"/>
          <w:i/>
          <w:iCs/>
          <w:color w:val="333333"/>
          <w:sz w:val="17"/>
          <w:szCs w:val="17"/>
        </w:rPr>
        <w:t>FT</w:t>
      </w:r>
      <w:r>
        <w:rPr>
          <w:rFonts w:ascii="Calibri" w:eastAsia="Times New Roman" w:hAnsi="Calibri" w:cs="Times New Roman"/>
          <w:color w:val="333333"/>
          <w:sz w:val="20"/>
          <w:szCs w:val="20"/>
        </w:rPr>
        <w:t>, and kept a record of each of the owner’s real cost in dollars for the first five years. The five-year costs of the 16 car owners are given below:</w:t>
      </w:r>
    </w:p>
    <w:tbl>
      <w:tblPr>
        <w:tblW w:w="0" w:type="auto"/>
        <w:tblInd w:w="450" w:type="dxa"/>
        <w:tblCellMar>
          <w:left w:w="0" w:type="dxa"/>
          <w:right w:w="0" w:type="dxa"/>
        </w:tblCellMar>
        <w:tblLook w:val="04A0" w:firstRow="1" w:lastRow="0" w:firstColumn="1" w:lastColumn="0" w:noHBand="0" w:noVBand="1"/>
      </w:tblPr>
      <w:tblGrid>
        <w:gridCol w:w="630"/>
        <w:gridCol w:w="630"/>
        <w:gridCol w:w="630"/>
        <w:gridCol w:w="750"/>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TC</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HA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NA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FT</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8423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7776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8907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10333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7889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7211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9217</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8665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6870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8732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10540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7129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9747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7359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8677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AD77BB">
            <w:pPr>
              <w:spacing w:after="0"/>
              <w:rPr>
                <w:rFonts w:cs="Times New Roman"/>
              </w:rPr>
            </w:pPr>
          </w:p>
        </w:tc>
      </w:tr>
    </w:tbl>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Test, using the ANOVA </w:t>
      </w:r>
      <w:r>
        <w:rPr>
          <w:rFonts w:ascii="Calibri" w:eastAsia="Times New Roman" w:hAnsi="Calibri" w:cs="Times New Roman"/>
          <w:i/>
          <w:iCs/>
          <w:color w:val="333333"/>
          <w:sz w:val="20"/>
          <w:szCs w:val="20"/>
        </w:rPr>
        <w:t>F</w:t>
      </w:r>
      <w:r>
        <w:rPr>
          <w:rFonts w:ascii="Calibri" w:eastAsia="Times New Roman" w:hAnsi="Calibri" w:cs="Times New Roman"/>
          <w:color w:val="333333"/>
          <w:sz w:val="20"/>
          <w:szCs w:val="20"/>
        </w:rPr>
        <w:t>-test at the 5% level of significance, whether the data provide sufficient evidence to conclude that there are differences among the mean real costs of ownership for these four models.</w:t>
      </w:r>
    </w:p>
    <w:p w:rsidR="00AD77BB" w:rsidRDefault="00B45BA0">
      <w:pPr>
        <w:numPr>
          <w:ilvl w:val="0"/>
          <w:numId w:val="332"/>
        </w:numPr>
        <w:shd w:val="clear" w:color="auto" w:fill="DAEEF3" w:themeFill="accent5" w:themeFillTint="33"/>
        <w:spacing w:after="0" w:line="360" w:lineRule="auto"/>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Helping people to lose weight has become a huge industry in the United States, with annual revenue in the hundreds of billion dollars. Recently each of the three market-leading weight reducing programs claimed to be the most effective. A consumer research company recruited 33 people who wished to lose weight and sent them to the three leading programs. After six months their weight losses were recorded. The results are summarized below:</w:t>
      </w:r>
    </w:p>
    <w:tbl>
      <w:tblPr>
        <w:tblW w:w="0" w:type="auto"/>
        <w:tblInd w:w="450" w:type="dxa"/>
        <w:tblCellMar>
          <w:left w:w="0" w:type="dxa"/>
          <w:right w:w="0" w:type="dxa"/>
        </w:tblCellMar>
        <w:tblLook w:val="04A0" w:firstRow="1" w:lastRow="0" w:firstColumn="1" w:lastColumn="0" w:noHBand="0" w:noVBand="1"/>
      </w:tblPr>
      <w:tblGrid>
        <w:gridCol w:w="1796"/>
        <w:gridCol w:w="884"/>
        <w:gridCol w:w="884"/>
        <w:gridCol w:w="884"/>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Statistic</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Prog. 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Prog. 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Prog. 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Sample Mean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MathJax_Math" w:eastAsia="Times New Roman" w:hAnsi="MathJax_Math" w:cs="Times New Roman"/>
                <w:i/>
                <w:iCs/>
                <w:sz w:val="17"/>
                <w:szCs w:val="17"/>
              </w:rPr>
              <w:t>x</w:t>
            </w:r>
            <w:r>
              <w:rPr>
                <w:rFonts w:ascii="MathJax_Main" w:eastAsia="Times New Roman" w:hAnsi="MathJax_Main" w:cs="Times New Roman"/>
                <w:sz w:val="17"/>
                <w:szCs w:val="17"/>
              </w:rPr>
              <w:t>−</w:t>
            </w:r>
            <w:r>
              <w:rPr>
                <w:rFonts w:ascii="MathJax_Main" w:eastAsia="Times New Roman" w:hAnsi="MathJax_Main" w:cs="Times New Roman"/>
                <w:sz w:val="12"/>
                <w:szCs w:val="12"/>
              </w:rPr>
              <w:t>1</w:t>
            </w:r>
            <w:r>
              <w:rPr>
                <w:rFonts w:ascii="MathJax_Main" w:eastAsia="Times New Roman" w:hAnsi="MathJax_Main" w:cs="Times New Roman"/>
                <w:sz w:val="17"/>
                <w:szCs w:val="17"/>
              </w:rPr>
              <w:t>=10.65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MathJax_Math" w:eastAsia="Times New Roman" w:hAnsi="MathJax_Math" w:cs="Times New Roman"/>
                <w:i/>
                <w:iCs/>
                <w:sz w:val="17"/>
                <w:szCs w:val="17"/>
              </w:rPr>
              <w:t>x</w:t>
            </w:r>
            <w:r>
              <w:rPr>
                <w:rFonts w:ascii="MathJax_Main" w:eastAsia="Times New Roman" w:hAnsi="MathJax_Main" w:cs="Times New Roman"/>
                <w:sz w:val="17"/>
                <w:szCs w:val="17"/>
              </w:rPr>
              <w:t>−</w:t>
            </w:r>
            <w:r>
              <w:rPr>
                <w:rFonts w:ascii="MathJax_Main" w:eastAsia="Times New Roman" w:hAnsi="MathJax_Main" w:cs="Times New Roman"/>
                <w:sz w:val="12"/>
                <w:szCs w:val="12"/>
              </w:rPr>
              <w:t>2</w:t>
            </w:r>
            <w:r>
              <w:rPr>
                <w:rFonts w:ascii="MathJax_Main" w:eastAsia="Times New Roman" w:hAnsi="MathJax_Main" w:cs="Times New Roman"/>
                <w:sz w:val="17"/>
                <w:szCs w:val="17"/>
              </w:rPr>
              <w:t>=8.90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MathJax_Math" w:eastAsia="Times New Roman" w:hAnsi="MathJax_Math" w:cs="Times New Roman"/>
                <w:i/>
                <w:iCs/>
                <w:sz w:val="17"/>
                <w:szCs w:val="17"/>
              </w:rPr>
              <w:t>x</w:t>
            </w:r>
            <w:r>
              <w:rPr>
                <w:rFonts w:ascii="MathJax_Main" w:eastAsia="Times New Roman" w:hAnsi="MathJax_Main" w:cs="Times New Roman"/>
                <w:sz w:val="17"/>
                <w:szCs w:val="17"/>
              </w:rPr>
              <w:t>−</w:t>
            </w:r>
            <w:r>
              <w:rPr>
                <w:rFonts w:ascii="MathJax_Main" w:eastAsia="Times New Roman" w:hAnsi="MathJax_Main" w:cs="Times New Roman"/>
                <w:sz w:val="12"/>
                <w:szCs w:val="12"/>
              </w:rPr>
              <w:t>3</w:t>
            </w:r>
            <w:r>
              <w:rPr>
                <w:rFonts w:ascii="MathJax_Main" w:eastAsia="Times New Roman" w:hAnsi="MathJax_Main" w:cs="Times New Roman"/>
                <w:sz w:val="17"/>
                <w:szCs w:val="17"/>
              </w:rPr>
              <w:t>=9.33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Sample Variance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MathJax_Math" w:eastAsia="Times New Roman" w:hAnsi="MathJax_Math" w:cs="Times New Roman"/>
                <w:i/>
                <w:iCs/>
                <w:sz w:val="17"/>
                <w:szCs w:val="17"/>
              </w:rPr>
              <w:t>s</w:t>
            </w:r>
            <w:r>
              <w:rPr>
                <w:rFonts w:ascii="MathJax_Main" w:eastAsia="Times New Roman" w:hAnsi="MathJax_Main" w:cs="Times New Roman"/>
                <w:sz w:val="12"/>
                <w:szCs w:val="12"/>
              </w:rPr>
              <w:t>21</w:t>
            </w:r>
            <w:r>
              <w:rPr>
                <w:rFonts w:ascii="MathJax_Main" w:eastAsia="Times New Roman" w:hAnsi="MathJax_Main" w:cs="Times New Roman"/>
                <w:sz w:val="17"/>
                <w:szCs w:val="17"/>
              </w:rPr>
              <w:t>=27.20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MathJax_Math" w:eastAsia="Times New Roman" w:hAnsi="MathJax_Math" w:cs="Times New Roman"/>
                <w:i/>
                <w:iCs/>
                <w:sz w:val="17"/>
                <w:szCs w:val="17"/>
              </w:rPr>
              <w:t>s</w:t>
            </w:r>
            <w:r>
              <w:rPr>
                <w:rFonts w:ascii="MathJax_Main" w:eastAsia="Times New Roman" w:hAnsi="MathJax_Main" w:cs="Times New Roman"/>
                <w:sz w:val="12"/>
                <w:szCs w:val="12"/>
              </w:rPr>
              <w:t>22</w:t>
            </w:r>
            <w:r>
              <w:rPr>
                <w:rFonts w:ascii="MathJax_Main" w:eastAsia="Times New Roman" w:hAnsi="MathJax_Main" w:cs="Times New Roman"/>
                <w:sz w:val="17"/>
                <w:szCs w:val="17"/>
              </w:rPr>
              <w:t>=16.86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MathJax_Math" w:eastAsia="Times New Roman" w:hAnsi="MathJax_Math" w:cs="Times New Roman"/>
                <w:i/>
                <w:iCs/>
                <w:sz w:val="17"/>
                <w:szCs w:val="17"/>
              </w:rPr>
              <w:t>s</w:t>
            </w:r>
            <w:r>
              <w:rPr>
                <w:rFonts w:ascii="MathJax_Main" w:eastAsia="Times New Roman" w:hAnsi="MathJax_Main" w:cs="Times New Roman"/>
                <w:sz w:val="12"/>
                <w:szCs w:val="12"/>
              </w:rPr>
              <w:t>23</w:t>
            </w:r>
            <w:r>
              <w:rPr>
                <w:rFonts w:ascii="MathJax_Main" w:eastAsia="Times New Roman" w:hAnsi="MathJax_Main" w:cs="Times New Roman"/>
                <w:sz w:val="17"/>
                <w:szCs w:val="17"/>
              </w:rPr>
              <w:t>=32.40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Sample Size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MathJax_Math" w:eastAsia="Times New Roman" w:hAnsi="MathJax_Math" w:cs="Times New Roman"/>
                <w:i/>
                <w:iCs/>
                <w:sz w:val="17"/>
                <w:szCs w:val="17"/>
              </w:rPr>
              <w:t>n</w:t>
            </w:r>
            <w:r>
              <w:rPr>
                <w:rFonts w:ascii="MathJax_Main" w:eastAsia="Times New Roman" w:hAnsi="MathJax_Main" w:cs="Times New Roman"/>
                <w:sz w:val="12"/>
                <w:szCs w:val="12"/>
              </w:rPr>
              <w:t>1</w:t>
            </w:r>
            <w:r>
              <w:rPr>
                <w:rFonts w:ascii="MathJax_Main" w:eastAsia="Times New Roman" w:hAnsi="MathJax_Main" w:cs="Times New Roman"/>
                <w:sz w:val="17"/>
                <w:szCs w:val="17"/>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MathJax_Math" w:eastAsia="Times New Roman" w:hAnsi="MathJax_Math" w:cs="Times New Roman"/>
                <w:i/>
                <w:iCs/>
                <w:sz w:val="17"/>
                <w:szCs w:val="17"/>
              </w:rPr>
              <w:t>n</w:t>
            </w:r>
            <w:r>
              <w:rPr>
                <w:rFonts w:ascii="MathJax_Main" w:eastAsia="Times New Roman" w:hAnsi="MathJax_Main" w:cs="Times New Roman"/>
                <w:sz w:val="12"/>
                <w:szCs w:val="12"/>
              </w:rPr>
              <w:t>2</w:t>
            </w:r>
            <w:r>
              <w:rPr>
                <w:rFonts w:ascii="MathJax_Main" w:eastAsia="Times New Roman" w:hAnsi="MathJax_Main" w:cs="Times New Roman"/>
                <w:sz w:val="17"/>
                <w:szCs w:val="17"/>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MathJax_Math" w:eastAsia="Times New Roman" w:hAnsi="MathJax_Math" w:cs="Times New Roman"/>
                <w:i/>
                <w:iCs/>
                <w:sz w:val="17"/>
                <w:szCs w:val="17"/>
              </w:rPr>
              <w:t>n</w:t>
            </w:r>
            <w:r>
              <w:rPr>
                <w:rFonts w:ascii="MathJax_Main" w:eastAsia="Times New Roman" w:hAnsi="MathJax_Main" w:cs="Times New Roman"/>
                <w:sz w:val="12"/>
                <w:szCs w:val="12"/>
              </w:rPr>
              <w:t>3</w:t>
            </w:r>
            <w:r>
              <w:rPr>
                <w:rFonts w:ascii="MathJax_Main" w:eastAsia="Times New Roman" w:hAnsi="MathJax_Main" w:cs="Times New Roman"/>
                <w:sz w:val="17"/>
                <w:szCs w:val="17"/>
              </w:rPr>
              <w:t>=11</w:t>
            </w:r>
          </w:p>
        </w:tc>
      </w:tr>
    </w:tbl>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mean weight loss of the combined sample of all 33 people was </w:t>
      </w:r>
      <w:r>
        <w:rPr>
          <w:rFonts w:ascii="MathJax_Math" w:eastAsia="Times New Roman" w:hAnsi="MathJax_Math" w:cs="Times New Roman"/>
          <w:i/>
          <w:iCs/>
          <w:color w:val="333333"/>
          <w:sz w:val="17"/>
          <w:szCs w:val="17"/>
        </w:rPr>
        <w:t>x</w:t>
      </w:r>
      <w:r>
        <w:rPr>
          <w:rFonts w:ascii="MathJax_Main" w:eastAsia="Times New Roman" w:hAnsi="MathJax_Main" w:cs="Times New Roman"/>
          <w:color w:val="333333"/>
          <w:sz w:val="17"/>
          <w:szCs w:val="17"/>
        </w:rPr>
        <w:t>−=9.63.</w:t>
      </w:r>
      <w:r>
        <w:rPr>
          <w:rFonts w:ascii="Calibri" w:eastAsia="Times New Roman" w:hAnsi="Calibri" w:cs="Times New Roman"/>
          <w:color w:val="333333"/>
          <w:sz w:val="20"/>
          <w:szCs w:val="20"/>
        </w:rPr>
        <w:t>Test, using the ANOVA </w:t>
      </w:r>
      <w:r>
        <w:rPr>
          <w:rFonts w:ascii="Calibri" w:eastAsia="Times New Roman" w:hAnsi="Calibri" w:cs="Times New Roman"/>
          <w:i/>
          <w:iCs/>
          <w:color w:val="333333"/>
          <w:sz w:val="20"/>
          <w:szCs w:val="20"/>
        </w:rPr>
        <w:t>F</w:t>
      </w:r>
      <w:r>
        <w:rPr>
          <w:rFonts w:ascii="Calibri" w:eastAsia="Times New Roman" w:hAnsi="Calibri" w:cs="Times New Roman"/>
          <w:color w:val="333333"/>
          <w:sz w:val="20"/>
          <w:szCs w:val="20"/>
        </w:rPr>
        <w:t>-test at the 5% level of significance, whether the data provide sufficient evidence to conclude that some program is more effective than the others.</w:t>
      </w:r>
    </w:p>
    <w:p w:rsidR="00AD77BB" w:rsidRDefault="00B45BA0">
      <w:pPr>
        <w:numPr>
          <w:ilvl w:val="0"/>
          <w:numId w:val="332"/>
        </w:num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A leading pharmaceutical company in the disposable contact lenses market has always taken for granted that the sales of certain peripheral products such as contact lens solutions would automatically go with the established brands. The long-standing culture in the company has been that lens solutions would not make a significant difference in user experience. Recent market research surveys, however, suggest otherwise. To gain a better understanding of the effects of contact lens solutions on user experience, the company conducted a comparative study in which 63 contact lens users were randomly divided into three groups, each of which received one of three top selling lens solutions on the market, including one of the company’s own. After using the assigned solution for two weeks, each participant was asked to rate the solution on the scale of 1 to 5 for satisfaction, with 5 being the highest level of satisfaction. The results of the study are summarized below:</w:t>
      </w:r>
    </w:p>
    <w:tbl>
      <w:tblPr>
        <w:tblW w:w="0" w:type="auto"/>
        <w:tblInd w:w="450" w:type="dxa"/>
        <w:tblCellMar>
          <w:left w:w="0" w:type="dxa"/>
          <w:right w:w="0" w:type="dxa"/>
        </w:tblCellMar>
        <w:tblLook w:val="04A0" w:firstRow="1" w:lastRow="0" w:firstColumn="1" w:lastColumn="0" w:noHBand="0" w:noVBand="1"/>
      </w:tblPr>
      <w:tblGrid>
        <w:gridCol w:w="1796"/>
        <w:gridCol w:w="775"/>
        <w:gridCol w:w="775"/>
        <w:gridCol w:w="775"/>
      </w:tblGrid>
      <w:tr w:rsidR="00AD77B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Statistics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Sol. 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Sol. 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b/>
                <w:bCs/>
                <w:color w:val="F48800"/>
                <w:sz w:val="24"/>
                <w:szCs w:val="24"/>
              </w:rPr>
            </w:pPr>
            <w:r>
              <w:rPr>
                <w:rFonts w:ascii="Times New Roman" w:eastAsia="Times New Roman" w:hAnsi="Times New Roman" w:cs="Times New Roman"/>
                <w:b/>
                <w:bCs/>
                <w:color w:val="F48800"/>
                <w:sz w:val="24"/>
                <w:szCs w:val="24"/>
              </w:rPr>
              <w:t>Sol. 3</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Sample Mean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MathJax_Math" w:eastAsia="Times New Roman" w:hAnsi="MathJax_Math" w:cs="Times New Roman"/>
                <w:i/>
                <w:iCs/>
                <w:sz w:val="17"/>
                <w:szCs w:val="17"/>
              </w:rPr>
              <w:t>x</w:t>
            </w:r>
            <w:r>
              <w:rPr>
                <w:rFonts w:ascii="MathJax_Main" w:eastAsia="Times New Roman" w:hAnsi="MathJax_Main" w:cs="Times New Roman"/>
                <w:sz w:val="17"/>
                <w:szCs w:val="17"/>
              </w:rPr>
              <w:t>−</w:t>
            </w:r>
            <w:r>
              <w:rPr>
                <w:rFonts w:ascii="MathJax_Main" w:eastAsia="Times New Roman" w:hAnsi="MathJax_Main" w:cs="Times New Roman"/>
                <w:sz w:val="12"/>
                <w:szCs w:val="12"/>
              </w:rPr>
              <w:t>1</w:t>
            </w:r>
            <w:r>
              <w:rPr>
                <w:rFonts w:ascii="MathJax_Main" w:eastAsia="Times New Roman" w:hAnsi="MathJax_Main" w:cs="Times New Roman"/>
                <w:sz w:val="17"/>
                <w:szCs w:val="17"/>
              </w:rPr>
              <w:t>=3.28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MathJax_Math" w:eastAsia="Times New Roman" w:hAnsi="MathJax_Math" w:cs="Times New Roman"/>
                <w:i/>
                <w:iCs/>
                <w:sz w:val="17"/>
                <w:szCs w:val="17"/>
              </w:rPr>
              <w:t>x</w:t>
            </w:r>
            <w:r>
              <w:rPr>
                <w:rFonts w:ascii="MathJax_Main" w:eastAsia="Times New Roman" w:hAnsi="MathJax_Main" w:cs="Times New Roman"/>
                <w:sz w:val="17"/>
                <w:szCs w:val="17"/>
              </w:rPr>
              <w:t>−</w:t>
            </w:r>
            <w:r>
              <w:rPr>
                <w:rFonts w:ascii="MathJax_Main" w:eastAsia="Times New Roman" w:hAnsi="MathJax_Main" w:cs="Times New Roman"/>
                <w:sz w:val="12"/>
                <w:szCs w:val="12"/>
              </w:rPr>
              <w:t>2</w:t>
            </w:r>
            <w:r>
              <w:rPr>
                <w:rFonts w:ascii="MathJax_Main" w:eastAsia="Times New Roman" w:hAnsi="MathJax_Main" w:cs="Times New Roman"/>
                <w:sz w:val="17"/>
                <w:szCs w:val="17"/>
              </w:rPr>
              <w:t>=3.96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MathJax_Math" w:eastAsia="Times New Roman" w:hAnsi="MathJax_Math" w:cs="Times New Roman"/>
                <w:i/>
                <w:iCs/>
                <w:sz w:val="17"/>
                <w:szCs w:val="17"/>
              </w:rPr>
              <w:t>x</w:t>
            </w:r>
            <w:r>
              <w:rPr>
                <w:rFonts w:ascii="MathJax_Main" w:eastAsia="Times New Roman" w:hAnsi="MathJax_Main" w:cs="Times New Roman"/>
                <w:sz w:val="17"/>
                <w:szCs w:val="17"/>
              </w:rPr>
              <w:t>−</w:t>
            </w:r>
            <w:r>
              <w:rPr>
                <w:rFonts w:ascii="MathJax_Main" w:eastAsia="Times New Roman" w:hAnsi="MathJax_Main" w:cs="Times New Roman"/>
                <w:sz w:val="12"/>
                <w:szCs w:val="12"/>
              </w:rPr>
              <w:t>3</w:t>
            </w:r>
            <w:r>
              <w:rPr>
                <w:rFonts w:ascii="MathJax_Main" w:eastAsia="Times New Roman" w:hAnsi="MathJax_Main" w:cs="Times New Roman"/>
                <w:sz w:val="17"/>
                <w:szCs w:val="17"/>
              </w:rPr>
              <w:t>=4.10</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Sample Variance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MathJax_Math" w:eastAsia="Times New Roman" w:hAnsi="MathJax_Math" w:cs="Times New Roman"/>
                <w:i/>
                <w:iCs/>
                <w:sz w:val="17"/>
                <w:szCs w:val="17"/>
              </w:rPr>
              <w:t>s</w:t>
            </w:r>
            <w:r>
              <w:rPr>
                <w:rFonts w:ascii="MathJax_Main" w:eastAsia="Times New Roman" w:hAnsi="MathJax_Main" w:cs="Times New Roman"/>
                <w:sz w:val="12"/>
                <w:szCs w:val="12"/>
              </w:rPr>
              <w:t>21</w:t>
            </w:r>
            <w:r>
              <w:rPr>
                <w:rFonts w:ascii="MathJax_Main" w:eastAsia="Times New Roman" w:hAnsi="MathJax_Main" w:cs="Times New Roman"/>
                <w:sz w:val="17"/>
                <w:szCs w:val="17"/>
              </w:rPr>
              <w:t>=0.15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MathJax_Math" w:eastAsia="Times New Roman" w:hAnsi="MathJax_Math" w:cs="Times New Roman"/>
                <w:i/>
                <w:iCs/>
                <w:sz w:val="17"/>
                <w:szCs w:val="17"/>
              </w:rPr>
              <w:t>s</w:t>
            </w:r>
            <w:r>
              <w:rPr>
                <w:rFonts w:ascii="MathJax_Main" w:eastAsia="Times New Roman" w:hAnsi="MathJax_Main" w:cs="Times New Roman"/>
                <w:sz w:val="12"/>
                <w:szCs w:val="12"/>
              </w:rPr>
              <w:t>22</w:t>
            </w:r>
            <w:r>
              <w:rPr>
                <w:rFonts w:ascii="MathJax_Main" w:eastAsia="Times New Roman" w:hAnsi="MathJax_Main" w:cs="Times New Roman"/>
                <w:sz w:val="17"/>
                <w:szCs w:val="17"/>
              </w:rPr>
              <w:t>=0.32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MathJax_Math" w:eastAsia="Times New Roman" w:hAnsi="MathJax_Math" w:cs="Times New Roman"/>
                <w:i/>
                <w:iCs/>
                <w:sz w:val="17"/>
                <w:szCs w:val="17"/>
              </w:rPr>
              <w:t>s</w:t>
            </w:r>
            <w:r>
              <w:rPr>
                <w:rFonts w:ascii="MathJax_Main" w:eastAsia="Times New Roman" w:hAnsi="MathJax_Main" w:cs="Times New Roman"/>
                <w:sz w:val="12"/>
                <w:szCs w:val="12"/>
              </w:rPr>
              <w:t>23</w:t>
            </w:r>
            <w:r>
              <w:rPr>
                <w:rFonts w:ascii="MathJax_Main" w:eastAsia="Times New Roman" w:hAnsi="MathJax_Main" w:cs="Times New Roman"/>
                <w:sz w:val="17"/>
                <w:szCs w:val="17"/>
              </w:rPr>
              <w:t>=0.36</w:t>
            </w:r>
          </w:p>
        </w:tc>
      </w:tr>
      <w:tr w:rsidR="00AD77B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Sample Size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MathJax_Math" w:eastAsia="Times New Roman" w:hAnsi="MathJax_Math" w:cs="Times New Roman"/>
                <w:i/>
                <w:iCs/>
                <w:sz w:val="17"/>
                <w:szCs w:val="17"/>
              </w:rPr>
              <w:t>n</w:t>
            </w:r>
            <w:r>
              <w:rPr>
                <w:rFonts w:ascii="MathJax_Main" w:eastAsia="Times New Roman" w:hAnsi="MathJax_Main" w:cs="Times New Roman"/>
                <w:sz w:val="12"/>
                <w:szCs w:val="12"/>
              </w:rPr>
              <w:t>1</w:t>
            </w:r>
            <w:r>
              <w:rPr>
                <w:rFonts w:ascii="MathJax_Main" w:eastAsia="Times New Roman" w:hAnsi="MathJax_Main" w:cs="Times New Roman"/>
                <w:sz w:val="17"/>
                <w:szCs w:val="17"/>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MathJax_Math" w:eastAsia="Times New Roman" w:hAnsi="MathJax_Math" w:cs="Times New Roman"/>
                <w:i/>
                <w:iCs/>
                <w:sz w:val="17"/>
                <w:szCs w:val="17"/>
              </w:rPr>
              <w:t>n</w:t>
            </w:r>
            <w:r>
              <w:rPr>
                <w:rFonts w:ascii="MathJax_Main" w:eastAsia="Times New Roman" w:hAnsi="MathJax_Main" w:cs="Times New Roman"/>
                <w:sz w:val="12"/>
                <w:szCs w:val="12"/>
              </w:rPr>
              <w:t>2</w:t>
            </w:r>
            <w:r>
              <w:rPr>
                <w:rFonts w:ascii="MathJax_Main" w:eastAsia="Times New Roman" w:hAnsi="MathJax_Main" w:cs="Times New Roman"/>
                <w:sz w:val="17"/>
                <w:szCs w:val="17"/>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AD77BB" w:rsidRDefault="00B45BA0">
            <w:pPr>
              <w:shd w:val="clear" w:color="auto" w:fill="DAEEF3" w:themeFill="accent5" w:themeFillTint="33"/>
              <w:spacing w:after="0" w:line="360" w:lineRule="auto"/>
              <w:rPr>
                <w:rFonts w:ascii="Times New Roman" w:eastAsia="Times New Roman" w:hAnsi="Times New Roman" w:cs="Times New Roman"/>
                <w:sz w:val="24"/>
                <w:szCs w:val="24"/>
              </w:rPr>
            </w:pPr>
            <w:r>
              <w:rPr>
                <w:rFonts w:ascii="MathJax_Math" w:eastAsia="Times New Roman" w:hAnsi="MathJax_Math" w:cs="Times New Roman"/>
                <w:i/>
                <w:iCs/>
                <w:sz w:val="17"/>
                <w:szCs w:val="17"/>
              </w:rPr>
              <w:t>n</w:t>
            </w:r>
            <w:r>
              <w:rPr>
                <w:rFonts w:ascii="MathJax_Main" w:eastAsia="Times New Roman" w:hAnsi="MathJax_Main" w:cs="Times New Roman"/>
                <w:sz w:val="12"/>
                <w:szCs w:val="12"/>
              </w:rPr>
              <w:t>3</w:t>
            </w:r>
            <w:r>
              <w:rPr>
                <w:rFonts w:ascii="MathJax_Main" w:eastAsia="Times New Roman" w:hAnsi="MathJax_Main" w:cs="Times New Roman"/>
                <w:sz w:val="17"/>
                <w:szCs w:val="17"/>
              </w:rPr>
              <w:t>=22</w:t>
            </w:r>
          </w:p>
        </w:tc>
      </w:tr>
    </w:tbl>
    <w:p w:rsidR="00AD77BB" w:rsidRDefault="00B45BA0">
      <w:pPr>
        <w:shd w:val="clear" w:color="auto" w:fill="DAEEF3" w:themeFill="accent5" w:themeFillTint="33"/>
        <w:spacing w:after="0" w:line="360" w:lineRule="auto"/>
        <w:ind w:left="450"/>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mean satisfaction level of the combined sample of all 63 participants was </w:t>
      </w:r>
      <w:r>
        <w:rPr>
          <w:rFonts w:ascii="MathJax_Math" w:eastAsia="Times New Roman" w:hAnsi="MathJax_Math" w:cs="Times New Roman"/>
          <w:i/>
          <w:iCs/>
          <w:color w:val="333333"/>
          <w:sz w:val="17"/>
          <w:szCs w:val="17"/>
        </w:rPr>
        <w:t>x</w:t>
      </w:r>
      <w:r>
        <w:rPr>
          <w:rFonts w:ascii="MathJax_Main" w:eastAsia="Times New Roman" w:hAnsi="MathJax_Main" w:cs="Times New Roman"/>
          <w:color w:val="333333"/>
          <w:sz w:val="17"/>
          <w:szCs w:val="17"/>
        </w:rPr>
        <w:t>−=3.81.</w:t>
      </w:r>
      <w:r>
        <w:rPr>
          <w:rFonts w:ascii="Calibri" w:eastAsia="Times New Roman" w:hAnsi="Calibri" w:cs="Times New Roman"/>
          <w:color w:val="333333"/>
          <w:sz w:val="20"/>
          <w:szCs w:val="20"/>
        </w:rPr>
        <w:t> Test, using the ANOVA </w:t>
      </w:r>
      <w:r>
        <w:rPr>
          <w:rFonts w:ascii="Calibri" w:eastAsia="Times New Roman" w:hAnsi="Calibri" w:cs="Times New Roman"/>
          <w:i/>
          <w:iCs/>
          <w:color w:val="333333"/>
          <w:sz w:val="20"/>
          <w:szCs w:val="20"/>
        </w:rPr>
        <w:t>F</w:t>
      </w:r>
      <w:r>
        <w:rPr>
          <w:rFonts w:ascii="Calibri" w:eastAsia="Times New Roman" w:hAnsi="Calibri" w:cs="Times New Roman"/>
          <w:color w:val="333333"/>
          <w:sz w:val="20"/>
          <w:szCs w:val="20"/>
        </w:rPr>
        <w:t>-test at the 5% level of significance, whether the data provide sufficient evidence to conclude that not all three average satisfaction levels are the same.</w:t>
      </w:r>
    </w:p>
    <w:p w:rsidR="00AD77BB" w:rsidRDefault="00B45BA0">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3"/>
          <w:szCs w:val="23"/>
        </w:rPr>
      </w:pPr>
      <w:r>
        <w:rPr>
          <w:rFonts w:ascii="Calibri" w:hAnsi="Calibri"/>
          <w:caps/>
          <w:color w:val="FFFFFF"/>
          <w:spacing w:val="30"/>
          <w:sz w:val="23"/>
          <w:szCs w:val="23"/>
        </w:rPr>
        <w:t>LARGE DATA SET EXERCISE</w:t>
      </w:r>
    </w:p>
    <w:p w:rsidR="00AD77BB" w:rsidRDefault="00B45BA0">
      <w:pPr>
        <w:pStyle w:val="para"/>
        <w:numPr>
          <w:ilvl w:val="0"/>
          <w:numId w:val="333"/>
        </w:numPr>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333333"/>
          <w:sz w:val="20"/>
          <w:szCs w:val="20"/>
        </w:rPr>
        <w:t>Large Data Set 9 records the costs of materials (textbook, solution manual, laboratory fees, and so on) in each of ten different courses in each of three different subjects, chemistry, computer science, and mathematics. Test, at the 1% level of significance, whether the data provide sufficient evidence to conclude that the mean costs in the three disciplines are not all the same.</w:t>
      </w:r>
    </w:p>
    <w:p w:rsidR="00AD77BB" w:rsidRDefault="00AD77BB">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p>
    <w:p w:rsidR="00AD77BB" w:rsidRDefault="00B45BA0">
      <w:pPr>
        <w:pStyle w:val="para"/>
        <w:shd w:val="clear" w:color="auto" w:fill="DAEEF3" w:themeFill="accent5" w:themeFillTint="33"/>
        <w:spacing w:before="0" w:beforeAutospacing="0" w:after="0" w:afterAutospacing="0" w:line="439" w:lineRule="atLeast"/>
        <w:ind w:left="450"/>
        <w:textAlignment w:val="baseline"/>
        <w:rPr>
          <w:rFonts w:ascii="Calibri" w:hAnsi="Calibri"/>
          <w:color w:val="333333"/>
          <w:sz w:val="20"/>
          <w:szCs w:val="20"/>
        </w:rPr>
      </w:pPr>
      <w:r>
        <w:rPr>
          <w:rFonts w:ascii="Calibri" w:hAnsi="Calibri"/>
          <w:color w:val="2689C6"/>
          <w:sz w:val="20"/>
          <w:szCs w:val="20"/>
        </w:rPr>
        <w:t>http://www.9.xls</w:t>
      </w:r>
    </w:p>
    <w:p w:rsidR="00AD77BB" w:rsidRDefault="00B45BA0">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r>
        <w:rPr>
          <w:rFonts w:ascii="Calibri" w:eastAsia="Times New Roman" w:hAnsi="Calibri" w:cs="Times New Roman"/>
          <w:noProof/>
          <w:sz w:val="20"/>
          <w:szCs w:val="20"/>
        </w:rPr>
        <w:lastRenderedPageBreak/>
        <w:drawing>
          <wp:inline distT="0" distB="0" distL="0" distR="0">
            <wp:extent cx="4752975" cy="4895850"/>
            <wp:effectExtent l="0" t="0" r="9525" b="0"/>
            <wp:docPr id="471"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4752975" cy="4895850"/>
                    </a:xfrm>
                    <a:prstGeom prst="rect">
                      <a:avLst/>
                    </a:prstGeom>
                    <a:noFill/>
                    <a:ln>
                      <a:noFill/>
                    </a:ln>
                  </pic:spPr>
                </pic:pic>
              </a:graphicData>
            </a:graphic>
          </wp:inline>
        </w:drawing>
      </w:r>
    </w:p>
    <w:p w:rsidR="00AD77BB" w:rsidRDefault="00AD77BB">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rsidR="00AD77BB" w:rsidRDefault="00AD77BB">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rsidR="00AD77BB" w:rsidRDefault="00AD77BB">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rsidR="00AD77BB" w:rsidRDefault="00AD77BB">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rsidR="00AD77BB" w:rsidRDefault="00AD77BB">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rsidR="00AD77BB" w:rsidRDefault="00AD77BB">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rsidR="00AD77BB" w:rsidRDefault="00AD77BB">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rsidR="00AD77BB" w:rsidRDefault="00AD77BB">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rsidR="00AD77BB" w:rsidRDefault="00AD77BB">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rsidR="00AD77BB" w:rsidRDefault="00AD77BB">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rsidR="00AD77BB" w:rsidRDefault="00AD77BB">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rsidR="00AD77BB" w:rsidRDefault="00AD77BB">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rsidR="00AD77BB" w:rsidRDefault="00AD77BB">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rsidR="00AD77BB" w:rsidRDefault="00AD77BB">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rsidR="00AD77BB" w:rsidRDefault="00B45BA0">
      <w:pPr>
        <w:shd w:val="clear" w:color="auto" w:fill="FFFFFF"/>
        <w:spacing w:after="0" w:line="240" w:lineRule="atLeast"/>
        <w:jc w:val="center"/>
        <w:textAlignment w:val="baseline"/>
        <w:outlineLvl w:val="0"/>
        <w:rPr>
          <w:rFonts w:ascii="Calibri" w:eastAsia="Times New Roman" w:hAnsi="Calibri" w:cs="Times New Roman"/>
          <w:b/>
          <w:bCs/>
          <w:color w:val="000000"/>
          <w:kern w:val="36"/>
          <w:sz w:val="38"/>
          <w:szCs w:val="38"/>
        </w:rPr>
      </w:pPr>
      <w:r>
        <w:rPr>
          <w:rFonts w:ascii="Calibri" w:eastAsia="Times New Roman" w:hAnsi="Calibri" w:cs="Times New Roman"/>
          <w:b/>
          <w:bCs/>
          <w:color w:val="000000"/>
          <w:kern w:val="36"/>
          <w:sz w:val="38"/>
          <w:szCs w:val="38"/>
        </w:rPr>
        <w:lastRenderedPageBreak/>
        <w:t>Chapter 12</w:t>
      </w:r>
    </w:p>
    <w:p w:rsidR="00AD77BB" w:rsidRDefault="00B45BA0">
      <w:pPr>
        <w:shd w:val="clear" w:color="auto" w:fill="FFFFFF"/>
        <w:spacing w:after="0" w:line="240" w:lineRule="atLeast"/>
        <w:jc w:val="center"/>
        <w:textAlignment w:val="baseline"/>
        <w:outlineLvl w:val="0"/>
        <w:rPr>
          <w:rFonts w:ascii="Calibri" w:eastAsia="Times New Roman" w:hAnsi="Calibri" w:cs="Times New Roman"/>
          <w:b/>
          <w:bCs/>
          <w:color w:val="08629A"/>
          <w:kern w:val="36"/>
          <w:sz w:val="41"/>
          <w:szCs w:val="41"/>
        </w:rPr>
      </w:pPr>
      <w:r>
        <w:rPr>
          <w:rFonts w:ascii="Calibri" w:eastAsia="Times New Roman" w:hAnsi="Calibri" w:cs="Times New Roman"/>
          <w:b/>
          <w:bCs/>
          <w:color w:val="08629A"/>
          <w:kern w:val="36"/>
          <w:sz w:val="41"/>
          <w:szCs w:val="41"/>
        </w:rPr>
        <w:t>Appendix</w:t>
      </w:r>
    </w:p>
    <w:p w:rsidR="00AD77BB" w:rsidRDefault="00B45BA0">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12.1</w:t>
      </w:r>
      <w:r>
        <w:rPr>
          <w:rFonts w:ascii="Georgia" w:eastAsia="Times New Roman" w:hAnsi="Georgia" w:cs="Times New Roman"/>
          <w:i/>
          <w:iCs/>
          <w:color w:val="BB9966"/>
          <w:sz w:val="18"/>
          <w:szCs w:val="18"/>
        </w:rPr>
        <w:t> Cumulative Binomial Probability</w:t>
      </w:r>
    </w:p>
    <w:p w:rsidR="00AD77BB" w:rsidRDefault="00B45BA0">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rPr>
        <w:drawing>
          <wp:inline distT="0" distB="0" distL="0" distR="0">
            <wp:extent cx="4324350" cy="6638925"/>
            <wp:effectExtent l="0" t="0" r="0" b="9525"/>
            <wp:docPr id="472" name="Picture 494" descr="http://images.flatworldknowledge.com/shafer/shafer-fig12_a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http://images.flatworldknowledge.com/shafer/shafer-fig12_a001.jpg"/>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4324350" cy="6638925"/>
                    </a:xfrm>
                    <a:prstGeom prst="rect">
                      <a:avLst/>
                    </a:prstGeom>
                    <a:noFill/>
                    <a:ln>
                      <a:noFill/>
                    </a:ln>
                  </pic:spPr>
                </pic:pic>
              </a:graphicData>
            </a:graphic>
          </wp:inline>
        </w:drawing>
      </w:r>
    </w:p>
    <w:p w:rsidR="00AD77BB" w:rsidRDefault="00B45BA0">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rPr>
        <w:lastRenderedPageBreak/>
        <w:drawing>
          <wp:inline distT="0" distB="0" distL="0" distR="0">
            <wp:extent cx="4410075" cy="6762750"/>
            <wp:effectExtent l="0" t="0" r="9525" b="0"/>
            <wp:docPr id="473" name="Picture 495" descr="http://images.flatworldknowledge.com/shafer/shafer-fig12_b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http://images.flatworldknowledge.com/shafer/shafer-fig12_b001.jpg"/>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4410075" cy="6762750"/>
                    </a:xfrm>
                    <a:prstGeom prst="rect">
                      <a:avLst/>
                    </a:prstGeom>
                    <a:noFill/>
                    <a:ln>
                      <a:noFill/>
                    </a:ln>
                  </pic:spPr>
                </pic:pic>
              </a:graphicData>
            </a:graphic>
          </wp:inline>
        </w:drawing>
      </w:r>
    </w:p>
    <w:p w:rsidR="00AD77BB" w:rsidRDefault="00AD77BB">
      <w:pPr>
        <w:shd w:val="clear" w:color="auto" w:fill="FFFFFF"/>
        <w:spacing w:after="0" w:line="439" w:lineRule="atLeast"/>
        <w:textAlignment w:val="baseline"/>
        <w:rPr>
          <w:rFonts w:ascii="Georgia" w:eastAsia="Times New Roman" w:hAnsi="Georgia" w:cs="Times New Roman"/>
          <w:i/>
          <w:iCs/>
          <w:color w:val="000000"/>
          <w:sz w:val="18"/>
          <w:szCs w:val="18"/>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18"/>
          <w:szCs w:val="18"/>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18"/>
          <w:szCs w:val="18"/>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18"/>
          <w:szCs w:val="18"/>
        </w:rPr>
      </w:pPr>
    </w:p>
    <w:p w:rsidR="00AD77BB" w:rsidRDefault="00B45BA0">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12.2</w:t>
      </w:r>
      <w:r>
        <w:rPr>
          <w:rFonts w:ascii="Georgia" w:eastAsia="Times New Roman" w:hAnsi="Georgia" w:cs="Times New Roman"/>
          <w:i/>
          <w:iCs/>
          <w:color w:val="BB9966"/>
          <w:sz w:val="18"/>
          <w:szCs w:val="18"/>
        </w:rPr>
        <w:t> Cumulative Normal Probability</w:t>
      </w:r>
    </w:p>
    <w:p w:rsidR="00AD77BB" w:rsidRDefault="00B45BA0">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rPr>
        <w:drawing>
          <wp:inline distT="0" distB="0" distL="0" distR="0">
            <wp:extent cx="4505325" cy="6667500"/>
            <wp:effectExtent l="0" t="0" r="9525" b="0"/>
            <wp:docPr id="474" name="Picture 496" descr="http://images.flatworldknowledge.com/shafer/shafer-fig12_a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http://images.flatworldknowledge.com/shafer/shafer-fig12_a002.jpg"/>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4505325" cy="6667500"/>
                    </a:xfrm>
                    <a:prstGeom prst="rect">
                      <a:avLst/>
                    </a:prstGeom>
                    <a:noFill/>
                    <a:ln>
                      <a:noFill/>
                    </a:ln>
                  </pic:spPr>
                </pic:pic>
              </a:graphicData>
            </a:graphic>
          </wp:inline>
        </w:drawing>
      </w:r>
    </w:p>
    <w:p w:rsidR="00AD77BB" w:rsidRDefault="00B45BA0">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rPr>
        <w:lastRenderedPageBreak/>
        <w:drawing>
          <wp:inline distT="0" distB="0" distL="0" distR="0">
            <wp:extent cx="4676775" cy="6924675"/>
            <wp:effectExtent l="0" t="0" r="9525" b="9525"/>
            <wp:docPr id="475" name="Picture 497" descr="http://images.flatworldknowledge.com/shafer/shafer-fig12_b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http://images.flatworldknowledge.com/shafer/shafer-fig12_b002.jpg"/>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4676775" cy="6924675"/>
                    </a:xfrm>
                    <a:prstGeom prst="rect">
                      <a:avLst/>
                    </a:prstGeom>
                    <a:noFill/>
                    <a:ln>
                      <a:noFill/>
                    </a:ln>
                  </pic:spPr>
                </pic:pic>
              </a:graphicData>
            </a:graphic>
          </wp:inline>
        </w:drawing>
      </w:r>
    </w:p>
    <w:p w:rsidR="00AD77BB" w:rsidRDefault="00AD77BB">
      <w:pPr>
        <w:shd w:val="clear" w:color="auto" w:fill="FFFFFF"/>
        <w:spacing w:after="0" w:line="439" w:lineRule="atLeast"/>
        <w:textAlignment w:val="baseline"/>
        <w:rPr>
          <w:rFonts w:ascii="Georgia" w:eastAsia="Times New Roman" w:hAnsi="Georgia" w:cs="Times New Roman"/>
          <w:i/>
          <w:iCs/>
          <w:color w:val="000000"/>
          <w:sz w:val="18"/>
          <w:szCs w:val="18"/>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18"/>
          <w:szCs w:val="18"/>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18"/>
          <w:szCs w:val="18"/>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18"/>
          <w:szCs w:val="18"/>
        </w:rPr>
      </w:pPr>
    </w:p>
    <w:p w:rsidR="00AD77BB" w:rsidRDefault="00B45BA0">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12.3</w:t>
      </w:r>
      <w:r>
        <w:rPr>
          <w:rFonts w:ascii="Georgia" w:eastAsia="Times New Roman" w:hAnsi="Georgia" w:cs="Times New Roman"/>
          <w:i/>
          <w:iCs/>
          <w:color w:val="BB9966"/>
          <w:sz w:val="18"/>
          <w:szCs w:val="18"/>
        </w:rPr>
        <w:t> Critical Values of t</w:t>
      </w:r>
    </w:p>
    <w:p w:rsidR="00AD77BB" w:rsidRDefault="00B45BA0">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rPr>
        <w:drawing>
          <wp:inline distT="0" distB="0" distL="0" distR="0">
            <wp:extent cx="3629025" cy="7553325"/>
            <wp:effectExtent l="0" t="0" r="9525" b="9525"/>
            <wp:docPr id="476" name="Picture 498" descr="http://images.flatworldknowledge.com/shafer/shafer-fig12_a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http://images.flatworldknowledge.com/shafer/shafer-fig12_a003.jpg"/>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3629025" cy="7553325"/>
                    </a:xfrm>
                    <a:prstGeom prst="rect">
                      <a:avLst/>
                    </a:prstGeom>
                    <a:noFill/>
                    <a:ln>
                      <a:noFill/>
                    </a:ln>
                  </pic:spPr>
                </pic:pic>
              </a:graphicData>
            </a:graphic>
          </wp:inline>
        </w:drawing>
      </w:r>
    </w:p>
    <w:p w:rsidR="00AD77BB" w:rsidRDefault="00B45BA0">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rPr>
        <w:lastRenderedPageBreak/>
        <w:drawing>
          <wp:inline distT="0" distB="0" distL="0" distR="0">
            <wp:extent cx="3752850" cy="8001000"/>
            <wp:effectExtent l="0" t="0" r="0" b="0"/>
            <wp:docPr id="477" name="Picture 499" descr="http://images.flatworldknowledge.com/shafer/shafer-fig12_b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http://images.flatworldknowledge.com/shafer/shafer-fig12_b003.jpg"/>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3752850" cy="8001000"/>
                    </a:xfrm>
                    <a:prstGeom prst="rect">
                      <a:avLst/>
                    </a:prstGeom>
                    <a:noFill/>
                    <a:ln>
                      <a:noFill/>
                    </a:ln>
                  </pic:spPr>
                </pic:pic>
              </a:graphicData>
            </a:graphic>
          </wp:inline>
        </w:drawing>
      </w:r>
    </w:p>
    <w:p w:rsidR="00AD77BB" w:rsidRDefault="00B45BA0">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12.4</w:t>
      </w:r>
      <w:r>
        <w:rPr>
          <w:rFonts w:ascii="Georgia" w:eastAsia="Times New Roman" w:hAnsi="Georgia" w:cs="Times New Roman"/>
          <w:i/>
          <w:iCs/>
          <w:color w:val="BB9966"/>
          <w:sz w:val="18"/>
          <w:szCs w:val="18"/>
        </w:rPr>
        <w:t> Critical Values of Chi-Square Distributions</w:t>
      </w:r>
    </w:p>
    <w:p w:rsidR="00AD77BB" w:rsidRDefault="00B45BA0">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rPr>
        <w:drawing>
          <wp:inline distT="0" distB="0" distL="0" distR="0">
            <wp:extent cx="4143375" cy="7477125"/>
            <wp:effectExtent l="0" t="0" r="9525" b="9525"/>
            <wp:docPr id="478" name="Picture 500" descr="http://images.flatworldknowledge.com/shafer/shafer-fig1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http://images.flatworldknowledge.com/shafer/shafer-fig12_004.jpg"/>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4143375" cy="7477125"/>
                    </a:xfrm>
                    <a:prstGeom prst="rect">
                      <a:avLst/>
                    </a:prstGeom>
                    <a:noFill/>
                    <a:ln>
                      <a:noFill/>
                    </a:ln>
                  </pic:spPr>
                </pic:pic>
              </a:graphicData>
            </a:graphic>
          </wp:inline>
        </w:drawing>
      </w:r>
    </w:p>
    <w:p w:rsidR="00AD77BB" w:rsidRDefault="00AD77BB">
      <w:pPr>
        <w:shd w:val="clear" w:color="auto" w:fill="FFFFFF"/>
        <w:spacing w:after="0" w:line="439" w:lineRule="atLeast"/>
        <w:textAlignment w:val="baseline"/>
        <w:rPr>
          <w:rFonts w:ascii="Georgia" w:eastAsia="Times New Roman" w:hAnsi="Georgia" w:cs="Times New Roman"/>
          <w:i/>
          <w:iCs/>
          <w:color w:val="000000"/>
          <w:sz w:val="18"/>
          <w:szCs w:val="18"/>
        </w:rPr>
      </w:pPr>
    </w:p>
    <w:p w:rsidR="00AD77BB" w:rsidRDefault="00B45BA0">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12.5</w:t>
      </w:r>
      <w:r>
        <w:rPr>
          <w:rFonts w:ascii="Georgia" w:eastAsia="Times New Roman" w:hAnsi="Georgia" w:cs="Times New Roman"/>
          <w:i/>
          <w:iCs/>
          <w:color w:val="BB9966"/>
          <w:sz w:val="18"/>
          <w:szCs w:val="18"/>
        </w:rPr>
        <w:t> Upper Critical Values of F-Distributions</w:t>
      </w:r>
    </w:p>
    <w:p w:rsidR="00AD77BB" w:rsidRDefault="00B45BA0">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rPr>
        <w:drawing>
          <wp:inline distT="0" distB="0" distL="0" distR="0">
            <wp:extent cx="5648325" cy="6534150"/>
            <wp:effectExtent l="0" t="0" r="9525" b="0"/>
            <wp:docPr id="479" name="Picture 501" descr="http://images.flatworldknowledge.com/shafer/shafer-fig12_a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http://images.flatworldknowledge.com/shafer/shafer-fig12_a005.jpg"/>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648325" cy="6534150"/>
                    </a:xfrm>
                    <a:prstGeom prst="rect">
                      <a:avLst/>
                    </a:prstGeom>
                    <a:noFill/>
                    <a:ln>
                      <a:noFill/>
                    </a:ln>
                  </pic:spPr>
                </pic:pic>
              </a:graphicData>
            </a:graphic>
          </wp:inline>
        </w:drawing>
      </w:r>
    </w:p>
    <w:p w:rsidR="00AD77BB" w:rsidRDefault="00B45BA0">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rPr>
        <w:lastRenderedPageBreak/>
        <w:drawing>
          <wp:inline distT="0" distB="0" distL="0" distR="0">
            <wp:extent cx="5695950" cy="6591300"/>
            <wp:effectExtent l="0" t="0" r="0" b="0"/>
            <wp:docPr id="480" name="Picture 502" descr="http://images.flatworldknowledge.com/shafer/shafer-fig12_b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http://images.flatworldknowledge.com/shafer/shafer-fig12_b005.jpg"/>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695950" cy="6591300"/>
                    </a:xfrm>
                    <a:prstGeom prst="rect">
                      <a:avLst/>
                    </a:prstGeom>
                    <a:noFill/>
                    <a:ln>
                      <a:noFill/>
                    </a:ln>
                  </pic:spPr>
                </pic:pic>
              </a:graphicData>
            </a:graphic>
          </wp:inline>
        </w:drawing>
      </w:r>
    </w:p>
    <w:p w:rsidR="00AD77BB" w:rsidRDefault="00B45BA0">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rPr>
        <w:lastRenderedPageBreak/>
        <w:drawing>
          <wp:inline distT="0" distB="0" distL="0" distR="0">
            <wp:extent cx="5753100" cy="6648450"/>
            <wp:effectExtent l="0" t="0" r="0" b="0"/>
            <wp:docPr id="481" name="Picture 503" descr="http://images.flatworldknowledge.com/shafer/shafer-fig12_c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http://images.flatworldknowledge.com/shafer/shafer-fig12_c005.jpg"/>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753100" cy="6648450"/>
                    </a:xfrm>
                    <a:prstGeom prst="rect">
                      <a:avLst/>
                    </a:prstGeom>
                    <a:noFill/>
                    <a:ln>
                      <a:noFill/>
                    </a:ln>
                  </pic:spPr>
                </pic:pic>
              </a:graphicData>
            </a:graphic>
          </wp:inline>
        </w:drawing>
      </w:r>
    </w:p>
    <w:p w:rsidR="00AD77BB" w:rsidRDefault="00AD77BB">
      <w:pPr>
        <w:shd w:val="clear" w:color="auto" w:fill="FFFFFF"/>
        <w:spacing w:after="0" w:line="439" w:lineRule="atLeast"/>
        <w:textAlignment w:val="baseline"/>
        <w:rPr>
          <w:rFonts w:ascii="Georgia" w:eastAsia="Times New Roman" w:hAnsi="Georgia" w:cs="Times New Roman"/>
          <w:i/>
          <w:iCs/>
          <w:color w:val="000000"/>
          <w:sz w:val="18"/>
          <w:szCs w:val="18"/>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18"/>
          <w:szCs w:val="18"/>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18"/>
          <w:szCs w:val="18"/>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18"/>
          <w:szCs w:val="18"/>
        </w:rPr>
      </w:pPr>
    </w:p>
    <w:p w:rsidR="00AD77BB" w:rsidRDefault="00AD77BB">
      <w:pPr>
        <w:shd w:val="clear" w:color="auto" w:fill="FFFFFF"/>
        <w:spacing w:after="0" w:line="439" w:lineRule="atLeast"/>
        <w:textAlignment w:val="baseline"/>
        <w:rPr>
          <w:rFonts w:ascii="Georgia" w:eastAsia="Times New Roman" w:hAnsi="Georgia" w:cs="Times New Roman"/>
          <w:i/>
          <w:iCs/>
          <w:color w:val="000000"/>
          <w:sz w:val="18"/>
          <w:szCs w:val="18"/>
        </w:rPr>
      </w:pPr>
    </w:p>
    <w:p w:rsidR="00AD77BB" w:rsidRDefault="00B45BA0">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12.6</w:t>
      </w:r>
      <w:r>
        <w:rPr>
          <w:rFonts w:ascii="Georgia" w:eastAsia="Times New Roman" w:hAnsi="Georgia" w:cs="Times New Roman"/>
          <w:i/>
          <w:iCs/>
          <w:color w:val="BB9966"/>
          <w:sz w:val="18"/>
          <w:szCs w:val="18"/>
        </w:rPr>
        <w:t> Lower Critical Values of F-Distributions</w:t>
      </w:r>
    </w:p>
    <w:p w:rsidR="00AD77BB" w:rsidRDefault="00B45BA0">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rPr>
        <w:drawing>
          <wp:inline distT="0" distB="0" distL="0" distR="0">
            <wp:extent cx="5762625" cy="6667500"/>
            <wp:effectExtent l="0" t="0" r="9525" b="0"/>
            <wp:docPr id="482" name="Picture 504" descr="http://images.flatworldknowledge.com/shafer/shafer-fig12_a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http://images.flatworldknowledge.com/shafer/shafer-fig12_a006.jpg"/>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762625" cy="6667500"/>
                    </a:xfrm>
                    <a:prstGeom prst="rect">
                      <a:avLst/>
                    </a:prstGeom>
                    <a:noFill/>
                    <a:ln>
                      <a:noFill/>
                    </a:ln>
                  </pic:spPr>
                </pic:pic>
              </a:graphicData>
            </a:graphic>
          </wp:inline>
        </w:drawing>
      </w:r>
    </w:p>
    <w:p w:rsidR="00AD77BB" w:rsidRDefault="00B45BA0">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rPr>
        <w:lastRenderedPageBreak/>
        <w:drawing>
          <wp:inline distT="0" distB="0" distL="0" distR="0">
            <wp:extent cx="5734050" cy="6629400"/>
            <wp:effectExtent l="0" t="0" r="0" b="0"/>
            <wp:docPr id="483" name="Picture 505" descr="http://images.flatworldknowledge.com/shafer/shafer-fig12_b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http://images.flatworldknowledge.com/shafer/shafer-fig12_b006.jpg"/>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734050" cy="6629400"/>
                    </a:xfrm>
                    <a:prstGeom prst="rect">
                      <a:avLst/>
                    </a:prstGeom>
                    <a:noFill/>
                    <a:ln>
                      <a:noFill/>
                    </a:ln>
                  </pic:spPr>
                </pic:pic>
              </a:graphicData>
            </a:graphic>
          </wp:inline>
        </w:drawing>
      </w:r>
    </w:p>
    <w:p w:rsidR="00AD77BB" w:rsidRDefault="00B45BA0">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rPr>
        <w:lastRenderedPageBreak/>
        <w:drawing>
          <wp:inline distT="0" distB="0" distL="0" distR="0">
            <wp:extent cx="5600700" cy="6477000"/>
            <wp:effectExtent l="0" t="0" r="0" b="0"/>
            <wp:docPr id="484" name="Picture 506" descr="http://images.flatworldknowledge.com/shafer/shafer-fig12_c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http://images.flatworldknowledge.com/shafer/shafer-fig12_c006.jpg"/>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600700" cy="6477000"/>
                    </a:xfrm>
                    <a:prstGeom prst="rect">
                      <a:avLst/>
                    </a:prstGeom>
                    <a:noFill/>
                    <a:ln>
                      <a:noFill/>
                    </a:ln>
                  </pic:spPr>
                </pic:pic>
              </a:graphicData>
            </a:graphic>
          </wp:inline>
        </w:drawing>
      </w:r>
    </w:p>
    <w:p w:rsidR="00AD77BB" w:rsidRDefault="00AD77BB">
      <w:pPr>
        <w:shd w:val="clear" w:color="auto" w:fill="FFFFFF" w:themeFill="background1"/>
        <w:tabs>
          <w:tab w:val="left" w:pos="5547"/>
        </w:tabs>
        <w:spacing w:line="360" w:lineRule="auto"/>
        <w:ind w:left="360"/>
        <w:contextualSpacing/>
        <w:rPr>
          <w:rFonts w:ascii="Calibri" w:eastAsia="Times New Roman" w:hAnsi="Calibri" w:cs="Times New Roman"/>
          <w:sz w:val="20"/>
          <w:szCs w:val="20"/>
        </w:rPr>
      </w:pPr>
    </w:p>
    <w:p w:rsidR="00B45BA0" w:rsidRDefault="00B45BA0">
      <w:pPr>
        <w:shd w:val="clear" w:color="auto" w:fill="FFFFFF" w:themeFill="background1"/>
        <w:tabs>
          <w:tab w:val="left" w:pos="5547"/>
        </w:tabs>
        <w:spacing w:line="360" w:lineRule="auto"/>
        <w:ind w:left="360"/>
        <w:contextualSpacing/>
        <w:jc w:val="center"/>
        <w:rPr>
          <w:rFonts w:ascii="Calibri" w:eastAsia="Times New Roman" w:hAnsi="Calibri" w:cs="Times New Roman"/>
          <w:sz w:val="20"/>
          <w:szCs w:val="20"/>
        </w:rPr>
      </w:pPr>
    </w:p>
    <w:sectPr w:rsidR="00B45BA0">
      <w:footerReference w:type="even" r:id="rId496"/>
      <w:footerReference w:type="default" r:id="rId49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31EC" w:rsidRDefault="003231EC">
      <w:pPr>
        <w:spacing w:after="0" w:line="240" w:lineRule="auto"/>
      </w:pPr>
      <w:r>
        <w:separator/>
      </w:r>
    </w:p>
  </w:endnote>
  <w:endnote w:type="continuationSeparator" w:id="0">
    <w:p w:rsidR="003231EC" w:rsidRDefault="003231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MathJax_Math">
    <w:altName w:val="Times New Roman"/>
    <w:panose1 w:val="00000000000000000000"/>
    <w:charset w:val="00"/>
    <w:family w:val="roman"/>
    <w:notTrueType/>
    <w:pitch w:val="default"/>
  </w:font>
  <w:font w:name="MathJax_Main">
    <w:altName w:val="Times New Roman"/>
    <w:panose1 w:val="00000000000000000000"/>
    <w:charset w:val="00"/>
    <w:family w:val="roman"/>
    <w:notTrueType/>
    <w:pitch w:val="default"/>
  </w:font>
  <w:font w:name="MathJax_Size1">
    <w:altName w:val="Times New Roman"/>
    <w:panose1 w:val="00000000000000000000"/>
    <w:charset w:val="00"/>
    <w:family w:val="roman"/>
    <w:notTrueType/>
    <w:pitch w:val="default"/>
  </w:font>
  <w:font w:name="Vivaldi">
    <w:panose1 w:val="03020602050506090804"/>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athJax_Size2">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7BB" w:rsidRDefault="00B45B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AD77BB" w:rsidRDefault="00AD77B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77BB" w:rsidRDefault="00B45BA0">
    <w:pPr>
      <w:tabs>
        <w:tab w:val="left" w:pos="5730"/>
        <w:tab w:val="right" w:pos="9360"/>
      </w:tabs>
      <w:spacing w:after="0" w:line="240" w:lineRule="auto"/>
      <w:rPr>
        <w:rFonts w:ascii="Calibri" w:eastAsia="MS Mincho" w:hAnsi="Calibri" w:cs="Times New Roman"/>
        <w:sz w:val="20"/>
        <w:szCs w:val="20"/>
      </w:rPr>
    </w:pPr>
    <w:r>
      <w:rPr>
        <w:rFonts w:ascii="Calibri" w:eastAsia="MS Mincho" w:hAnsi="Calibri" w:cs="Times New Roman"/>
        <w:sz w:val="20"/>
        <w:szCs w:val="20"/>
      </w:rPr>
      <w:t xml:space="preserve">Saylor URL: </w:t>
    </w:r>
    <w:hyperlink r:id="rId1" w:history="1">
      <w:r>
        <w:rPr>
          <w:rStyle w:val="Hyperlink"/>
          <w:rFonts w:ascii="Calibri" w:eastAsia="MS Mincho" w:hAnsi="Calibri" w:cs="Times New Roman"/>
          <w:sz w:val="20"/>
          <w:szCs w:val="20"/>
        </w:rPr>
        <w:t>http://www.saylor.org/books</w:t>
      </w:r>
    </w:hyperlink>
    <w:r>
      <w:rPr>
        <w:rFonts w:ascii="Calibri" w:eastAsia="MS Mincho" w:hAnsi="Calibri" w:cs="Times New Roman"/>
        <w:sz w:val="20"/>
        <w:szCs w:val="20"/>
      </w:rPr>
      <w:tab/>
    </w:r>
    <w:r>
      <w:rPr>
        <w:rFonts w:ascii="Calibri" w:eastAsia="MS Mincho" w:hAnsi="Calibri" w:cs="Times New Roman"/>
        <w:sz w:val="20"/>
        <w:szCs w:val="20"/>
      </w:rPr>
      <w:tab/>
      <w:t>Saylor.org</w:t>
    </w:r>
  </w:p>
  <w:p w:rsidR="00AD77BB" w:rsidRDefault="00B45BA0">
    <w:pPr>
      <w:tabs>
        <w:tab w:val="left" w:pos="5730"/>
        <w:tab w:val="right" w:pos="9360"/>
      </w:tabs>
      <w:spacing w:after="0" w:line="240" w:lineRule="auto"/>
      <w:rPr>
        <w:rFonts w:ascii="Calibri" w:eastAsia="MS Mincho" w:hAnsi="Calibri" w:cs="Times New Roman"/>
        <w:sz w:val="20"/>
        <w:szCs w:val="20"/>
      </w:rPr>
    </w:pPr>
    <w:r>
      <w:rPr>
        <w:noProof/>
      </w:rPr>
      <w:drawing>
        <wp:anchor distT="0" distB="0" distL="114300" distR="114300" simplePos="0" relativeHeight="251657728" behindDoc="1" locked="0" layoutInCell="1" allowOverlap="1">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 name="Picture 399"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Description: Creative Commons BY-NC-SA 3.0 Logo">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MS Mincho" w:hAnsi="Calibri" w:cs="Times New Roman"/>
        <w:sz w:val="20"/>
        <w:szCs w:val="20"/>
      </w:rPr>
      <w:tab/>
    </w:r>
    <w:r>
      <w:rPr>
        <w:rFonts w:ascii="Calibri" w:eastAsia="MS Mincho" w:hAnsi="Calibri" w:cs="Times New Roman"/>
        <w:sz w:val="20"/>
        <w:szCs w:val="20"/>
      </w:rPr>
      <w:tab/>
    </w:r>
    <w:r>
      <w:rPr>
        <w:rFonts w:ascii="Calibri" w:eastAsia="MS Mincho" w:hAnsi="Calibri" w:cs="Times New Roman"/>
        <w:sz w:val="20"/>
        <w:szCs w:val="20"/>
      </w:rPr>
      <w:fldChar w:fldCharType="begin"/>
    </w:r>
    <w:r>
      <w:rPr>
        <w:rFonts w:ascii="Calibri" w:eastAsia="MS Mincho" w:hAnsi="Calibri" w:cs="Times New Roman"/>
        <w:sz w:val="20"/>
        <w:szCs w:val="20"/>
      </w:rPr>
      <w:instrText xml:space="preserve"> PAGE   \* MERGEFORMAT </w:instrText>
    </w:r>
    <w:r>
      <w:rPr>
        <w:rFonts w:ascii="Calibri" w:eastAsia="MS Mincho" w:hAnsi="Calibri" w:cs="Times New Roman"/>
        <w:sz w:val="20"/>
        <w:szCs w:val="20"/>
      </w:rPr>
      <w:fldChar w:fldCharType="separate"/>
    </w:r>
    <w:r w:rsidR="00847BF3">
      <w:rPr>
        <w:rFonts w:ascii="Calibri" w:eastAsia="MS Mincho" w:hAnsi="Calibri" w:cs="Times New Roman"/>
        <w:noProof/>
        <w:sz w:val="20"/>
        <w:szCs w:val="20"/>
      </w:rPr>
      <w:t>48</w:t>
    </w:r>
    <w:r>
      <w:rPr>
        <w:rFonts w:ascii="Calibri" w:eastAsia="MS Mincho" w:hAnsi="Calibri" w:cs="Times New Roman"/>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31EC" w:rsidRDefault="003231EC">
      <w:pPr>
        <w:spacing w:after="0" w:line="240" w:lineRule="auto"/>
      </w:pPr>
      <w:r>
        <w:separator/>
      </w:r>
    </w:p>
  </w:footnote>
  <w:footnote w:type="continuationSeparator" w:id="0">
    <w:p w:rsidR="003231EC" w:rsidRDefault="003231E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816D3"/>
    <w:multiLevelType w:val="multilevel"/>
    <w:tmpl w:val="9B7210B4"/>
    <w:lvl w:ilvl="0">
      <w:start w:val="27"/>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upperLetter"/>
      <w:lvlText w:val="%4."/>
      <w:lvlJc w:val="left"/>
      <w:pPr>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005917A4"/>
    <w:multiLevelType w:val="multilevel"/>
    <w:tmpl w:val="38CC59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00B95D76"/>
    <w:multiLevelType w:val="multilevel"/>
    <w:tmpl w:val="6F06A0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00D77344"/>
    <w:multiLevelType w:val="multilevel"/>
    <w:tmpl w:val="B6D6BE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02AE0F0A"/>
    <w:multiLevelType w:val="multilevel"/>
    <w:tmpl w:val="529A76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2C2095A"/>
    <w:multiLevelType w:val="multilevel"/>
    <w:tmpl w:val="561853FA"/>
    <w:lvl w:ilvl="0">
      <w:start w:val="10"/>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035C035F"/>
    <w:multiLevelType w:val="multilevel"/>
    <w:tmpl w:val="F0383B4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044914E7"/>
    <w:multiLevelType w:val="multilevel"/>
    <w:tmpl w:val="3D7082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056362EC"/>
    <w:multiLevelType w:val="multilevel"/>
    <w:tmpl w:val="8A660F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0672021E"/>
    <w:multiLevelType w:val="multilevel"/>
    <w:tmpl w:val="C12EAB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07CC6002"/>
    <w:multiLevelType w:val="multilevel"/>
    <w:tmpl w:val="2C4EF2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084028F6"/>
    <w:multiLevelType w:val="multilevel"/>
    <w:tmpl w:val="2FFA17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09912702"/>
    <w:multiLevelType w:val="multilevel"/>
    <w:tmpl w:val="5DE6A2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09EE3360"/>
    <w:multiLevelType w:val="multilevel"/>
    <w:tmpl w:val="4E880E90"/>
    <w:lvl w:ilvl="0">
      <w:start w:val="7"/>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nsid w:val="0A3C5D3A"/>
    <w:multiLevelType w:val="multilevel"/>
    <w:tmpl w:val="8A0EE5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nsid w:val="0BAD2502"/>
    <w:multiLevelType w:val="hybridMultilevel"/>
    <w:tmpl w:val="6D7C8F82"/>
    <w:lvl w:ilvl="0" w:tplc="5CB2AD1E">
      <w:start w:val="4"/>
      <w:numFmt w:val="lowerLetter"/>
      <w:lvlText w:val="%1."/>
      <w:lvlJc w:val="left"/>
      <w:pPr>
        <w:tabs>
          <w:tab w:val="num" w:pos="720"/>
        </w:tabs>
        <w:ind w:left="720" w:hanging="360"/>
      </w:pPr>
    </w:lvl>
    <w:lvl w:ilvl="1" w:tplc="E048A68E">
      <w:start w:val="1"/>
      <w:numFmt w:val="decimal"/>
      <w:lvlText w:val="%2."/>
      <w:lvlJc w:val="left"/>
      <w:pPr>
        <w:tabs>
          <w:tab w:val="num" w:pos="1440"/>
        </w:tabs>
        <w:ind w:left="1440" w:hanging="360"/>
      </w:pPr>
    </w:lvl>
    <w:lvl w:ilvl="2" w:tplc="3CC0DFEC">
      <w:start w:val="1"/>
      <w:numFmt w:val="decimal"/>
      <w:lvlText w:val="%3."/>
      <w:lvlJc w:val="left"/>
      <w:pPr>
        <w:tabs>
          <w:tab w:val="num" w:pos="2160"/>
        </w:tabs>
        <w:ind w:left="2160" w:hanging="360"/>
      </w:pPr>
    </w:lvl>
    <w:lvl w:ilvl="3" w:tplc="1A9074A4">
      <w:start w:val="1"/>
      <w:numFmt w:val="decimal"/>
      <w:lvlText w:val="%4."/>
      <w:lvlJc w:val="left"/>
      <w:pPr>
        <w:tabs>
          <w:tab w:val="num" w:pos="2880"/>
        </w:tabs>
        <w:ind w:left="2880" w:hanging="360"/>
      </w:pPr>
    </w:lvl>
    <w:lvl w:ilvl="4" w:tplc="5492D946">
      <w:start w:val="1"/>
      <w:numFmt w:val="decimal"/>
      <w:lvlText w:val="%5."/>
      <w:lvlJc w:val="left"/>
      <w:pPr>
        <w:tabs>
          <w:tab w:val="num" w:pos="3600"/>
        </w:tabs>
        <w:ind w:left="3600" w:hanging="360"/>
      </w:pPr>
    </w:lvl>
    <w:lvl w:ilvl="5" w:tplc="D3D8A16E">
      <w:start w:val="1"/>
      <w:numFmt w:val="decimal"/>
      <w:lvlText w:val="%6."/>
      <w:lvlJc w:val="left"/>
      <w:pPr>
        <w:tabs>
          <w:tab w:val="num" w:pos="4320"/>
        </w:tabs>
        <w:ind w:left="4320" w:hanging="360"/>
      </w:pPr>
    </w:lvl>
    <w:lvl w:ilvl="6" w:tplc="A9EC5E42">
      <w:start w:val="1"/>
      <w:numFmt w:val="decimal"/>
      <w:lvlText w:val="%7."/>
      <w:lvlJc w:val="left"/>
      <w:pPr>
        <w:tabs>
          <w:tab w:val="num" w:pos="5040"/>
        </w:tabs>
        <w:ind w:left="5040" w:hanging="360"/>
      </w:pPr>
    </w:lvl>
    <w:lvl w:ilvl="7" w:tplc="89421FF0">
      <w:start w:val="1"/>
      <w:numFmt w:val="decimal"/>
      <w:lvlText w:val="%8."/>
      <w:lvlJc w:val="left"/>
      <w:pPr>
        <w:tabs>
          <w:tab w:val="num" w:pos="5760"/>
        </w:tabs>
        <w:ind w:left="5760" w:hanging="360"/>
      </w:pPr>
    </w:lvl>
    <w:lvl w:ilvl="8" w:tplc="7A50B8E2">
      <w:start w:val="1"/>
      <w:numFmt w:val="decimal"/>
      <w:lvlText w:val="%9."/>
      <w:lvlJc w:val="left"/>
      <w:pPr>
        <w:tabs>
          <w:tab w:val="num" w:pos="6480"/>
        </w:tabs>
        <w:ind w:left="6480" w:hanging="360"/>
      </w:pPr>
    </w:lvl>
  </w:abstractNum>
  <w:abstractNum w:abstractNumId="16">
    <w:nsid w:val="0DE12395"/>
    <w:multiLevelType w:val="multilevel"/>
    <w:tmpl w:val="745ECA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nsid w:val="0E2A1AF7"/>
    <w:multiLevelType w:val="multilevel"/>
    <w:tmpl w:val="2C4EF238"/>
    <w:lvl w:ilvl="0">
      <w:start w:val="1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0E395F23"/>
    <w:multiLevelType w:val="multilevel"/>
    <w:tmpl w:val="14F454E6"/>
    <w:lvl w:ilvl="0">
      <w:start w:val="2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0E42280D"/>
    <w:multiLevelType w:val="multilevel"/>
    <w:tmpl w:val="7E96D4D2"/>
    <w:lvl w:ilvl="0">
      <w:start w:val="4"/>
      <w:numFmt w:val="lowerLetter"/>
      <w:lvlText w:val="%1."/>
      <w:lvlJc w:val="left"/>
      <w:pPr>
        <w:ind w:left="0" w:firstLine="0"/>
      </w:pPr>
    </w:lvl>
    <w:lvl w:ilvl="1">
      <w:start w:val="3"/>
      <w:numFmt w:val="upp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0E7718A2"/>
    <w:multiLevelType w:val="multilevel"/>
    <w:tmpl w:val="803E6D5A"/>
    <w:lvl w:ilvl="0">
      <w:start w:val="2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0EC0054E"/>
    <w:multiLevelType w:val="multilevel"/>
    <w:tmpl w:val="514E7ECE"/>
    <w:lvl w:ilvl="0">
      <w:start w:val="1"/>
      <w:numFmt w:val="lowerLetter"/>
      <w:lvlText w:val="%1."/>
      <w:lvlJc w:val="left"/>
      <w:pPr>
        <w:tabs>
          <w:tab w:val="num" w:pos="1800"/>
        </w:tabs>
        <w:ind w:left="1800" w:hanging="360"/>
      </w:pPr>
    </w:lvl>
    <w:lvl w:ilvl="1">
      <w:start w:val="1"/>
      <w:numFmt w:val="lowerLetter"/>
      <w:lvlText w:val="%2."/>
      <w:lvlJc w:val="left"/>
      <w:pPr>
        <w:tabs>
          <w:tab w:val="num" w:pos="2520"/>
        </w:tabs>
        <w:ind w:left="2520" w:hanging="360"/>
      </w:pPr>
    </w:lvl>
    <w:lvl w:ilvl="2">
      <w:start w:val="1"/>
      <w:numFmt w:val="lowerLetter"/>
      <w:lvlText w:val="%3."/>
      <w:lvlJc w:val="left"/>
      <w:pPr>
        <w:tabs>
          <w:tab w:val="num" w:pos="3240"/>
        </w:tabs>
        <w:ind w:left="3240" w:hanging="360"/>
      </w:pPr>
    </w:lvl>
    <w:lvl w:ilvl="3">
      <w:start w:val="1"/>
      <w:numFmt w:val="lowerLetter"/>
      <w:lvlText w:val="%4."/>
      <w:lvlJc w:val="left"/>
      <w:pPr>
        <w:tabs>
          <w:tab w:val="num" w:pos="3960"/>
        </w:tabs>
        <w:ind w:left="3960" w:hanging="360"/>
      </w:pPr>
    </w:lvl>
    <w:lvl w:ilvl="4">
      <w:start w:val="1"/>
      <w:numFmt w:val="lowerLetter"/>
      <w:lvlText w:val="%5."/>
      <w:lvlJc w:val="left"/>
      <w:pPr>
        <w:tabs>
          <w:tab w:val="num" w:pos="4680"/>
        </w:tabs>
        <w:ind w:left="4680" w:hanging="360"/>
      </w:pPr>
    </w:lvl>
    <w:lvl w:ilvl="5">
      <w:start w:val="1"/>
      <w:numFmt w:val="lowerLetter"/>
      <w:lvlText w:val="%6."/>
      <w:lvlJc w:val="left"/>
      <w:pPr>
        <w:tabs>
          <w:tab w:val="num" w:pos="5400"/>
        </w:tabs>
        <w:ind w:left="5400" w:hanging="360"/>
      </w:pPr>
    </w:lvl>
    <w:lvl w:ilvl="6">
      <w:start w:val="1"/>
      <w:numFmt w:val="lowerLetter"/>
      <w:lvlText w:val="%7."/>
      <w:lvlJc w:val="left"/>
      <w:pPr>
        <w:tabs>
          <w:tab w:val="num" w:pos="6120"/>
        </w:tabs>
        <w:ind w:left="6120" w:hanging="360"/>
      </w:pPr>
    </w:lvl>
    <w:lvl w:ilvl="7">
      <w:start w:val="1"/>
      <w:numFmt w:val="lowerLetter"/>
      <w:lvlText w:val="%8."/>
      <w:lvlJc w:val="left"/>
      <w:pPr>
        <w:tabs>
          <w:tab w:val="num" w:pos="6840"/>
        </w:tabs>
        <w:ind w:left="6840" w:hanging="360"/>
      </w:pPr>
    </w:lvl>
    <w:lvl w:ilvl="8">
      <w:start w:val="1"/>
      <w:numFmt w:val="lowerLetter"/>
      <w:lvlText w:val="%9."/>
      <w:lvlJc w:val="left"/>
      <w:pPr>
        <w:tabs>
          <w:tab w:val="num" w:pos="7560"/>
        </w:tabs>
        <w:ind w:left="7560" w:hanging="360"/>
      </w:pPr>
    </w:lvl>
  </w:abstractNum>
  <w:abstractNum w:abstractNumId="22">
    <w:nsid w:val="0F3F24DD"/>
    <w:multiLevelType w:val="hybridMultilevel"/>
    <w:tmpl w:val="DE76D8BC"/>
    <w:lvl w:ilvl="0" w:tplc="9D38F522">
      <w:start w:val="3"/>
      <w:numFmt w:val="lowerLetter"/>
      <w:lvlText w:val="%1."/>
      <w:lvlJc w:val="left"/>
      <w:pPr>
        <w:ind w:left="948" w:hanging="360"/>
      </w:pPr>
    </w:lvl>
    <w:lvl w:ilvl="1" w:tplc="04090019">
      <w:start w:val="1"/>
      <w:numFmt w:val="lowerLetter"/>
      <w:lvlText w:val="%2."/>
      <w:lvlJc w:val="left"/>
      <w:pPr>
        <w:ind w:left="1668" w:hanging="360"/>
      </w:pPr>
    </w:lvl>
    <w:lvl w:ilvl="2" w:tplc="0409001B">
      <w:start w:val="1"/>
      <w:numFmt w:val="lowerRoman"/>
      <w:lvlText w:val="%3."/>
      <w:lvlJc w:val="right"/>
      <w:pPr>
        <w:ind w:left="2388" w:hanging="180"/>
      </w:pPr>
    </w:lvl>
    <w:lvl w:ilvl="3" w:tplc="0409000F">
      <w:start w:val="1"/>
      <w:numFmt w:val="decimal"/>
      <w:lvlText w:val="%4."/>
      <w:lvlJc w:val="left"/>
      <w:pPr>
        <w:ind w:left="3108" w:hanging="360"/>
      </w:pPr>
    </w:lvl>
    <w:lvl w:ilvl="4" w:tplc="04090019">
      <w:start w:val="1"/>
      <w:numFmt w:val="lowerLetter"/>
      <w:lvlText w:val="%5."/>
      <w:lvlJc w:val="left"/>
      <w:pPr>
        <w:ind w:left="3828" w:hanging="360"/>
      </w:pPr>
    </w:lvl>
    <w:lvl w:ilvl="5" w:tplc="0409001B">
      <w:start w:val="1"/>
      <w:numFmt w:val="lowerRoman"/>
      <w:lvlText w:val="%6."/>
      <w:lvlJc w:val="right"/>
      <w:pPr>
        <w:ind w:left="4548" w:hanging="180"/>
      </w:pPr>
    </w:lvl>
    <w:lvl w:ilvl="6" w:tplc="0409000F">
      <w:start w:val="1"/>
      <w:numFmt w:val="decimal"/>
      <w:lvlText w:val="%7."/>
      <w:lvlJc w:val="left"/>
      <w:pPr>
        <w:ind w:left="5268" w:hanging="360"/>
      </w:pPr>
    </w:lvl>
    <w:lvl w:ilvl="7" w:tplc="04090019">
      <w:start w:val="1"/>
      <w:numFmt w:val="lowerLetter"/>
      <w:lvlText w:val="%8."/>
      <w:lvlJc w:val="left"/>
      <w:pPr>
        <w:ind w:left="5988" w:hanging="360"/>
      </w:pPr>
    </w:lvl>
    <w:lvl w:ilvl="8" w:tplc="0409001B">
      <w:start w:val="1"/>
      <w:numFmt w:val="lowerRoman"/>
      <w:lvlText w:val="%9."/>
      <w:lvlJc w:val="right"/>
      <w:pPr>
        <w:ind w:left="6708" w:hanging="180"/>
      </w:pPr>
    </w:lvl>
  </w:abstractNum>
  <w:abstractNum w:abstractNumId="23">
    <w:nsid w:val="0F7C3C6C"/>
    <w:multiLevelType w:val="multilevel"/>
    <w:tmpl w:val="60528BB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0FC52BE6"/>
    <w:multiLevelType w:val="multilevel"/>
    <w:tmpl w:val="BF9C59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0FCC2852"/>
    <w:multiLevelType w:val="multilevel"/>
    <w:tmpl w:val="2F2887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nsid w:val="107170D5"/>
    <w:multiLevelType w:val="multilevel"/>
    <w:tmpl w:val="ED4E881C"/>
    <w:lvl w:ilvl="0">
      <w:start w:val="1"/>
      <w:numFmt w:val="decimal"/>
      <w:lvlText w:val="%1."/>
      <w:lvlJc w:val="left"/>
      <w:pPr>
        <w:tabs>
          <w:tab w:val="num" w:pos="1080"/>
        </w:tabs>
        <w:ind w:left="1080" w:hanging="360"/>
      </w:pPr>
    </w:lvl>
    <w:lvl w:ilvl="1">
      <w:start w:val="1"/>
      <w:numFmt w:val="decimal"/>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27">
    <w:nsid w:val="108C79EB"/>
    <w:multiLevelType w:val="multilevel"/>
    <w:tmpl w:val="EC341A2C"/>
    <w:lvl w:ilvl="0">
      <w:start w:val="25"/>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11661957"/>
    <w:multiLevelType w:val="multilevel"/>
    <w:tmpl w:val="8E98D4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nsid w:val="11BA3E83"/>
    <w:multiLevelType w:val="multilevel"/>
    <w:tmpl w:val="E710ECF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nsid w:val="11C024DE"/>
    <w:multiLevelType w:val="multilevel"/>
    <w:tmpl w:val="3890683E"/>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nsid w:val="11C0360B"/>
    <w:multiLevelType w:val="multilevel"/>
    <w:tmpl w:val="262CE468"/>
    <w:lvl w:ilvl="0">
      <w:start w:val="1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11DC5BF6"/>
    <w:multiLevelType w:val="multilevel"/>
    <w:tmpl w:val="4E2A02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11E66525"/>
    <w:multiLevelType w:val="multilevel"/>
    <w:tmpl w:val="8F1C933E"/>
    <w:lvl w:ilvl="0">
      <w:start w:val="8"/>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nsid w:val="120217A6"/>
    <w:multiLevelType w:val="multilevel"/>
    <w:tmpl w:val="3E1C0B70"/>
    <w:lvl w:ilvl="0">
      <w:start w:val="9"/>
      <w:numFmt w:val="decimal"/>
      <w:lvlText w:val="%1."/>
      <w:lvlJc w:val="left"/>
      <w:pPr>
        <w:tabs>
          <w:tab w:val="num" w:pos="446"/>
        </w:tabs>
        <w:ind w:left="446" w:hanging="360"/>
      </w:pPr>
    </w:lvl>
    <w:lvl w:ilvl="1">
      <w:start w:val="1"/>
      <w:numFmt w:val="lowerLetter"/>
      <w:lvlText w:val="%2."/>
      <w:lvlJc w:val="left"/>
      <w:pPr>
        <w:tabs>
          <w:tab w:val="num" w:pos="1166"/>
        </w:tabs>
        <w:ind w:left="1166" w:hanging="360"/>
      </w:pPr>
    </w:lvl>
    <w:lvl w:ilvl="2">
      <w:start w:val="1"/>
      <w:numFmt w:val="decimal"/>
      <w:lvlText w:val="%3."/>
      <w:lvlJc w:val="left"/>
      <w:pPr>
        <w:tabs>
          <w:tab w:val="num" w:pos="1886"/>
        </w:tabs>
        <w:ind w:left="1886" w:hanging="360"/>
      </w:pPr>
    </w:lvl>
    <w:lvl w:ilvl="3">
      <w:start w:val="1"/>
      <w:numFmt w:val="decimal"/>
      <w:lvlText w:val="%4."/>
      <w:lvlJc w:val="left"/>
      <w:pPr>
        <w:tabs>
          <w:tab w:val="num" w:pos="2606"/>
        </w:tabs>
        <w:ind w:left="2606" w:hanging="360"/>
      </w:pPr>
    </w:lvl>
    <w:lvl w:ilvl="4">
      <w:start w:val="1"/>
      <w:numFmt w:val="decimal"/>
      <w:lvlText w:val="%5."/>
      <w:lvlJc w:val="left"/>
      <w:pPr>
        <w:tabs>
          <w:tab w:val="num" w:pos="3326"/>
        </w:tabs>
        <w:ind w:left="3326" w:hanging="360"/>
      </w:pPr>
    </w:lvl>
    <w:lvl w:ilvl="5">
      <w:start w:val="1"/>
      <w:numFmt w:val="decimal"/>
      <w:lvlText w:val="%6."/>
      <w:lvlJc w:val="left"/>
      <w:pPr>
        <w:tabs>
          <w:tab w:val="num" w:pos="4046"/>
        </w:tabs>
        <w:ind w:left="4046" w:hanging="360"/>
      </w:pPr>
    </w:lvl>
    <w:lvl w:ilvl="6">
      <w:start w:val="1"/>
      <w:numFmt w:val="decimal"/>
      <w:lvlText w:val="%7."/>
      <w:lvlJc w:val="left"/>
      <w:pPr>
        <w:tabs>
          <w:tab w:val="num" w:pos="4766"/>
        </w:tabs>
        <w:ind w:left="4766" w:hanging="360"/>
      </w:pPr>
    </w:lvl>
    <w:lvl w:ilvl="7">
      <w:start w:val="1"/>
      <w:numFmt w:val="decimal"/>
      <w:lvlText w:val="%8."/>
      <w:lvlJc w:val="left"/>
      <w:pPr>
        <w:tabs>
          <w:tab w:val="num" w:pos="5486"/>
        </w:tabs>
        <w:ind w:left="5486" w:hanging="360"/>
      </w:pPr>
    </w:lvl>
    <w:lvl w:ilvl="8">
      <w:start w:val="1"/>
      <w:numFmt w:val="decimal"/>
      <w:lvlText w:val="%9."/>
      <w:lvlJc w:val="left"/>
      <w:pPr>
        <w:tabs>
          <w:tab w:val="num" w:pos="6206"/>
        </w:tabs>
        <w:ind w:left="6206" w:hanging="360"/>
      </w:pPr>
    </w:lvl>
  </w:abstractNum>
  <w:abstractNum w:abstractNumId="35">
    <w:nsid w:val="12C11F00"/>
    <w:multiLevelType w:val="multilevel"/>
    <w:tmpl w:val="EEB678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nsid w:val="130C6569"/>
    <w:multiLevelType w:val="multilevel"/>
    <w:tmpl w:val="4D5AE1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nsid w:val="13A562AE"/>
    <w:multiLevelType w:val="multilevel"/>
    <w:tmpl w:val="0CEE4A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13E6095D"/>
    <w:multiLevelType w:val="multilevel"/>
    <w:tmpl w:val="D5C208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nsid w:val="13F67494"/>
    <w:multiLevelType w:val="multilevel"/>
    <w:tmpl w:val="6C2088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nsid w:val="143E3B17"/>
    <w:multiLevelType w:val="multilevel"/>
    <w:tmpl w:val="2B585E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nsid w:val="14664B2F"/>
    <w:multiLevelType w:val="multilevel"/>
    <w:tmpl w:val="A370994E"/>
    <w:lvl w:ilvl="0">
      <w:start w:val="2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nsid w:val="160E4215"/>
    <w:multiLevelType w:val="multilevel"/>
    <w:tmpl w:val="9DB242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nsid w:val="163765FB"/>
    <w:multiLevelType w:val="multilevel"/>
    <w:tmpl w:val="217291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nsid w:val="16781F6D"/>
    <w:multiLevelType w:val="multilevel"/>
    <w:tmpl w:val="BC70A6E0"/>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nsid w:val="17AE18F7"/>
    <w:multiLevelType w:val="multilevel"/>
    <w:tmpl w:val="FC10BF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
    <w:nsid w:val="17E14EB4"/>
    <w:multiLevelType w:val="multilevel"/>
    <w:tmpl w:val="4FF838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nsid w:val="18B046CA"/>
    <w:multiLevelType w:val="multilevel"/>
    <w:tmpl w:val="E5B27F7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
    <w:nsid w:val="18B87F81"/>
    <w:multiLevelType w:val="multilevel"/>
    <w:tmpl w:val="746A90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
    <w:nsid w:val="18D672D6"/>
    <w:multiLevelType w:val="multilevel"/>
    <w:tmpl w:val="8104F2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
    <w:nsid w:val="19434A82"/>
    <w:multiLevelType w:val="multilevel"/>
    <w:tmpl w:val="47969A30"/>
    <w:lvl w:ilvl="0">
      <w:start w:val="3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nsid w:val="198069AF"/>
    <w:multiLevelType w:val="multilevel"/>
    <w:tmpl w:val="567400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
    <w:nsid w:val="19951EA0"/>
    <w:multiLevelType w:val="multilevel"/>
    <w:tmpl w:val="1AA48C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nsid w:val="19BF765C"/>
    <w:multiLevelType w:val="multilevel"/>
    <w:tmpl w:val="EBE07B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
    <w:nsid w:val="1A2355D3"/>
    <w:multiLevelType w:val="multilevel"/>
    <w:tmpl w:val="71CE56F6"/>
    <w:lvl w:ilvl="0">
      <w:start w:val="1"/>
      <w:numFmt w:val="bullet"/>
      <w:lvlText w:val=""/>
      <w:lvlJc w:val="left"/>
      <w:pPr>
        <w:tabs>
          <w:tab w:val="num" w:pos="1794"/>
        </w:tabs>
        <w:ind w:left="1794" w:hanging="360"/>
      </w:pPr>
      <w:rPr>
        <w:rFonts w:ascii="Symbol" w:hAnsi="Symbol" w:hint="default"/>
        <w:sz w:val="20"/>
      </w:rPr>
    </w:lvl>
    <w:lvl w:ilvl="1">
      <w:start w:val="1"/>
      <w:numFmt w:val="bullet"/>
      <w:lvlText w:val="o"/>
      <w:lvlJc w:val="left"/>
      <w:pPr>
        <w:tabs>
          <w:tab w:val="num" w:pos="2514"/>
        </w:tabs>
        <w:ind w:left="2514" w:hanging="360"/>
      </w:pPr>
      <w:rPr>
        <w:rFonts w:ascii="Courier New" w:hAnsi="Courier New" w:cs="Times New Roman" w:hint="default"/>
        <w:sz w:val="20"/>
      </w:rPr>
    </w:lvl>
    <w:lvl w:ilvl="2">
      <w:start w:val="1"/>
      <w:numFmt w:val="bullet"/>
      <w:lvlText w:val=""/>
      <w:lvlJc w:val="left"/>
      <w:pPr>
        <w:tabs>
          <w:tab w:val="num" w:pos="3234"/>
        </w:tabs>
        <w:ind w:left="3234" w:hanging="360"/>
      </w:pPr>
      <w:rPr>
        <w:rFonts w:ascii="Wingdings" w:hAnsi="Wingdings" w:hint="default"/>
        <w:sz w:val="20"/>
      </w:rPr>
    </w:lvl>
    <w:lvl w:ilvl="3">
      <w:start w:val="1"/>
      <w:numFmt w:val="bullet"/>
      <w:lvlText w:val=""/>
      <w:lvlJc w:val="left"/>
      <w:pPr>
        <w:tabs>
          <w:tab w:val="num" w:pos="3954"/>
        </w:tabs>
        <w:ind w:left="3954" w:hanging="360"/>
      </w:pPr>
      <w:rPr>
        <w:rFonts w:ascii="Wingdings" w:hAnsi="Wingdings" w:hint="default"/>
        <w:sz w:val="20"/>
      </w:rPr>
    </w:lvl>
    <w:lvl w:ilvl="4">
      <w:start w:val="1"/>
      <w:numFmt w:val="bullet"/>
      <w:lvlText w:val=""/>
      <w:lvlJc w:val="left"/>
      <w:pPr>
        <w:tabs>
          <w:tab w:val="num" w:pos="4674"/>
        </w:tabs>
        <w:ind w:left="4674" w:hanging="360"/>
      </w:pPr>
      <w:rPr>
        <w:rFonts w:ascii="Wingdings" w:hAnsi="Wingdings" w:hint="default"/>
        <w:sz w:val="20"/>
      </w:rPr>
    </w:lvl>
    <w:lvl w:ilvl="5">
      <w:start w:val="1"/>
      <w:numFmt w:val="bullet"/>
      <w:lvlText w:val=""/>
      <w:lvlJc w:val="left"/>
      <w:pPr>
        <w:tabs>
          <w:tab w:val="num" w:pos="5394"/>
        </w:tabs>
        <w:ind w:left="5394" w:hanging="360"/>
      </w:pPr>
      <w:rPr>
        <w:rFonts w:ascii="Wingdings" w:hAnsi="Wingdings" w:hint="default"/>
        <w:sz w:val="20"/>
      </w:rPr>
    </w:lvl>
    <w:lvl w:ilvl="6">
      <w:start w:val="1"/>
      <w:numFmt w:val="bullet"/>
      <w:lvlText w:val=""/>
      <w:lvlJc w:val="left"/>
      <w:pPr>
        <w:tabs>
          <w:tab w:val="num" w:pos="6114"/>
        </w:tabs>
        <w:ind w:left="6114" w:hanging="360"/>
      </w:pPr>
      <w:rPr>
        <w:rFonts w:ascii="Wingdings" w:hAnsi="Wingdings" w:hint="default"/>
        <w:sz w:val="20"/>
      </w:rPr>
    </w:lvl>
    <w:lvl w:ilvl="7">
      <w:start w:val="1"/>
      <w:numFmt w:val="bullet"/>
      <w:lvlText w:val=""/>
      <w:lvlJc w:val="left"/>
      <w:pPr>
        <w:tabs>
          <w:tab w:val="num" w:pos="6834"/>
        </w:tabs>
        <w:ind w:left="6834" w:hanging="360"/>
      </w:pPr>
      <w:rPr>
        <w:rFonts w:ascii="Wingdings" w:hAnsi="Wingdings" w:hint="default"/>
        <w:sz w:val="20"/>
      </w:rPr>
    </w:lvl>
    <w:lvl w:ilvl="8">
      <w:start w:val="1"/>
      <w:numFmt w:val="bullet"/>
      <w:lvlText w:val=""/>
      <w:lvlJc w:val="left"/>
      <w:pPr>
        <w:tabs>
          <w:tab w:val="num" w:pos="7554"/>
        </w:tabs>
        <w:ind w:left="7554" w:hanging="360"/>
      </w:pPr>
      <w:rPr>
        <w:rFonts w:ascii="Wingdings" w:hAnsi="Wingdings" w:hint="default"/>
        <w:sz w:val="20"/>
      </w:rPr>
    </w:lvl>
  </w:abstractNum>
  <w:abstractNum w:abstractNumId="55">
    <w:nsid w:val="1A4B6AB9"/>
    <w:multiLevelType w:val="multilevel"/>
    <w:tmpl w:val="C360B63E"/>
    <w:lvl w:ilvl="0">
      <w:start w:val="11"/>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
    <w:nsid w:val="1A74002A"/>
    <w:multiLevelType w:val="multilevel"/>
    <w:tmpl w:val="F530E5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nsid w:val="1A747B9C"/>
    <w:multiLevelType w:val="multilevel"/>
    <w:tmpl w:val="34DA07DC"/>
    <w:lvl w:ilvl="0">
      <w:start w:val="15"/>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58">
    <w:nsid w:val="1ABB3E73"/>
    <w:multiLevelType w:val="multilevel"/>
    <w:tmpl w:val="FD925B10"/>
    <w:lvl w:ilvl="0">
      <w:start w:val="2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
    <w:nsid w:val="1B2D3A82"/>
    <w:multiLevelType w:val="multilevel"/>
    <w:tmpl w:val="135AB262"/>
    <w:lvl w:ilvl="0">
      <w:start w:val="1"/>
      <w:numFmt w:val="decimal"/>
      <w:lvlText w:val="%1."/>
      <w:lvlJc w:val="left"/>
      <w:pPr>
        <w:tabs>
          <w:tab w:val="num" w:pos="540"/>
        </w:tabs>
        <w:ind w:left="54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
    <w:nsid w:val="1B76228D"/>
    <w:multiLevelType w:val="multilevel"/>
    <w:tmpl w:val="564AEA70"/>
    <w:lvl w:ilvl="0">
      <w:start w:val="28"/>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nsid w:val="1BF71594"/>
    <w:multiLevelType w:val="multilevel"/>
    <w:tmpl w:val="5FF80338"/>
    <w:lvl w:ilvl="0">
      <w:start w:val="13"/>
      <w:numFmt w:val="decimal"/>
      <w:lvlText w:val="%1."/>
      <w:lvlJc w:val="left"/>
      <w:pPr>
        <w:tabs>
          <w:tab w:val="num" w:pos="450"/>
        </w:tabs>
        <w:ind w:left="450" w:hanging="360"/>
      </w:pPr>
    </w:lvl>
    <w:lvl w:ilvl="1">
      <w:start w:val="1"/>
      <w:numFmt w:val="lowerLetter"/>
      <w:lvlText w:val="%2."/>
      <w:lvlJc w:val="left"/>
      <w:pPr>
        <w:tabs>
          <w:tab w:val="num" w:pos="1170"/>
        </w:tabs>
        <w:ind w:left="1170" w:hanging="360"/>
      </w:pPr>
    </w:lvl>
    <w:lvl w:ilvl="2">
      <w:start w:val="1"/>
      <w:numFmt w:val="decimal"/>
      <w:lvlText w:val="%3."/>
      <w:lvlJc w:val="left"/>
      <w:pPr>
        <w:tabs>
          <w:tab w:val="num" w:pos="1890"/>
        </w:tabs>
        <w:ind w:left="1890" w:hanging="360"/>
      </w:pPr>
    </w:lvl>
    <w:lvl w:ilvl="3">
      <w:start w:val="1"/>
      <w:numFmt w:val="decimal"/>
      <w:lvlText w:val="%4."/>
      <w:lvlJc w:val="left"/>
      <w:pPr>
        <w:tabs>
          <w:tab w:val="num" w:pos="2610"/>
        </w:tabs>
        <w:ind w:left="2610" w:hanging="360"/>
      </w:pPr>
    </w:lvl>
    <w:lvl w:ilvl="4">
      <w:start w:val="1"/>
      <w:numFmt w:val="decimal"/>
      <w:lvlText w:val="%5."/>
      <w:lvlJc w:val="left"/>
      <w:pPr>
        <w:tabs>
          <w:tab w:val="num" w:pos="3330"/>
        </w:tabs>
        <w:ind w:left="3330" w:hanging="360"/>
      </w:pPr>
    </w:lvl>
    <w:lvl w:ilvl="5">
      <w:start w:val="1"/>
      <w:numFmt w:val="decimal"/>
      <w:lvlText w:val="%6."/>
      <w:lvlJc w:val="left"/>
      <w:pPr>
        <w:tabs>
          <w:tab w:val="num" w:pos="4050"/>
        </w:tabs>
        <w:ind w:left="4050" w:hanging="360"/>
      </w:pPr>
    </w:lvl>
    <w:lvl w:ilvl="6">
      <w:start w:val="1"/>
      <w:numFmt w:val="decimal"/>
      <w:lvlText w:val="%7."/>
      <w:lvlJc w:val="left"/>
      <w:pPr>
        <w:tabs>
          <w:tab w:val="num" w:pos="4770"/>
        </w:tabs>
        <w:ind w:left="4770" w:hanging="360"/>
      </w:pPr>
    </w:lvl>
    <w:lvl w:ilvl="7">
      <w:start w:val="1"/>
      <w:numFmt w:val="decimal"/>
      <w:lvlText w:val="%8."/>
      <w:lvlJc w:val="left"/>
      <w:pPr>
        <w:tabs>
          <w:tab w:val="num" w:pos="5490"/>
        </w:tabs>
        <w:ind w:left="5490" w:hanging="360"/>
      </w:pPr>
    </w:lvl>
    <w:lvl w:ilvl="8">
      <w:start w:val="1"/>
      <w:numFmt w:val="decimal"/>
      <w:lvlText w:val="%9."/>
      <w:lvlJc w:val="left"/>
      <w:pPr>
        <w:tabs>
          <w:tab w:val="num" w:pos="6210"/>
        </w:tabs>
        <w:ind w:left="6210" w:hanging="360"/>
      </w:pPr>
    </w:lvl>
  </w:abstractNum>
  <w:abstractNum w:abstractNumId="62">
    <w:nsid w:val="1CF944FD"/>
    <w:multiLevelType w:val="multilevel"/>
    <w:tmpl w:val="9FB8FA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
    <w:nsid w:val="1D0B573A"/>
    <w:multiLevelType w:val="multilevel"/>
    <w:tmpl w:val="3CD28CF6"/>
    <w:lvl w:ilvl="0">
      <w:start w:val="1"/>
      <w:numFmt w:val="lowerLetter"/>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lowerLetter"/>
      <w:lvlText w:val="%3."/>
      <w:lvlJc w:val="left"/>
      <w:pPr>
        <w:tabs>
          <w:tab w:val="num" w:pos="2520"/>
        </w:tabs>
        <w:ind w:left="2520" w:hanging="360"/>
      </w:pPr>
    </w:lvl>
    <w:lvl w:ilvl="3">
      <w:start w:val="1"/>
      <w:numFmt w:val="lowerLetter"/>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Letter"/>
      <w:lvlText w:val="%6."/>
      <w:lvlJc w:val="left"/>
      <w:pPr>
        <w:tabs>
          <w:tab w:val="num" w:pos="4680"/>
        </w:tabs>
        <w:ind w:left="4680" w:hanging="360"/>
      </w:pPr>
    </w:lvl>
    <w:lvl w:ilvl="6">
      <w:start w:val="1"/>
      <w:numFmt w:val="lowerLetter"/>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Letter"/>
      <w:lvlText w:val="%9."/>
      <w:lvlJc w:val="left"/>
      <w:pPr>
        <w:tabs>
          <w:tab w:val="num" w:pos="6840"/>
        </w:tabs>
        <w:ind w:left="6840" w:hanging="360"/>
      </w:pPr>
    </w:lvl>
  </w:abstractNum>
  <w:abstractNum w:abstractNumId="64">
    <w:nsid w:val="1E195986"/>
    <w:multiLevelType w:val="multilevel"/>
    <w:tmpl w:val="856265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
    <w:nsid w:val="1E490F68"/>
    <w:multiLevelType w:val="multilevel"/>
    <w:tmpl w:val="79120204"/>
    <w:lvl w:ilvl="0">
      <w:start w:val="28"/>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
    <w:nsid w:val="1E4D1AFD"/>
    <w:multiLevelType w:val="multilevel"/>
    <w:tmpl w:val="161ED4C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nsid w:val="1EE86FE5"/>
    <w:multiLevelType w:val="multilevel"/>
    <w:tmpl w:val="DDACCD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
    <w:nsid w:val="202E4C05"/>
    <w:multiLevelType w:val="multilevel"/>
    <w:tmpl w:val="35961F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
    <w:nsid w:val="2032440D"/>
    <w:multiLevelType w:val="multilevel"/>
    <w:tmpl w:val="CEB48C98"/>
    <w:lvl w:ilvl="0">
      <w:start w:val="1"/>
      <w:numFmt w:val="lowerLetter"/>
      <w:lvlText w:val="%1."/>
      <w:lvlJc w:val="left"/>
      <w:pPr>
        <w:tabs>
          <w:tab w:val="num" w:pos="3240"/>
        </w:tabs>
        <w:ind w:left="3240" w:hanging="360"/>
      </w:pPr>
    </w:lvl>
    <w:lvl w:ilvl="1">
      <w:start w:val="1"/>
      <w:numFmt w:val="lowerLetter"/>
      <w:lvlText w:val="%2."/>
      <w:lvlJc w:val="left"/>
      <w:pPr>
        <w:tabs>
          <w:tab w:val="num" w:pos="3960"/>
        </w:tabs>
        <w:ind w:left="3960" w:hanging="360"/>
      </w:pPr>
    </w:lvl>
    <w:lvl w:ilvl="2">
      <w:start w:val="1"/>
      <w:numFmt w:val="lowerLetter"/>
      <w:lvlText w:val="%3."/>
      <w:lvlJc w:val="left"/>
      <w:pPr>
        <w:tabs>
          <w:tab w:val="num" w:pos="4680"/>
        </w:tabs>
        <w:ind w:left="4680" w:hanging="360"/>
      </w:pPr>
    </w:lvl>
    <w:lvl w:ilvl="3">
      <w:start w:val="1"/>
      <w:numFmt w:val="lowerLetter"/>
      <w:lvlText w:val="%4."/>
      <w:lvlJc w:val="left"/>
      <w:pPr>
        <w:tabs>
          <w:tab w:val="num" w:pos="5400"/>
        </w:tabs>
        <w:ind w:left="5400" w:hanging="360"/>
      </w:pPr>
    </w:lvl>
    <w:lvl w:ilvl="4">
      <w:start w:val="1"/>
      <w:numFmt w:val="lowerLetter"/>
      <w:lvlText w:val="%5."/>
      <w:lvlJc w:val="left"/>
      <w:pPr>
        <w:tabs>
          <w:tab w:val="num" w:pos="6120"/>
        </w:tabs>
        <w:ind w:left="6120" w:hanging="360"/>
      </w:pPr>
    </w:lvl>
    <w:lvl w:ilvl="5">
      <w:start w:val="1"/>
      <w:numFmt w:val="lowerLetter"/>
      <w:lvlText w:val="%6."/>
      <w:lvlJc w:val="left"/>
      <w:pPr>
        <w:tabs>
          <w:tab w:val="num" w:pos="6840"/>
        </w:tabs>
        <w:ind w:left="6840" w:hanging="360"/>
      </w:pPr>
    </w:lvl>
    <w:lvl w:ilvl="6">
      <w:start w:val="1"/>
      <w:numFmt w:val="lowerLetter"/>
      <w:lvlText w:val="%7."/>
      <w:lvlJc w:val="left"/>
      <w:pPr>
        <w:tabs>
          <w:tab w:val="num" w:pos="7560"/>
        </w:tabs>
        <w:ind w:left="7560" w:hanging="360"/>
      </w:pPr>
    </w:lvl>
    <w:lvl w:ilvl="7">
      <w:start w:val="1"/>
      <w:numFmt w:val="lowerLetter"/>
      <w:lvlText w:val="%8."/>
      <w:lvlJc w:val="left"/>
      <w:pPr>
        <w:tabs>
          <w:tab w:val="num" w:pos="8280"/>
        </w:tabs>
        <w:ind w:left="8280" w:hanging="360"/>
      </w:pPr>
    </w:lvl>
    <w:lvl w:ilvl="8">
      <w:start w:val="1"/>
      <w:numFmt w:val="lowerLetter"/>
      <w:lvlText w:val="%9."/>
      <w:lvlJc w:val="left"/>
      <w:pPr>
        <w:tabs>
          <w:tab w:val="num" w:pos="9000"/>
        </w:tabs>
        <w:ind w:left="9000" w:hanging="360"/>
      </w:pPr>
    </w:lvl>
  </w:abstractNum>
  <w:abstractNum w:abstractNumId="70">
    <w:nsid w:val="208B3004"/>
    <w:multiLevelType w:val="multilevel"/>
    <w:tmpl w:val="A7D4E18C"/>
    <w:lvl w:ilvl="0">
      <w:start w:val="3"/>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71">
    <w:nsid w:val="20B623E4"/>
    <w:multiLevelType w:val="multilevel"/>
    <w:tmpl w:val="1436C3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2">
    <w:nsid w:val="212A6EE8"/>
    <w:multiLevelType w:val="multilevel"/>
    <w:tmpl w:val="1D1AF5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3">
    <w:nsid w:val="21451692"/>
    <w:multiLevelType w:val="multilevel"/>
    <w:tmpl w:val="49A0F9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4">
    <w:nsid w:val="21766B90"/>
    <w:multiLevelType w:val="multilevel"/>
    <w:tmpl w:val="2C4EF238"/>
    <w:lvl w:ilvl="0">
      <w:start w:val="1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
    <w:nsid w:val="218E032F"/>
    <w:multiLevelType w:val="multilevel"/>
    <w:tmpl w:val="843434C8"/>
    <w:lvl w:ilvl="0">
      <w:start w:val="1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
    <w:nsid w:val="21B95F42"/>
    <w:multiLevelType w:val="multilevel"/>
    <w:tmpl w:val="56D835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
    <w:nsid w:val="22042BAD"/>
    <w:multiLevelType w:val="multilevel"/>
    <w:tmpl w:val="84EE05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
    <w:nsid w:val="224734D1"/>
    <w:multiLevelType w:val="multilevel"/>
    <w:tmpl w:val="C1A45D66"/>
    <w:lvl w:ilvl="0">
      <w:start w:val="1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nsid w:val="22C045FC"/>
    <w:multiLevelType w:val="multilevel"/>
    <w:tmpl w:val="27868F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0">
    <w:nsid w:val="22EC7B99"/>
    <w:multiLevelType w:val="multilevel"/>
    <w:tmpl w:val="EFEA9848"/>
    <w:lvl w:ilvl="0">
      <w:start w:val="7"/>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
    <w:nsid w:val="22F67E9D"/>
    <w:multiLevelType w:val="multilevel"/>
    <w:tmpl w:val="3F68C7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
    <w:nsid w:val="23837FE8"/>
    <w:multiLevelType w:val="multilevel"/>
    <w:tmpl w:val="94D2BEB0"/>
    <w:lvl w:ilvl="0">
      <w:start w:val="19"/>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
    <w:nsid w:val="23844131"/>
    <w:multiLevelType w:val="multilevel"/>
    <w:tmpl w:val="3890683E"/>
    <w:lvl w:ilvl="0">
      <w:start w:val="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nsid w:val="24103F34"/>
    <w:multiLevelType w:val="multilevel"/>
    <w:tmpl w:val="D320E8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
    <w:nsid w:val="24114F89"/>
    <w:multiLevelType w:val="multilevel"/>
    <w:tmpl w:val="246C91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
    <w:nsid w:val="249366CE"/>
    <w:multiLevelType w:val="multilevel"/>
    <w:tmpl w:val="723003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7">
    <w:nsid w:val="24D0048E"/>
    <w:multiLevelType w:val="multilevel"/>
    <w:tmpl w:val="22EC0286"/>
    <w:lvl w:ilvl="0">
      <w:start w:val="26"/>
      <w:numFmt w:val="decimal"/>
      <w:lvlText w:val="%1."/>
      <w:lvlJc w:val="left"/>
      <w:pPr>
        <w:tabs>
          <w:tab w:val="num" w:pos="720"/>
        </w:tabs>
        <w:ind w:left="720" w:hanging="360"/>
      </w:pPr>
    </w:lvl>
    <w:lvl w:ilvl="1">
      <w:start w:val="2"/>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
    <w:nsid w:val="24DD6379"/>
    <w:multiLevelType w:val="multilevel"/>
    <w:tmpl w:val="3890683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
    <w:nsid w:val="24FB5B37"/>
    <w:multiLevelType w:val="multilevel"/>
    <w:tmpl w:val="2A7414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
    <w:nsid w:val="25224DD5"/>
    <w:multiLevelType w:val="multilevel"/>
    <w:tmpl w:val="049AD9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
    <w:nsid w:val="25766B25"/>
    <w:multiLevelType w:val="multilevel"/>
    <w:tmpl w:val="9FD4F10E"/>
    <w:lvl w:ilvl="0">
      <w:start w:val="19"/>
      <w:numFmt w:val="decimal"/>
      <w:lvlText w:val="%1."/>
      <w:lvlJc w:val="left"/>
      <w:pPr>
        <w:tabs>
          <w:tab w:val="num" w:pos="720"/>
        </w:tabs>
        <w:ind w:left="720" w:hanging="360"/>
      </w:pPr>
      <w:rPr>
        <w:b w:val="0"/>
      </w:r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
    <w:nsid w:val="25795A75"/>
    <w:multiLevelType w:val="multilevel"/>
    <w:tmpl w:val="DFDEFFC0"/>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3">
    <w:nsid w:val="25A015AF"/>
    <w:multiLevelType w:val="multilevel"/>
    <w:tmpl w:val="40846208"/>
    <w:lvl w:ilvl="0">
      <w:start w:val="15"/>
      <w:numFmt w:val="decimal"/>
      <w:lvlText w:val="%1."/>
      <w:lvlJc w:val="left"/>
      <w:pPr>
        <w:tabs>
          <w:tab w:val="num" w:pos="540"/>
        </w:tabs>
        <w:ind w:left="54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4">
    <w:nsid w:val="25B12B9B"/>
    <w:multiLevelType w:val="multilevel"/>
    <w:tmpl w:val="2F1A6F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5">
    <w:nsid w:val="2687392F"/>
    <w:multiLevelType w:val="multilevel"/>
    <w:tmpl w:val="FA3A14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6">
    <w:nsid w:val="26A11C4E"/>
    <w:multiLevelType w:val="multilevel"/>
    <w:tmpl w:val="3C9EE3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nsid w:val="26FC4070"/>
    <w:multiLevelType w:val="multilevel"/>
    <w:tmpl w:val="B26C4902"/>
    <w:lvl w:ilvl="0">
      <w:start w:val="25"/>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nsid w:val="2709321A"/>
    <w:multiLevelType w:val="multilevel"/>
    <w:tmpl w:val="A8CC27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9">
    <w:nsid w:val="274C5642"/>
    <w:multiLevelType w:val="multilevel"/>
    <w:tmpl w:val="E89C56A0"/>
    <w:lvl w:ilvl="0">
      <w:start w:val="2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0">
    <w:nsid w:val="274E1BD9"/>
    <w:multiLevelType w:val="multilevel"/>
    <w:tmpl w:val="344C9A2E"/>
    <w:lvl w:ilvl="0">
      <w:start w:val="1"/>
      <w:numFmt w:val="lowerLetter"/>
      <w:lvlText w:val="%1."/>
      <w:lvlJc w:val="left"/>
      <w:pPr>
        <w:tabs>
          <w:tab w:val="num" w:pos="1800"/>
        </w:tabs>
        <w:ind w:left="1800" w:hanging="360"/>
      </w:pPr>
    </w:lvl>
    <w:lvl w:ilvl="1">
      <w:start w:val="1"/>
      <w:numFmt w:val="lowerLetter"/>
      <w:lvlText w:val="%2."/>
      <w:lvlJc w:val="left"/>
      <w:pPr>
        <w:tabs>
          <w:tab w:val="num" w:pos="2520"/>
        </w:tabs>
        <w:ind w:left="2520" w:hanging="360"/>
      </w:pPr>
    </w:lvl>
    <w:lvl w:ilvl="2">
      <w:start w:val="1"/>
      <w:numFmt w:val="lowerLetter"/>
      <w:lvlText w:val="%3."/>
      <w:lvlJc w:val="left"/>
      <w:pPr>
        <w:tabs>
          <w:tab w:val="num" w:pos="3240"/>
        </w:tabs>
        <w:ind w:left="3240" w:hanging="360"/>
      </w:pPr>
    </w:lvl>
    <w:lvl w:ilvl="3">
      <w:start w:val="1"/>
      <w:numFmt w:val="lowerLetter"/>
      <w:lvlText w:val="%4."/>
      <w:lvlJc w:val="left"/>
      <w:pPr>
        <w:tabs>
          <w:tab w:val="num" w:pos="3960"/>
        </w:tabs>
        <w:ind w:left="3960" w:hanging="360"/>
      </w:pPr>
    </w:lvl>
    <w:lvl w:ilvl="4">
      <w:start w:val="1"/>
      <w:numFmt w:val="lowerLetter"/>
      <w:lvlText w:val="%5."/>
      <w:lvlJc w:val="left"/>
      <w:pPr>
        <w:tabs>
          <w:tab w:val="num" w:pos="4680"/>
        </w:tabs>
        <w:ind w:left="4680" w:hanging="360"/>
      </w:pPr>
    </w:lvl>
    <w:lvl w:ilvl="5">
      <w:start w:val="1"/>
      <w:numFmt w:val="lowerLetter"/>
      <w:lvlText w:val="%6."/>
      <w:lvlJc w:val="left"/>
      <w:pPr>
        <w:tabs>
          <w:tab w:val="num" w:pos="5400"/>
        </w:tabs>
        <w:ind w:left="5400" w:hanging="360"/>
      </w:pPr>
    </w:lvl>
    <w:lvl w:ilvl="6">
      <w:start w:val="1"/>
      <w:numFmt w:val="lowerLetter"/>
      <w:lvlText w:val="%7."/>
      <w:lvlJc w:val="left"/>
      <w:pPr>
        <w:tabs>
          <w:tab w:val="num" w:pos="6120"/>
        </w:tabs>
        <w:ind w:left="6120" w:hanging="360"/>
      </w:pPr>
    </w:lvl>
    <w:lvl w:ilvl="7">
      <w:start w:val="1"/>
      <w:numFmt w:val="lowerLetter"/>
      <w:lvlText w:val="%8."/>
      <w:lvlJc w:val="left"/>
      <w:pPr>
        <w:tabs>
          <w:tab w:val="num" w:pos="6840"/>
        </w:tabs>
        <w:ind w:left="6840" w:hanging="360"/>
      </w:pPr>
    </w:lvl>
    <w:lvl w:ilvl="8">
      <w:start w:val="1"/>
      <w:numFmt w:val="lowerLetter"/>
      <w:lvlText w:val="%9."/>
      <w:lvlJc w:val="left"/>
      <w:pPr>
        <w:tabs>
          <w:tab w:val="num" w:pos="7560"/>
        </w:tabs>
        <w:ind w:left="7560" w:hanging="360"/>
      </w:pPr>
    </w:lvl>
  </w:abstractNum>
  <w:abstractNum w:abstractNumId="101">
    <w:nsid w:val="27965193"/>
    <w:multiLevelType w:val="multilevel"/>
    <w:tmpl w:val="6C1037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2">
    <w:nsid w:val="27B74E71"/>
    <w:multiLevelType w:val="multilevel"/>
    <w:tmpl w:val="F04090A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3">
    <w:nsid w:val="27C621C7"/>
    <w:multiLevelType w:val="multilevel"/>
    <w:tmpl w:val="15607D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4">
    <w:nsid w:val="27D851E8"/>
    <w:multiLevelType w:val="multilevel"/>
    <w:tmpl w:val="DBFCF2CE"/>
    <w:lvl w:ilvl="0">
      <w:start w:val="2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5">
    <w:nsid w:val="28C724AF"/>
    <w:multiLevelType w:val="multilevel"/>
    <w:tmpl w:val="058C431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6">
    <w:nsid w:val="2A4377C5"/>
    <w:multiLevelType w:val="multilevel"/>
    <w:tmpl w:val="98B49EE6"/>
    <w:lvl w:ilvl="0">
      <w:start w:val="10"/>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7">
    <w:nsid w:val="2BB1624E"/>
    <w:multiLevelType w:val="multilevel"/>
    <w:tmpl w:val="0F86C4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8">
    <w:nsid w:val="2C627635"/>
    <w:multiLevelType w:val="multilevel"/>
    <w:tmpl w:val="76AADF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9">
    <w:nsid w:val="2D362C8F"/>
    <w:multiLevelType w:val="multilevel"/>
    <w:tmpl w:val="2C5ABE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0">
    <w:nsid w:val="2D3C2288"/>
    <w:multiLevelType w:val="multilevel"/>
    <w:tmpl w:val="D1A2D0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1">
    <w:nsid w:val="2D567B30"/>
    <w:multiLevelType w:val="multilevel"/>
    <w:tmpl w:val="65BA22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2">
    <w:nsid w:val="2D705086"/>
    <w:multiLevelType w:val="multilevel"/>
    <w:tmpl w:val="E6B43A14"/>
    <w:lvl w:ilvl="0">
      <w:start w:val="17"/>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3">
    <w:nsid w:val="2DF43015"/>
    <w:multiLevelType w:val="multilevel"/>
    <w:tmpl w:val="FECA425E"/>
    <w:lvl w:ilvl="0">
      <w:start w:val="5"/>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rFonts w:ascii="Calibri" w:eastAsia="Times New Roman" w:hAnsi="Calibri" w:cs="Times New Roman"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4">
    <w:nsid w:val="2EFA66D2"/>
    <w:multiLevelType w:val="multilevel"/>
    <w:tmpl w:val="A2B43A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5">
    <w:nsid w:val="2F2437EA"/>
    <w:multiLevelType w:val="multilevel"/>
    <w:tmpl w:val="F7F4D96A"/>
    <w:lvl w:ilvl="0">
      <w:start w:val="7"/>
      <w:numFmt w:val="decimal"/>
      <w:lvlText w:val="%1."/>
      <w:lvlJc w:val="left"/>
      <w:pPr>
        <w:tabs>
          <w:tab w:val="num" w:pos="540"/>
        </w:tabs>
        <w:ind w:left="54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6">
    <w:nsid w:val="2FBE42BD"/>
    <w:multiLevelType w:val="multilevel"/>
    <w:tmpl w:val="1764C6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7">
    <w:nsid w:val="31303899"/>
    <w:multiLevelType w:val="multilevel"/>
    <w:tmpl w:val="556EBCE0"/>
    <w:lvl w:ilvl="0">
      <w:start w:val="24"/>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8">
    <w:nsid w:val="314C7395"/>
    <w:multiLevelType w:val="multilevel"/>
    <w:tmpl w:val="DFDEFF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9">
    <w:nsid w:val="31A42BB1"/>
    <w:multiLevelType w:val="multilevel"/>
    <w:tmpl w:val="AA32C582"/>
    <w:lvl w:ilvl="0">
      <w:start w:val="1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0">
    <w:nsid w:val="31BB1A54"/>
    <w:multiLevelType w:val="multilevel"/>
    <w:tmpl w:val="2C4EF238"/>
    <w:lvl w:ilvl="0">
      <w:start w:val="2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1">
    <w:nsid w:val="32077756"/>
    <w:multiLevelType w:val="multilevel"/>
    <w:tmpl w:val="1CC284FE"/>
    <w:lvl w:ilvl="0">
      <w:start w:val="3"/>
      <w:numFmt w:val="decimal"/>
      <w:lvlText w:val="%1."/>
      <w:lvlJc w:val="left"/>
      <w:pPr>
        <w:tabs>
          <w:tab w:val="num" w:pos="450"/>
        </w:tabs>
        <w:ind w:left="450" w:hanging="360"/>
      </w:pPr>
    </w:lvl>
    <w:lvl w:ilvl="1">
      <w:start w:val="1"/>
      <w:numFmt w:val="decimal"/>
      <w:lvlText w:val="%2."/>
      <w:lvlJc w:val="left"/>
      <w:pPr>
        <w:tabs>
          <w:tab w:val="num" w:pos="1170"/>
        </w:tabs>
        <w:ind w:left="1170" w:hanging="360"/>
      </w:pPr>
    </w:lvl>
    <w:lvl w:ilvl="2">
      <w:start w:val="1"/>
      <w:numFmt w:val="decimal"/>
      <w:lvlText w:val="%3."/>
      <w:lvlJc w:val="left"/>
      <w:pPr>
        <w:tabs>
          <w:tab w:val="num" w:pos="1890"/>
        </w:tabs>
        <w:ind w:left="1890" w:hanging="360"/>
      </w:pPr>
    </w:lvl>
    <w:lvl w:ilvl="3">
      <w:start w:val="1"/>
      <w:numFmt w:val="decimal"/>
      <w:lvlText w:val="%4."/>
      <w:lvlJc w:val="left"/>
      <w:pPr>
        <w:tabs>
          <w:tab w:val="num" w:pos="2610"/>
        </w:tabs>
        <w:ind w:left="2610" w:hanging="360"/>
      </w:pPr>
    </w:lvl>
    <w:lvl w:ilvl="4">
      <w:start w:val="1"/>
      <w:numFmt w:val="decimal"/>
      <w:lvlText w:val="%5."/>
      <w:lvlJc w:val="left"/>
      <w:pPr>
        <w:tabs>
          <w:tab w:val="num" w:pos="3330"/>
        </w:tabs>
        <w:ind w:left="3330" w:hanging="360"/>
      </w:pPr>
    </w:lvl>
    <w:lvl w:ilvl="5">
      <w:start w:val="1"/>
      <w:numFmt w:val="decimal"/>
      <w:lvlText w:val="%6."/>
      <w:lvlJc w:val="left"/>
      <w:pPr>
        <w:tabs>
          <w:tab w:val="num" w:pos="4050"/>
        </w:tabs>
        <w:ind w:left="4050" w:hanging="360"/>
      </w:pPr>
    </w:lvl>
    <w:lvl w:ilvl="6">
      <w:start w:val="1"/>
      <w:numFmt w:val="decimal"/>
      <w:lvlText w:val="%7."/>
      <w:lvlJc w:val="left"/>
      <w:pPr>
        <w:tabs>
          <w:tab w:val="num" w:pos="4770"/>
        </w:tabs>
        <w:ind w:left="4770" w:hanging="360"/>
      </w:pPr>
    </w:lvl>
    <w:lvl w:ilvl="7">
      <w:start w:val="1"/>
      <w:numFmt w:val="decimal"/>
      <w:lvlText w:val="%8."/>
      <w:lvlJc w:val="left"/>
      <w:pPr>
        <w:tabs>
          <w:tab w:val="num" w:pos="5490"/>
        </w:tabs>
        <w:ind w:left="5490" w:hanging="360"/>
      </w:pPr>
    </w:lvl>
    <w:lvl w:ilvl="8">
      <w:start w:val="1"/>
      <w:numFmt w:val="decimal"/>
      <w:lvlText w:val="%9."/>
      <w:lvlJc w:val="left"/>
      <w:pPr>
        <w:tabs>
          <w:tab w:val="num" w:pos="6210"/>
        </w:tabs>
        <w:ind w:left="6210" w:hanging="360"/>
      </w:pPr>
    </w:lvl>
  </w:abstractNum>
  <w:abstractNum w:abstractNumId="122">
    <w:nsid w:val="335F6EB3"/>
    <w:multiLevelType w:val="multilevel"/>
    <w:tmpl w:val="55E478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3">
    <w:nsid w:val="339813CD"/>
    <w:multiLevelType w:val="multilevel"/>
    <w:tmpl w:val="A37099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4">
    <w:nsid w:val="33CE19D8"/>
    <w:multiLevelType w:val="multilevel"/>
    <w:tmpl w:val="43C667A0"/>
    <w:lvl w:ilvl="0">
      <w:start w:val="1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5">
    <w:nsid w:val="33DC311A"/>
    <w:multiLevelType w:val="multilevel"/>
    <w:tmpl w:val="E56E2B90"/>
    <w:lvl w:ilvl="0">
      <w:start w:val="2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6">
    <w:nsid w:val="343D34AB"/>
    <w:multiLevelType w:val="multilevel"/>
    <w:tmpl w:val="D8909688"/>
    <w:lvl w:ilvl="0">
      <w:start w:val="14"/>
      <w:numFmt w:val="decimal"/>
      <w:lvlText w:val="%1."/>
      <w:lvlJc w:val="left"/>
      <w:pPr>
        <w:tabs>
          <w:tab w:val="num" w:pos="720"/>
        </w:tabs>
        <w:ind w:left="720" w:hanging="360"/>
      </w:pPr>
    </w:lvl>
    <w:lvl w:ilvl="1">
      <w:start w:val="2"/>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7">
    <w:nsid w:val="3482100B"/>
    <w:multiLevelType w:val="multilevel"/>
    <w:tmpl w:val="61CAE35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8">
    <w:nsid w:val="34FE410E"/>
    <w:multiLevelType w:val="multilevel"/>
    <w:tmpl w:val="F438CE20"/>
    <w:lvl w:ilvl="0">
      <w:start w:val="1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9">
    <w:nsid w:val="35495F52"/>
    <w:multiLevelType w:val="multilevel"/>
    <w:tmpl w:val="17B83E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0">
    <w:nsid w:val="357B75BE"/>
    <w:multiLevelType w:val="multilevel"/>
    <w:tmpl w:val="745C5BE8"/>
    <w:lvl w:ilvl="0">
      <w:start w:val="1"/>
      <w:numFmt w:val="decimal"/>
      <w:lvlText w:val="%1"/>
      <w:lvlJc w:val="left"/>
      <w:pPr>
        <w:ind w:left="504" w:hanging="504"/>
      </w:pPr>
      <w:rPr>
        <w:sz w:val="35"/>
      </w:rPr>
    </w:lvl>
    <w:lvl w:ilvl="1">
      <w:start w:val="1"/>
      <w:numFmt w:val="decimal"/>
      <w:lvlText w:val="%1.%2"/>
      <w:lvlJc w:val="left"/>
      <w:pPr>
        <w:ind w:left="504" w:hanging="504"/>
      </w:pPr>
      <w:rPr>
        <w:sz w:val="35"/>
      </w:rPr>
    </w:lvl>
    <w:lvl w:ilvl="2">
      <w:start w:val="1"/>
      <w:numFmt w:val="decimal"/>
      <w:lvlText w:val="%1.%2.%3"/>
      <w:lvlJc w:val="left"/>
      <w:pPr>
        <w:ind w:left="720" w:hanging="720"/>
      </w:pPr>
      <w:rPr>
        <w:sz w:val="35"/>
      </w:rPr>
    </w:lvl>
    <w:lvl w:ilvl="3">
      <w:start w:val="1"/>
      <w:numFmt w:val="decimal"/>
      <w:lvlText w:val="%1.%2.%3.%4"/>
      <w:lvlJc w:val="left"/>
      <w:pPr>
        <w:ind w:left="720" w:hanging="720"/>
      </w:pPr>
      <w:rPr>
        <w:sz w:val="35"/>
      </w:rPr>
    </w:lvl>
    <w:lvl w:ilvl="4">
      <w:start w:val="1"/>
      <w:numFmt w:val="decimal"/>
      <w:lvlText w:val="%1.%2.%3.%4.%5"/>
      <w:lvlJc w:val="left"/>
      <w:pPr>
        <w:ind w:left="1080" w:hanging="1080"/>
      </w:pPr>
      <w:rPr>
        <w:sz w:val="35"/>
      </w:rPr>
    </w:lvl>
    <w:lvl w:ilvl="5">
      <w:start w:val="1"/>
      <w:numFmt w:val="decimal"/>
      <w:lvlText w:val="%1.%2.%3.%4.%5.%6"/>
      <w:lvlJc w:val="left"/>
      <w:pPr>
        <w:ind w:left="1080" w:hanging="1080"/>
      </w:pPr>
      <w:rPr>
        <w:sz w:val="35"/>
      </w:rPr>
    </w:lvl>
    <w:lvl w:ilvl="6">
      <w:start w:val="1"/>
      <w:numFmt w:val="decimal"/>
      <w:lvlText w:val="%1.%2.%3.%4.%5.%6.%7"/>
      <w:lvlJc w:val="left"/>
      <w:pPr>
        <w:ind w:left="1440" w:hanging="1440"/>
      </w:pPr>
      <w:rPr>
        <w:sz w:val="35"/>
      </w:rPr>
    </w:lvl>
    <w:lvl w:ilvl="7">
      <w:start w:val="1"/>
      <w:numFmt w:val="decimal"/>
      <w:lvlText w:val="%1.%2.%3.%4.%5.%6.%7.%8"/>
      <w:lvlJc w:val="left"/>
      <w:pPr>
        <w:ind w:left="1440" w:hanging="1440"/>
      </w:pPr>
      <w:rPr>
        <w:sz w:val="35"/>
      </w:rPr>
    </w:lvl>
    <w:lvl w:ilvl="8">
      <w:start w:val="1"/>
      <w:numFmt w:val="decimal"/>
      <w:lvlText w:val="%1.%2.%3.%4.%5.%6.%7.%8.%9"/>
      <w:lvlJc w:val="left"/>
      <w:pPr>
        <w:ind w:left="1440" w:hanging="1440"/>
      </w:pPr>
      <w:rPr>
        <w:sz w:val="35"/>
      </w:rPr>
    </w:lvl>
  </w:abstractNum>
  <w:abstractNum w:abstractNumId="131">
    <w:nsid w:val="35AC441C"/>
    <w:multiLevelType w:val="multilevel"/>
    <w:tmpl w:val="6EBEDE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2">
    <w:nsid w:val="36300C2A"/>
    <w:multiLevelType w:val="multilevel"/>
    <w:tmpl w:val="BE4ACB46"/>
    <w:lvl w:ilvl="0">
      <w:start w:val="16"/>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3">
    <w:nsid w:val="367C0080"/>
    <w:multiLevelType w:val="multilevel"/>
    <w:tmpl w:val="CC02F0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4">
    <w:nsid w:val="36B4596B"/>
    <w:multiLevelType w:val="multilevel"/>
    <w:tmpl w:val="CE5AF952"/>
    <w:lvl w:ilvl="0">
      <w:start w:val="9"/>
      <w:numFmt w:val="decimal"/>
      <w:lvlText w:val="%1."/>
      <w:lvlJc w:val="left"/>
      <w:pPr>
        <w:tabs>
          <w:tab w:val="num" w:pos="540"/>
        </w:tabs>
        <w:ind w:left="54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5">
    <w:nsid w:val="38001ACC"/>
    <w:multiLevelType w:val="multilevel"/>
    <w:tmpl w:val="72D25FB2"/>
    <w:lvl w:ilvl="0">
      <w:start w:val="2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6">
    <w:nsid w:val="390B15E2"/>
    <w:multiLevelType w:val="multilevel"/>
    <w:tmpl w:val="89505E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7">
    <w:nsid w:val="391C1470"/>
    <w:multiLevelType w:val="multilevel"/>
    <w:tmpl w:val="8D9281F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8">
    <w:nsid w:val="392C7F35"/>
    <w:multiLevelType w:val="multilevel"/>
    <w:tmpl w:val="AE1602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9">
    <w:nsid w:val="39430B2D"/>
    <w:multiLevelType w:val="multilevel"/>
    <w:tmpl w:val="C036856E"/>
    <w:lvl w:ilvl="0">
      <w:start w:val="19"/>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0">
    <w:nsid w:val="398C6159"/>
    <w:multiLevelType w:val="multilevel"/>
    <w:tmpl w:val="1264FFBE"/>
    <w:lvl w:ilvl="0">
      <w:start w:val="1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1">
    <w:nsid w:val="39F40ADE"/>
    <w:multiLevelType w:val="multilevel"/>
    <w:tmpl w:val="251E5878"/>
    <w:lvl w:ilvl="0">
      <w:start w:val="25"/>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2">
    <w:nsid w:val="3A2556B6"/>
    <w:multiLevelType w:val="multilevel"/>
    <w:tmpl w:val="9FA4EC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3">
    <w:nsid w:val="3A923D3D"/>
    <w:multiLevelType w:val="multilevel"/>
    <w:tmpl w:val="FAAAE3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4">
    <w:nsid w:val="3AEC36A3"/>
    <w:multiLevelType w:val="multilevel"/>
    <w:tmpl w:val="9C469C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5">
    <w:nsid w:val="3AFA5AA1"/>
    <w:multiLevelType w:val="multilevel"/>
    <w:tmpl w:val="1E4A4DB8"/>
    <w:lvl w:ilvl="0">
      <w:start w:val="5"/>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6">
    <w:nsid w:val="3B725519"/>
    <w:multiLevelType w:val="multilevel"/>
    <w:tmpl w:val="B9F0CF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7">
    <w:nsid w:val="3CD612C3"/>
    <w:multiLevelType w:val="multilevel"/>
    <w:tmpl w:val="E70EBE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8">
    <w:nsid w:val="3D65183A"/>
    <w:multiLevelType w:val="multilevel"/>
    <w:tmpl w:val="444C8592"/>
    <w:lvl w:ilvl="0">
      <w:start w:val="17"/>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9">
    <w:nsid w:val="3DC27D58"/>
    <w:multiLevelType w:val="multilevel"/>
    <w:tmpl w:val="0C823A9A"/>
    <w:lvl w:ilvl="0">
      <w:start w:val="3"/>
      <w:numFmt w:val="decimal"/>
      <w:lvlText w:val="%1."/>
      <w:lvlJc w:val="left"/>
      <w:pPr>
        <w:tabs>
          <w:tab w:val="num" w:pos="720"/>
        </w:tabs>
        <w:ind w:left="720" w:hanging="360"/>
      </w:pPr>
    </w:lvl>
    <w:lvl w:ilvl="1">
      <w:start w:val="2"/>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0">
    <w:nsid w:val="3DD859B6"/>
    <w:multiLevelType w:val="multilevel"/>
    <w:tmpl w:val="B90C9B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1">
    <w:nsid w:val="3E3B1769"/>
    <w:multiLevelType w:val="multilevel"/>
    <w:tmpl w:val="80E66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2">
    <w:nsid w:val="3E5C1CDD"/>
    <w:multiLevelType w:val="multilevel"/>
    <w:tmpl w:val="1C1A69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3">
    <w:nsid w:val="3EBE4B33"/>
    <w:multiLevelType w:val="multilevel"/>
    <w:tmpl w:val="5B88D646"/>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154">
    <w:nsid w:val="3EE21D7D"/>
    <w:multiLevelType w:val="multilevel"/>
    <w:tmpl w:val="E2CEA0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5">
    <w:nsid w:val="3EEA591D"/>
    <w:multiLevelType w:val="multilevel"/>
    <w:tmpl w:val="0C94E3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6">
    <w:nsid w:val="40913CF7"/>
    <w:multiLevelType w:val="multilevel"/>
    <w:tmpl w:val="2C4EF238"/>
    <w:lvl w:ilvl="0">
      <w:start w:val="2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7">
    <w:nsid w:val="40EE2DB1"/>
    <w:multiLevelType w:val="multilevel"/>
    <w:tmpl w:val="59C41A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8">
    <w:nsid w:val="40F707A5"/>
    <w:multiLevelType w:val="multilevel"/>
    <w:tmpl w:val="D590A7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9">
    <w:nsid w:val="412B5E55"/>
    <w:multiLevelType w:val="multilevel"/>
    <w:tmpl w:val="663201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0">
    <w:nsid w:val="412C738E"/>
    <w:multiLevelType w:val="multilevel"/>
    <w:tmpl w:val="B7CCA3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1">
    <w:nsid w:val="41326DFF"/>
    <w:multiLevelType w:val="multilevel"/>
    <w:tmpl w:val="3E3250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2">
    <w:nsid w:val="414D5915"/>
    <w:multiLevelType w:val="multilevel"/>
    <w:tmpl w:val="A920D8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3">
    <w:nsid w:val="41BE5338"/>
    <w:multiLevelType w:val="multilevel"/>
    <w:tmpl w:val="389068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4">
    <w:nsid w:val="41C7262F"/>
    <w:multiLevelType w:val="multilevel"/>
    <w:tmpl w:val="349E1BFC"/>
    <w:lvl w:ilvl="0">
      <w:start w:val="1"/>
      <w:numFmt w:val="decimal"/>
      <w:lvlText w:val="%1."/>
      <w:lvlJc w:val="left"/>
      <w:pPr>
        <w:tabs>
          <w:tab w:val="num" w:pos="1080"/>
        </w:tabs>
        <w:ind w:left="1080" w:hanging="360"/>
      </w:pPr>
    </w:lvl>
    <w:lvl w:ilvl="1">
      <w:start w:val="1"/>
      <w:numFmt w:val="decimal"/>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165">
    <w:nsid w:val="41E65309"/>
    <w:multiLevelType w:val="multilevel"/>
    <w:tmpl w:val="7CB47D02"/>
    <w:lvl w:ilvl="0">
      <w:start w:val="2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6">
    <w:nsid w:val="432A776D"/>
    <w:multiLevelType w:val="multilevel"/>
    <w:tmpl w:val="EB2237D6"/>
    <w:lvl w:ilvl="0">
      <w:start w:val="19"/>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7">
    <w:nsid w:val="4523204D"/>
    <w:multiLevelType w:val="multilevel"/>
    <w:tmpl w:val="BD3678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8">
    <w:nsid w:val="45714B02"/>
    <w:multiLevelType w:val="multilevel"/>
    <w:tmpl w:val="7C6A77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9">
    <w:nsid w:val="46625921"/>
    <w:multiLevelType w:val="multilevel"/>
    <w:tmpl w:val="052A6D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0">
    <w:nsid w:val="4692056D"/>
    <w:multiLevelType w:val="multilevel"/>
    <w:tmpl w:val="DFDEFF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1">
    <w:nsid w:val="473D3B1F"/>
    <w:multiLevelType w:val="multilevel"/>
    <w:tmpl w:val="B0DEDA02"/>
    <w:lvl w:ilvl="0">
      <w:start w:val="7"/>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2">
    <w:nsid w:val="47A96992"/>
    <w:multiLevelType w:val="multilevel"/>
    <w:tmpl w:val="9676B5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3">
    <w:nsid w:val="480234B4"/>
    <w:multiLevelType w:val="multilevel"/>
    <w:tmpl w:val="7CB47D02"/>
    <w:lvl w:ilvl="0">
      <w:start w:val="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4">
    <w:nsid w:val="480D51D0"/>
    <w:multiLevelType w:val="multilevel"/>
    <w:tmpl w:val="AE64CD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5">
    <w:nsid w:val="48576482"/>
    <w:multiLevelType w:val="multilevel"/>
    <w:tmpl w:val="2C9A7C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6">
    <w:nsid w:val="4866351D"/>
    <w:multiLevelType w:val="multilevel"/>
    <w:tmpl w:val="96B64D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7">
    <w:nsid w:val="495D31A8"/>
    <w:multiLevelType w:val="multilevel"/>
    <w:tmpl w:val="72CEA9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8">
    <w:nsid w:val="49E17354"/>
    <w:multiLevelType w:val="multilevel"/>
    <w:tmpl w:val="3BF0C59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9">
    <w:nsid w:val="4A1E172A"/>
    <w:multiLevelType w:val="multilevel"/>
    <w:tmpl w:val="DFDEFFC0"/>
    <w:lvl w:ilvl="0">
      <w:start w:val="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0">
    <w:nsid w:val="4A766735"/>
    <w:multiLevelType w:val="multilevel"/>
    <w:tmpl w:val="679897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1">
    <w:nsid w:val="4AA13789"/>
    <w:multiLevelType w:val="multilevel"/>
    <w:tmpl w:val="942AA5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2">
    <w:nsid w:val="4AEB4BBE"/>
    <w:multiLevelType w:val="multilevel"/>
    <w:tmpl w:val="76AADF0E"/>
    <w:lvl w:ilvl="0">
      <w:start w:val="30"/>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3">
    <w:nsid w:val="4B2D32EF"/>
    <w:multiLevelType w:val="multilevel"/>
    <w:tmpl w:val="7ED8AB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4">
    <w:nsid w:val="4B5F343D"/>
    <w:multiLevelType w:val="multilevel"/>
    <w:tmpl w:val="743E09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5">
    <w:nsid w:val="4B693812"/>
    <w:multiLevelType w:val="multilevel"/>
    <w:tmpl w:val="75E07D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6">
    <w:nsid w:val="4B9557A4"/>
    <w:multiLevelType w:val="multilevel"/>
    <w:tmpl w:val="8C68D80A"/>
    <w:lvl w:ilvl="0">
      <w:start w:val="20"/>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7">
    <w:nsid w:val="4BE02614"/>
    <w:multiLevelType w:val="multilevel"/>
    <w:tmpl w:val="2468EC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8">
    <w:nsid w:val="4C5B72A8"/>
    <w:multiLevelType w:val="multilevel"/>
    <w:tmpl w:val="C8A05A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9">
    <w:nsid w:val="4D2704EE"/>
    <w:multiLevelType w:val="multilevel"/>
    <w:tmpl w:val="9462FD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0">
    <w:nsid w:val="4D5C77F7"/>
    <w:multiLevelType w:val="multilevel"/>
    <w:tmpl w:val="32D8057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1">
    <w:nsid w:val="4E037ED2"/>
    <w:multiLevelType w:val="multilevel"/>
    <w:tmpl w:val="46F6D6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2">
    <w:nsid w:val="4E34619E"/>
    <w:multiLevelType w:val="multilevel"/>
    <w:tmpl w:val="8D7C56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3">
    <w:nsid w:val="4E350C1E"/>
    <w:multiLevelType w:val="multilevel"/>
    <w:tmpl w:val="355C8F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4">
    <w:nsid w:val="4E362049"/>
    <w:multiLevelType w:val="multilevel"/>
    <w:tmpl w:val="513490B2"/>
    <w:lvl w:ilvl="0">
      <w:start w:val="14"/>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5">
    <w:nsid w:val="4EA72E6A"/>
    <w:multiLevelType w:val="multilevel"/>
    <w:tmpl w:val="943E71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6">
    <w:nsid w:val="4EAE3591"/>
    <w:multiLevelType w:val="multilevel"/>
    <w:tmpl w:val="1A36DF2E"/>
    <w:lvl w:ilvl="0">
      <w:start w:val="10"/>
      <w:numFmt w:val="decimal"/>
      <w:lvlText w:val="%1."/>
      <w:lvlJc w:val="left"/>
      <w:pPr>
        <w:tabs>
          <w:tab w:val="num" w:pos="720"/>
        </w:tabs>
        <w:ind w:left="720" w:hanging="360"/>
      </w:pPr>
    </w:lvl>
    <w:lvl w:ilvl="1">
      <w:start w:val="2"/>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7">
    <w:nsid w:val="4EE2025E"/>
    <w:multiLevelType w:val="multilevel"/>
    <w:tmpl w:val="892868E6"/>
    <w:lvl w:ilvl="0">
      <w:start w:val="1"/>
      <w:numFmt w:val="lowerLetter"/>
      <w:lvlText w:val="%1."/>
      <w:lvlJc w:val="left"/>
      <w:pPr>
        <w:ind w:left="0" w:firstLine="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8">
    <w:nsid w:val="4FA06E26"/>
    <w:multiLevelType w:val="multilevel"/>
    <w:tmpl w:val="D354D0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9">
    <w:nsid w:val="4FA77C73"/>
    <w:multiLevelType w:val="multilevel"/>
    <w:tmpl w:val="341C61BC"/>
    <w:lvl w:ilvl="0">
      <w:start w:val="2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0">
    <w:nsid w:val="4FDA12A8"/>
    <w:multiLevelType w:val="multilevel"/>
    <w:tmpl w:val="BD5631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1">
    <w:nsid w:val="4FE125EF"/>
    <w:multiLevelType w:val="multilevel"/>
    <w:tmpl w:val="FE3852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2">
    <w:nsid w:val="50CE3CB1"/>
    <w:multiLevelType w:val="multilevel"/>
    <w:tmpl w:val="0A6E96BC"/>
    <w:lvl w:ilvl="0">
      <w:start w:val="38"/>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3">
    <w:nsid w:val="50F6407D"/>
    <w:multiLevelType w:val="multilevel"/>
    <w:tmpl w:val="85D4932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4">
    <w:nsid w:val="50F913CF"/>
    <w:multiLevelType w:val="multilevel"/>
    <w:tmpl w:val="A370994E"/>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5">
    <w:nsid w:val="511315FD"/>
    <w:multiLevelType w:val="multilevel"/>
    <w:tmpl w:val="7876DE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6">
    <w:nsid w:val="517F36FB"/>
    <w:multiLevelType w:val="multilevel"/>
    <w:tmpl w:val="127462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7">
    <w:nsid w:val="51B84741"/>
    <w:multiLevelType w:val="multilevel"/>
    <w:tmpl w:val="739C9E20"/>
    <w:lvl w:ilvl="0">
      <w:start w:val="1"/>
      <w:numFmt w:val="decimal"/>
      <w:lvlText w:val="%1."/>
      <w:lvlJc w:val="left"/>
      <w:pPr>
        <w:tabs>
          <w:tab w:val="num" w:pos="1440"/>
        </w:tabs>
        <w:ind w:left="1440" w:hanging="360"/>
      </w:pPr>
    </w:lvl>
    <w:lvl w:ilvl="1">
      <w:start w:val="1"/>
      <w:numFmt w:val="decimal"/>
      <w:lvlText w:val="%2."/>
      <w:lvlJc w:val="left"/>
      <w:pPr>
        <w:tabs>
          <w:tab w:val="num" w:pos="2160"/>
        </w:tabs>
        <w:ind w:left="2160" w:hanging="360"/>
      </w:pPr>
    </w:lvl>
    <w:lvl w:ilvl="2">
      <w:start w:val="1"/>
      <w:numFmt w:val="decimal"/>
      <w:lvlText w:val="%3."/>
      <w:lvlJc w:val="left"/>
      <w:pPr>
        <w:tabs>
          <w:tab w:val="num" w:pos="2880"/>
        </w:tabs>
        <w:ind w:left="2880" w:hanging="360"/>
      </w:pPr>
    </w:lvl>
    <w:lvl w:ilvl="3">
      <w:start w:val="1"/>
      <w:numFmt w:val="decimal"/>
      <w:lvlText w:val="%4."/>
      <w:lvlJc w:val="left"/>
      <w:pPr>
        <w:tabs>
          <w:tab w:val="num" w:pos="3600"/>
        </w:tabs>
        <w:ind w:left="3600" w:hanging="360"/>
      </w:pPr>
    </w:lvl>
    <w:lvl w:ilvl="4">
      <w:start w:val="1"/>
      <w:numFmt w:val="decimal"/>
      <w:lvlText w:val="%5."/>
      <w:lvlJc w:val="left"/>
      <w:pPr>
        <w:tabs>
          <w:tab w:val="num" w:pos="4320"/>
        </w:tabs>
        <w:ind w:left="4320" w:hanging="360"/>
      </w:pPr>
    </w:lvl>
    <w:lvl w:ilvl="5">
      <w:start w:val="1"/>
      <w:numFmt w:val="decimal"/>
      <w:lvlText w:val="%6."/>
      <w:lvlJc w:val="left"/>
      <w:pPr>
        <w:tabs>
          <w:tab w:val="num" w:pos="5040"/>
        </w:tabs>
        <w:ind w:left="5040" w:hanging="360"/>
      </w:pPr>
    </w:lvl>
    <w:lvl w:ilvl="6">
      <w:start w:val="1"/>
      <w:numFmt w:val="decimal"/>
      <w:lvlText w:val="%7."/>
      <w:lvlJc w:val="left"/>
      <w:pPr>
        <w:tabs>
          <w:tab w:val="num" w:pos="5760"/>
        </w:tabs>
        <w:ind w:left="5760" w:hanging="360"/>
      </w:pPr>
    </w:lvl>
    <w:lvl w:ilvl="7">
      <w:start w:val="1"/>
      <w:numFmt w:val="decimal"/>
      <w:lvlText w:val="%8."/>
      <w:lvlJc w:val="left"/>
      <w:pPr>
        <w:tabs>
          <w:tab w:val="num" w:pos="6480"/>
        </w:tabs>
        <w:ind w:left="6480" w:hanging="360"/>
      </w:pPr>
    </w:lvl>
    <w:lvl w:ilvl="8">
      <w:start w:val="1"/>
      <w:numFmt w:val="decimal"/>
      <w:lvlText w:val="%9."/>
      <w:lvlJc w:val="left"/>
      <w:pPr>
        <w:tabs>
          <w:tab w:val="num" w:pos="7200"/>
        </w:tabs>
        <w:ind w:left="7200" w:hanging="360"/>
      </w:pPr>
    </w:lvl>
  </w:abstractNum>
  <w:abstractNum w:abstractNumId="208">
    <w:nsid w:val="51E92F7C"/>
    <w:multiLevelType w:val="multilevel"/>
    <w:tmpl w:val="CE9CD9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9">
    <w:nsid w:val="523D25B4"/>
    <w:multiLevelType w:val="multilevel"/>
    <w:tmpl w:val="4B9E3F04"/>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210">
    <w:nsid w:val="53E3601D"/>
    <w:multiLevelType w:val="multilevel"/>
    <w:tmpl w:val="26FCE7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1">
    <w:nsid w:val="548C4453"/>
    <w:multiLevelType w:val="multilevel"/>
    <w:tmpl w:val="1264FFBE"/>
    <w:lvl w:ilvl="0">
      <w:start w:val="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2">
    <w:nsid w:val="54940B67"/>
    <w:multiLevelType w:val="multilevel"/>
    <w:tmpl w:val="4FEC87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3">
    <w:nsid w:val="54E63B5D"/>
    <w:multiLevelType w:val="hybridMultilevel"/>
    <w:tmpl w:val="5AD2944A"/>
    <w:lvl w:ilvl="0" w:tplc="04090001">
      <w:start w:val="1"/>
      <w:numFmt w:val="bullet"/>
      <w:lvlText w:val=""/>
      <w:lvlJc w:val="left"/>
      <w:pPr>
        <w:ind w:left="1020" w:hanging="360"/>
      </w:pPr>
      <w:rPr>
        <w:rFonts w:ascii="Symbol" w:hAnsi="Symbol" w:hint="default"/>
      </w:rPr>
    </w:lvl>
    <w:lvl w:ilvl="1" w:tplc="04090003">
      <w:start w:val="1"/>
      <w:numFmt w:val="bullet"/>
      <w:lvlText w:val="o"/>
      <w:lvlJc w:val="left"/>
      <w:pPr>
        <w:ind w:left="1740" w:hanging="360"/>
      </w:pPr>
      <w:rPr>
        <w:rFonts w:ascii="Courier New" w:hAnsi="Courier New" w:cs="Courier New" w:hint="default"/>
      </w:rPr>
    </w:lvl>
    <w:lvl w:ilvl="2" w:tplc="04090005">
      <w:start w:val="1"/>
      <w:numFmt w:val="bullet"/>
      <w:lvlText w:val=""/>
      <w:lvlJc w:val="left"/>
      <w:pPr>
        <w:ind w:left="2460" w:hanging="360"/>
      </w:pPr>
      <w:rPr>
        <w:rFonts w:ascii="Wingdings" w:hAnsi="Wingdings" w:hint="default"/>
      </w:rPr>
    </w:lvl>
    <w:lvl w:ilvl="3" w:tplc="04090001">
      <w:start w:val="1"/>
      <w:numFmt w:val="bullet"/>
      <w:lvlText w:val=""/>
      <w:lvlJc w:val="left"/>
      <w:pPr>
        <w:ind w:left="3180" w:hanging="360"/>
      </w:pPr>
      <w:rPr>
        <w:rFonts w:ascii="Symbol" w:hAnsi="Symbol" w:hint="default"/>
      </w:rPr>
    </w:lvl>
    <w:lvl w:ilvl="4" w:tplc="04090003">
      <w:start w:val="1"/>
      <w:numFmt w:val="bullet"/>
      <w:lvlText w:val="o"/>
      <w:lvlJc w:val="left"/>
      <w:pPr>
        <w:ind w:left="3900" w:hanging="360"/>
      </w:pPr>
      <w:rPr>
        <w:rFonts w:ascii="Courier New" w:hAnsi="Courier New" w:cs="Courier New" w:hint="default"/>
      </w:rPr>
    </w:lvl>
    <w:lvl w:ilvl="5" w:tplc="04090005">
      <w:start w:val="1"/>
      <w:numFmt w:val="bullet"/>
      <w:lvlText w:val=""/>
      <w:lvlJc w:val="left"/>
      <w:pPr>
        <w:ind w:left="4620" w:hanging="360"/>
      </w:pPr>
      <w:rPr>
        <w:rFonts w:ascii="Wingdings" w:hAnsi="Wingdings" w:hint="default"/>
      </w:rPr>
    </w:lvl>
    <w:lvl w:ilvl="6" w:tplc="04090001">
      <w:start w:val="1"/>
      <w:numFmt w:val="bullet"/>
      <w:lvlText w:val=""/>
      <w:lvlJc w:val="left"/>
      <w:pPr>
        <w:ind w:left="5340" w:hanging="360"/>
      </w:pPr>
      <w:rPr>
        <w:rFonts w:ascii="Symbol" w:hAnsi="Symbol" w:hint="default"/>
      </w:rPr>
    </w:lvl>
    <w:lvl w:ilvl="7" w:tplc="04090003">
      <w:start w:val="1"/>
      <w:numFmt w:val="bullet"/>
      <w:lvlText w:val="o"/>
      <w:lvlJc w:val="left"/>
      <w:pPr>
        <w:ind w:left="6060" w:hanging="360"/>
      </w:pPr>
      <w:rPr>
        <w:rFonts w:ascii="Courier New" w:hAnsi="Courier New" w:cs="Courier New" w:hint="default"/>
      </w:rPr>
    </w:lvl>
    <w:lvl w:ilvl="8" w:tplc="04090005">
      <w:start w:val="1"/>
      <w:numFmt w:val="bullet"/>
      <w:lvlText w:val=""/>
      <w:lvlJc w:val="left"/>
      <w:pPr>
        <w:ind w:left="6780" w:hanging="360"/>
      </w:pPr>
      <w:rPr>
        <w:rFonts w:ascii="Wingdings" w:hAnsi="Wingdings" w:hint="default"/>
      </w:rPr>
    </w:lvl>
  </w:abstractNum>
  <w:abstractNum w:abstractNumId="214">
    <w:nsid w:val="553C19ED"/>
    <w:multiLevelType w:val="multilevel"/>
    <w:tmpl w:val="AF0AB3F8"/>
    <w:lvl w:ilvl="0">
      <w:start w:val="9"/>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5">
    <w:nsid w:val="56996931"/>
    <w:multiLevelType w:val="multilevel"/>
    <w:tmpl w:val="ACB081EC"/>
    <w:lvl w:ilvl="0">
      <w:start w:val="1"/>
      <w:numFmt w:val="lowerLetter"/>
      <w:lvlText w:val="%1."/>
      <w:lvlJc w:val="left"/>
      <w:pPr>
        <w:ind w:left="0" w:firstLine="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6">
    <w:nsid w:val="57AB16BD"/>
    <w:multiLevelType w:val="multilevel"/>
    <w:tmpl w:val="1CC284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7">
    <w:nsid w:val="57C13FF9"/>
    <w:multiLevelType w:val="multilevel"/>
    <w:tmpl w:val="36DE36D4"/>
    <w:lvl w:ilvl="0">
      <w:start w:val="11"/>
      <w:numFmt w:val="decimal"/>
      <w:lvlText w:val="%1."/>
      <w:lvlJc w:val="left"/>
      <w:pPr>
        <w:tabs>
          <w:tab w:val="num" w:pos="540"/>
        </w:tabs>
        <w:ind w:left="54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8">
    <w:nsid w:val="5801711C"/>
    <w:multiLevelType w:val="multilevel"/>
    <w:tmpl w:val="02CA776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9">
    <w:nsid w:val="583B1EE7"/>
    <w:multiLevelType w:val="multilevel"/>
    <w:tmpl w:val="79867A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0">
    <w:nsid w:val="586F53CE"/>
    <w:multiLevelType w:val="multilevel"/>
    <w:tmpl w:val="99F4AF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1">
    <w:nsid w:val="58823FCE"/>
    <w:multiLevelType w:val="multilevel"/>
    <w:tmpl w:val="F2C660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2">
    <w:nsid w:val="58FB5ADE"/>
    <w:multiLevelType w:val="multilevel"/>
    <w:tmpl w:val="2C4EF2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3">
    <w:nsid w:val="5909094B"/>
    <w:multiLevelType w:val="multilevel"/>
    <w:tmpl w:val="42169E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4">
    <w:nsid w:val="593D4A48"/>
    <w:multiLevelType w:val="hybridMultilevel"/>
    <w:tmpl w:val="D5222F8C"/>
    <w:lvl w:ilvl="0" w:tplc="92567450">
      <w:start w:val="2"/>
      <w:numFmt w:val="lowerLetter"/>
      <w:lvlText w:val="%1."/>
      <w:lvlJc w:val="left"/>
      <w:pPr>
        <w:tabs>
          <w:tab w:val="num" w:pos="720"/>
        </w:tabs>
        <w:ind w:left="720" w:hanging="360"/>
      </w:pPr>
    </w:lvl>
    <w:lvl w:ilvl="1" w:tplc="BF361E8E">
      <w:start w:val="1"/>
      <w:numFmt w:val="decimal"/>
      <w:lvlText w:val="%2."/>
      <w:lvlJc w:val="left"/>
      <w:pPr>
        <w:tabs>
          <w:tab w:val="num" w:pos="1440"/>
        </w:tabs>
        <w:ind w:left="1440" w:hanging="360"/>
      </w:pPr>
    </w:lvl>
    <w:lvl w:ilvl="2" w:tplc="A3D840AC">
      <w:start w:val="1"/>
      <w:numFmt w:val="decimal"/>
      <w:lvlText w:val="%3."/>
      <w:lvlJc w:val="left"/>
      <w:pPr>
        <w:tabs>
          <w:tab w:val="num" w:pos="2160"/>
        </w:tabs>
        <w:ind w:left="2160" w:hanging="360"/>
      </w:pPr>
    </w:lvl>
    <w:lvl w:ilvl="3" w:tplc="57D290D6">
      <w:start w:val="1"/>
      <w:numFmt w:val="decimal"/>
      <w:lvlText w:val="%4."/>
      <w:lvlJc w:val="left"/>
      <w:pPr>
        <w:tabs>
          <w:tab w:val="num" w:pos="2880"/>
        </w:tabs>
        <w:ind w:left="2880" w:hanging="360"/>
      </w:pPr>
    </w:lvl>
    <w:lvl w:ilvl="4" w:tplc="F2D2E258">
      <w:start w:val="1"/>
      <w:numFmt w:val="decimal"/>
      <w:lvlText w:val="%5."/>
      <w:lvlJc w:val="left"/>
      <w:pPr>
        <w:tabs>
          <w:tab w:val="num" w:pos="3600"/>
        </w:tabs>
        <w:ind w:left="3600" w:hanging="360"/>
      </w:pPr>
    </w:lvl>
    <w:lvl w:ilvl="5" w:tplc="F1E44696">
      <w:start w:val="1"/>
      <w:numFmt w:val="decimal"/>
      <w:lvlText w:val="%6."/>
      <w:lvlJc w:val="left"/>
      <w:pPr>
        <w:tabs>
          <w:tab w:val="num" w:pos="4320"/>
        </w:tabs>
        <w:ind w:left="4320" w:hanging="360"/>
      </w:pPr>
    </w:lvl>
    <w:lvl w:ilvl="6" w:tplc="7270BFA4">
      <w:start w:val="1"/>
      <w:numFmt w:val="decimal"/>
      <w:lvlText w:val="%7."/>
      <w:lvlJc w:val="left"/>
      <w:pPr>
        <w:tabs>
          <w:tab w:val="num" w:pos="5040"/>
        </w:tabs>
        <w:ind w:left="5040" w:hanging="360"/>
      </w:pPr>
    </w:lvl>
    <w:lvl w:ilvl="7" w:tplc="68502204">
      <w:start w:val="1"/>
      <w:numFmt w:val="decimal"/>
      <w:lvlText w:val="%8."/>
      <w:lvlJc w:val="left"/>
      <w:pPr>
        <w:tabs>
          <w:tab w:val="num" w:pos="5760"/>
        </w:tabs>
        <w:ind w:left="5760" w:hanging="360"/>
      </w:pPr>
    </w:lvl>
    <w:lvl w:ilvl="8" w:tplc="4D5AC368">
      <w:start w:val="1"/>
      <w:numFmt w:val="decimal"/>
      <w:lvlText w:val="%9."/>
      <w:lvlJc w:val="left"/>
      <w:pPr>
        <w:tabs>
          <w:tab w:val="num" w:pos="6480"/>
        </w:tabs>
        <w:ind w:left="6480" w:hanging="360"/>
      </w:pPr>
    </w:lvl>
  </w:abstractNum>
  <w:abstractNum w:abstractNumId="225">
    <w:nsid w:val="59EB6404"/>
    <w:multiLevelType w:val="multilevel"/>
    <w:tmpl w:val="ADBE0310"/>
    <w:lvl w:ilvl="0">
      <w:start w:val="3"/>
      <w:numFmt w:val="decimal"/>
      <w:lvlText w:val="%1."/>
      <w:lvlJc w:val="left"/>
      <w:pPr>
        <w:tabs>
          <w:tab w:val="num" w:pos="540"/>
        </w:tabs>
        <w:ind w:left="54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6">
    <w:nsid w:val="5B050F33"/>
    <w:multiLevelType w:val="multilevel"/>
    <w:tmpl w:val="A370994E"/>
    <w:lvl w:ilvl="0">
      <w:start w:val="1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7">
    <w:nsid w:val="5B2850FF"/>
    <w:multiLevelType w:val="multilevel"/>
    <w:tmpl w:val="E996B8D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rPr>
        <w:rFonts w:ascii="Calibri" w:eastAsia="Times New Roman" w:hAnsi="Calibri" w:cs="Times New Roman"/>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8">
    <w:nsid w:val="5B6A3784"/>
    <w:multiLevelType w:val="multilevel"/>
    <w:tmpl w:val="21588E3C"/>
    <w:lvl w:ilvl="0">
      <w:start w:val="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9">
    <w:nsid w:val="5B8F4A3C"/>
    <w:multiLevelType w:val="multilevel"/>
    <w:tmpl w:val="C638F63E"/>
    <w:lvl w:ilvl="0">
      <w:start w:val="1"/>
      <w:numFmt w:val="lowerLetter"/>
      <w:lvlText w:val="%1."/>
      <w:lvlJc w:val="left"/>
      <w:pPr>
        <w:tabs>
          <w:tab w:val="num" w:pos="1080"/>
        </w:tabs>
        <w:ind w:left="1080" w:hanging="360"/>
      </w:pPr>
      <w:rPr>
        <w:rFonts w:ascii="Calibri" w:eastAsiaTheme="minorHAnsi" w:hAnsi="Calibri" w:cstheme="minorBidi"/>
      </w:rPr>
    </w:lvl>
    <w:lvl w:ilvl="1">
      <w:start w:val="1"/>
      <w:numFmt w:val="lowerLetter"/>
      <w:lvlText w:val="%2."/>
      <w:lvlJc w:val="left"/>
      <w:pPr>
        <w:tabs>
          <w:tab w:val="num" w:pos="1800"/>
        </w:tabs>
        <w:ind w:left="1800" w:hanging="360"/>
      </w:pPr>
    </w:lvl>
    <w:lvl w:ilvl="2">
      <w:start w:val="1"/>
      <w:numFmt w:val="lowerLetter"/>
      <w:lvlText w:val="%3."/>
      <w:lvlJc w:val="left"/>
      <w:pPr>
        <w:tabs>
          <w:tab w:val="num" w:pos="2520"/>
        </w:tabs>
        <w:ind w:left="2520" w:hanging="360"/>
      </w:pPr>
    </w:lvl>
    <w:lvl w:ilvl="3">
      <w:start w:val="1"/>
      <w:numFmt w:val="lowerLetter"/>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Letter"/>
      <w:lvlText w:val="%6."/>
      <w:lvlJc w:val="left"/>
      <w:pPr>
        <w:tabs>
          <w:tab w:val="num" w:pos="4680"/>
        </w:tabs>
        <w:ind w:left="4680" w:hanging="360"/>
      </w:pPr>
    </w:lvl>
    <w:lvl w:ilvl="6">
      <w:start w:val="1"/>
      <w:numFmt w:val="lowerLetter"/>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Letter"/>
      <w:lvlText w:val="%9."/>
      <w:lvlJc w:val="left"/>
      <w:pPr>
        <w:tabs>
          <w:tab w:val="num" w:pos="6840"/>
        </w:tabs>
        <w:ind w:left="6840" w:hanging="360"/>
      </w:pPr>
    </w:lvl>
  </w:abstractNum>
  <w:abstractNum w:abstractNumId="230">
    <w:nsid w:val="5BD70915"/>
    <w:multiLevelType w:val="multilevel"/>
    <w:tmpl w:val="15049E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1">
    <w:nsid w:val="5BED56EB"/>
    <w:multiLevelType w:val="multilevel"/>
    <w:tmpl w:val="99F61F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2">
    <w:nsid w:val="5C3A569E"/>
    <w:multiLevelType w:val="multilevel"/>
    <w:tmpl w:val="B8F8B5A2"/>
    <w:lvl w:ilvl="0">
      <w:start w:val="1"/>
      <w:numFmt w:val="decimal"/>
      <w:lvlText w:val="%1."/>
      <w:lvlJc w:val="left"/>
      <w:pPr>
        <w:tabs>
          <w:tab w:val="num" w:pos="720"/>
        </w:tabs>
        <w:ind w:left="720" w:hanging="360"/>
      </w:pPr>
    </w:lvl>
    <w:lvl w:ilvl="1">
      <w:start w:val="3"/>
      <w:numFmt w:val="upp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3">
    <w:nsid w:val="5C587309"/>
    <w:multiLevelType w:val="multilevel"/>
    <w:tmpl w:val="E2602F6C"/>
    <w:lvl w:ilvl="0">
      <w:start w:val="1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4">
    <w:nsid w:val="5CCB30DD"/>
    <w:multiLevelType w:val="multilevel"/>
    <w:tmpl w:val="76AADF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5">
    <w:nsid w:val="5D1D62B2"/>
    <w:multiLevelType w:val="multilevel"/>
    <w:tmpl w:val="B11ADE0A"/>
    <w:lvl w:ilvl="0">
      <w:start w:val="5"/>
      <w:numFmt w:val="decimal"/>
      <w:lvlText w:val="%1."/>
      <w:lvlJc w:val="left"/>
      <w:pPr>
        <w:tabs>
          <w:tab w:val="num" w:pos="720"/>
        </w:tabs>
        <w:ind w:left="720" w:hanging="360"/>
      </w:pPr>
    </w:lvl>
    <w:lvl w:ilvl="1">
      <w:start w:val="2"/>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6">
    <w:nsid w:val="5D89110F"/>
    <w:multiLevelType w:val="multilevel"/>
    <w:tmpl w:val="20D62E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7">
    <w:nsid w:val="5DF724C4"/>
    <w:multiLevelType w:val="multilevel"/>
    <w:tmpl w:val="F37A4A18"/>
    <w:lvl w:ilvl="0">
      <w:start w:val="8"/>
      <w:numFmt w:val="decimal"/>
      <w:lvlText w:val="%1."/>
      <w:lvlJc w:val="left"/>
      <w:pPr>
        <w:tabs>
          <w:tab w:val="num" w:pos="446"/>
        </w:tabs>
        <w:ind w:left="446" w:hanging="360"/>
      </w:pPr>
    </w:lvl>
    <w:lvl w:ilvl="1">
      <w:start w:val="1"/>
      <w:numFmt w:val="lowerLetter"/>
      <w:lvlText w:val="%2."/>
      <w:lvlJc w:val="left"/>
      <w:pPr>
        <w:tabs>
          <w:tab w:val="num" w:pos="1166"/>
        </w:tabs>
        <w:ind w:left="1166" w:hanging="360"/>
      </w:pPr>
    </w:lvl>
    <w:lvl w:ilvl="2">
      <w:start w:val="1"/>
      <w:numFmt w:val="decimal"/>
      <w:lvlText w:val="%3."/>
      <w:lvlJc w:val="left"/>
      <w:pPr>
        <w:tabs>
          <w:tab w:val="num" w:pos="1886"/>
        </w:tabs>
        <w:ind w:left="1886" w:hanging="360"/>
      </w:pPr>
    </w:lvl>
    <w:lvl w:ilvl="3">
      <w:start w:val="1"/>
      <w:numFmt w:val="decimal"/>
      <w:lvlText w:val="%4."/>
      <w:lvlJc w:val="left"/>
      <w:pPr>
        <w:tabs>
          <w:tab w:val="num" w:pos="2606"/>
        </w:tabs>
        <w:ind w:left="2606" w:hanging="360"/>
      </w:pPr>
    </w:lvl>
    <w:lvl w:ilvl="4">
      <w:start w:val="1"/>
      <w:numFmt w:val="decimal"/>
      <w:lvlText w:val="%5."/>
      <w:lvlJc w:val="left"/>
      <w:pPr>
        <w:tabs>
          <w:tab w:val="num" w:pos="3326"/>
        </w:tabs>
        <w:ind w:left="3326" w:hanging="360"/>
      </w:pPr>
    </w:lvl>
    <w:lvl w:ilvl="5">
      <w:start w:val="1"/>
      <w:numFmt w:val="decimal"/>
      <w:lvlText w:val="%6."/>
      <w:lvlJc w:val="left"/>
      <w:pPr>
        <w:tabs>
          <w:tab w:val="num" w:pos="4046"/>
        </w:tabs>
        <w:ind w:left="4046" w:hanging="360"/>
      </w:pPr>
    </w:lvl>
    <w:lvl w:ilvl="6">
      <w:start w:val="1"/>
      <w:numFmt w:val="decimal"/>
      <w:lvlText w:val="%7."/>
      <w:lvlJc w:val="left"/>
      <w:pPr>
        <w:tabs>
          <w:tab w:val="num" w:pos="4766"/>
        </w:tabs>
        <w:ind w:left="4766" w:hanging="360"/>
      </w:pPr>
    </w:lvl>
    <w:lvl w:ilvl="7">
      <w:start w:val="1"/>
      <w:numFmt w:val="decimal"/>
      <w:lvlText w:val="%8."/>
      <w:lvlJc w:val="left"/>
      <w:pPr>
        <w:tabs>
          <w:tab w:val="num" w:pos="5486"/>
        </w:tabs>
        <w:ind w:left="5486" w:hanging="360"/>
      </w:pPr>
    </w:lvl>
    <w:lvl w:ilvl="8">
      <w:start w:val="1"/>
      <w:numFmt w:val="decimal"/>
      <w:lvlText w:val="%9."/>
      <w:lvlJc w:val="left"/>
      <w:pPr>
        <w:tabs>
          <w:tab w:val="num" w:pos="6206"/>
        </w:tabs>
        <w:ind w:left="6206" w:hanging="360"/>
      </w:pPr>
    </w:lvl>
  </w:abstractNum>
  <w:abstractNum w:abstractNumId="238">
    <w:nsid w:val="5E1D4D35"/>
    <w:multiLevelType w:val="multilevel"/>
    <w:tmpl w:val="3D3A28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9">
    <w:nsid w:val="5EC565A8"/>
    <w:multiLevelType w:val="multilevel"/>
    <w:tmpl w:val="70328C12"/>
    <w:lvl w:ilvl="0">
      <w:start w:val="1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0">
    <w:nsid w:val="5EDE4465"/>
    <w:multiLevelType w:val="multilevel"/>
    <w:tmpl w:val="269692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1">
    <w:nsid w:val="5F115BB0"/>
    <w:multiLevelType w:val="multilevel"/>
    <w:tmpl w:val="957051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2">
    <w:nsid w:val="5F4F1C7B"/>
    <w:multiLevelType w:val="multilevel"/>
    <w:tmpl w:val="519AD310"/>
    <w:lvl w:ilvl="0">
      <w:start w:val="5"/>
      <w:numFmt w:val="decimal"/>
      <w:lvlText w:val="%1."/>
      <w:lvlJc w:val="left"/>
      <w:pPr>
        <w:tabs>
          <w:tab w:val="num" w:pos="540"/>
        </w:tabs>
        <w:ind w:left="54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3">
    <w:nsid w:val="5F5624A0"/>
    <w:multiLevelType w:val="multilevel"/>
    <w:tmpl w:val="CFAA5CFC"/>
    <w:lvl w:ilvl="0">
      <w:start w:val="2"/>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244">
    <w:nsid w:val="5F947B83"/>
    <w:multiLevelType w:val="multilevel"/>
    <w:tmpl w:val="3EB8A5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5">
    <w:nsid w:val="5FB56B41"/>
    <w:multiLevelType w:val="multilevel"/>
    <w:tmpl w:val="2C4EF238"/>
    <w:lvl w:ilvl="0">
      <w:start w:val="18"/>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246">
    <w:nsid w:val="602822EF"/>
    <w:multiLevelType w:val="multilevel"/>
    <w:tmpl w:val="BA364D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7">
    <w:nsid w:val="604D24F0"/>
    <w:multiLevelType w:val="multilevel"/>
    <w:tmpl w:val="687E2126"/>
    <w:lvl w:ilvl="0">
      <w:start w:val="1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8">
    <w:nsid w:val="60A570E1"/>
    <w:multiLevelType w:val="multilevel"/>
    <w:tmpl w:val="6BBEEA98"/>
    <w:lvl w:ilvl="0">
      <w:start w:val="1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9">
    <w:nsid w:val="60D06761"/>
    <w:multiLevelType w:val="multilevel"/>
    <w:tmpl w:val="71BA6E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0">
    <w:nsid w:val="60D50BFD"/>
    <w:multiLevelType w:val="multilevel"/>
    <w:tmpl w:val="0624FC04"/>
    <w:lvl w:ilvl="0">
      <w:start w:val="1"/>
      <w:numFmt w:val="lowerLetter"/>
      <w:lvlText w:val="%1."/>
      <w:lvlJc w:val="left"/>
      <w:pPr>
        <w:ind w:left="0" w:firstLine="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1">
    <w:nsid w:val="61315972"/>
    <w:multiLevelType w:val="multilevel"/>
    <w:tmpl w:val="73F022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2">
    <w:nsid w:val="613D341D"/>
    <w:multiLevelType w:val="multilevel"/>
    <w:tmpl w:val="D7AEA6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3">
    <w:nsid w:val="6167057A"/>
    <w:multiLevelType w:val="multilevel"/>
    <w:tmpl w:val="7F08BE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4">
    <w:nsid w:val="617230F8"/>
    <w:multiLevelType w:val="multilevel"/>
    <w:tmpl w:val="B96026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5">
    <w:nsid w:val="61CF17DC"/>
    <w:multiLevelType w:val="multilevel"/>
    <w:tmpl w:val="02E2F6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6">
    <w:nsid w:val="61CF18F5"/>
    <w:multiLevelType w:val="multilevel"/>
    <w:tmpl w:val="C4F2FD80"/>
    <w:lvl w:ilvl="0">
      <w:start w:val="3"/>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rFonts w:ascii="Calibri" w:eastAsia="Times New Roman" w:hAnsi="Calibri" w:cs="Times New Roman"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7">
    <w:nsid w:val="61EE22CF"/>
    <w:multiLevelType w:val="multilevel"/>
    <w:tmpl w:val="76AADF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8">
    <w:nsid w:val="62453791"/>
    <w:multiLevelType w:val="multilevel"/>
    <w:tmpl w:val="D3120C5C"/>
    <w:lvl w:ilvl="0">
      <w:start w:val="1"/>
      <w:numFmt w:val="bullet"/>
      <w:lvlText w:val=""/>
      <w:lvlJc w:val="left"/>
      <w:pPr>
        <w:tabs>
          <w:tab w:val="num" w:pos="2160"/>
        </w:tabs>
        <w:ind w:left="2160" w:hanging="360"/>
      </w:pPr>
      <w:rPr>
        <w:rFonts w:ascii="Symbol" w:hAnsi="Symbol" w:hint="default"/>
        <w:sz w:val="20"/>
      </w:rPr>
    </w:lvl>
    <w:lvl w:ilvl="1">
      <w:start w:val="1"/>
      <w:numFmt w:val="bullet"/>
      <w:lvlText w:val="o"/>
      <w:lvlJc w:val="left"/>
      <w:pPr>
        <w:tabs>
          <w:tab w:val="num" w:pos="2880"/>
        </w:tabs>
        <w:ind w:left="2880" w:hanging="360"/>
      </w:pPr>
      <w:rPr>
        <w:rFonts w:ascii="Courier New" w:hAnsi="Courier New" w:cs="Times New Roman" w:hint="default"/>
        <w:sz w:val="20"/>
      </w:rPr>
    </w:lvl>
    <w:lvl w:ilvl="2">
      <w:start w:val="1"/>
      <w:numFmt w:val="bullet"/>
      <w:lvlText w:val=""/>
      <w:lvlJc w:val="left"/>
      <w:pPr>
        <w:tabs>
          <w:tab w:val="num" w:pos="3600"/>
        </w:tabs>
        <w:ind w:left="3600" w:hanging="360"/>
      </w:pPr>
      <w:rPr>
        <w:rFonts w:ascii="Wingdings" w:hAnsi="Wingdings" w:hint="default"/>
        <w:sz w:val="20"/>
      </w:rPr>
    </w:lvl>
    <w:lvl w:ilvl="3">
      <w:start w:val="1"/>
      <w:numFmt w:val="bullet"/>
      <w:lvlText w:val=""/>
      <w:lvlJc w:val="left"/>
      <w:pPr>
        <w:tabs>
          <w:tab w:val="num" w:pos="4320"/>
        </w:tabs>
        <w:ind w:left="4320" w:hanging="360"/>
      </w:pPr>
      <w:rPr>
        <w:rFonts w:ascii="Wingdings" w:hAnsi="Wingdings" w:hint="default"/>
        <w:sz w:val="20"/>
      </w:rPr>
    </w:lvl>
    <w:lvl w:ilvl="4">
      <w:start w:val="1"/>
      <w:numFmt w:val="bullet"/>
      <w:lvlText w:val=""/>
      <w:lvlJc w:val="left"/>
      <w:pPr>
        <w:tabs>
          <w:tab w:val="num" w:pos="5040"/>
        </w:tabs>
        <w:ind w:left="5040" w:hanging="360"/>
      </w:pPr>
      <w:rPr>
        <w:rFonts w:ascii="Wingdings" w:hAnsi="Wingdings" w:hint="default"/>
        <w:sz w:val="20"/>
      </w:rPr>
    </w:lvl>
    <w:lvl w:ilvl="5">
      <w:start w:val="1"/>
      <w:numFmt w:val="bullet"/>
      <w:lvlText w:val=""/>
      <w:lvlJc w:val="left"/>
      <w:pPr>
        <w:tabs>
          <w:tab w:val="num" w:pos="5760"/>
        </w:tabs>
        <w:ind w:left="5760" w:hanging="360"/>
      </w:pPr>
      <w:rPr>
        <w:rFonts w:ascii="Wingdings" w:hAnsi="Wingdings" w:hint="default"/>
        <w:sz w:val="20"/>
      </w:rPr>
    </w:lvl>
    <w:lvl w:ilvl="6">
      <w:start w:val="1"/>
      <w:numFmt w:val="bullet"/>
      <w:lvlText w:val=""/>
      <w:lvlJc w:val="left"/>
      <w:pPr>
        <w:tabs>
          <w:tab w:val="num" w:pos="6480"/>
        </w:tabs>
        <w:ind w:left="6480" w:hanging="360"/>
      </w:pPr>
      <w:rPr>
        <w:rFonts w:ascii="Wingdings" w:hAnsi="Wingdings" w:hint="default"/>
        <w:sz w:val="20"/>
      </w:rPr>
    </w:lvl>
    <w:lvl w:ilvl="7">
      <w:start w:val="1"/>
      <w:numFmt w:val="bullet"/>
      <w:lvlText w:val=""/>
      <w:lvlJc w:val="left"/>
      <w:pPr>
        <w:tabs>
          <w:tab w:val="num" w:pos="7200"/>
        </w:tabs>
        <w:ind w:left="7200" w:hanging="360"/>
      </w:pPr>
      <w:rPr>
        <w:rFonts w:ascii="Wingdings" w:hAnsi="Wingdings" w:hint="default"/>
        <w:sz w:val="20"/>
      </w:rPr>
    </w:lvl>
    <w:lvl w:ilvl="8">
      <w:start w:val="1"/>
      <w:numFmt w:val="bullet"/>
      <w:lvlText w:val=""/>
      <w:lvlJc w:val="left"/>
      <w:pPr>
        <w:tabs>
          <w:tab w:val="num" w:pos="7920"/>
        </w:tabs>
        <w:ind w:left="7920" w:hanging="360"/>
      </w:pPr>
      <w:rPr>
        <w:rFonts w:ascii="Wingdings" w:hAnsi="Wingdings" w:hint="default"/>
        <w:sz w:val="20"/>
      </w:rPr>
    </w:lvl>
  </w:abstractNum>
  <w:abstractNum w:abstractNumId="259">
    <w:nsid w:val="626577C5"/>
    <w:multiLevelType w:val="multilevel"/>
    <w:tmpl w:val="BA1C6D8A"/>
    <w:lvl w:ilvl="0">
      <w:start w:val="1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rPr>
        <w:rFonts w:ascii="Calibri" w:eastAsia="Times New Roman" w:hAnsi="Calibri" w:cs="Times New Roman"/>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0">
    <w:nsid w:val="62942253"/>
    <w:multiLevelType w:val="multilevel"/>
    <w:tmpl w:val="0F8823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1">
    <w:nsid w:val="634C32A8"/>
    <w:multiLevelType w:val="multilevel"/>
    <w:tmpl w:val="17BA99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2">
    <w:nsid w:val="637140C4"/>
    <w:multiLevelType w:val="multilevel"/>
    <w:tmpl w:val="BE80BB46"/>
    <w:lvl w:ilvl="0">
      <w:start w:val="1"/>
      <w:numFmt w:val="lowerLetter"/>
      <w:lvlText w:val="%1."/>
      <w:lvlJc w:val="left"/>
      <w:pPr>
        <w:tabs>
          <w:tab w:val="num" w:pos="2520"/>
        </w:tabs>
        <w:ind w:left="2520" w:hanging="360"/>
      </w:pPr>
    </w:lvl>
    <w:lvl w:ilvl="1">
      <w:start w:val="1"/>
      <w:numFmt w:val="lowerLetter"/>
      <w:lvlText w:val="%2."/>
      <w:lvlJc w:val="left"/>
      <w:pPr>
        <w:tabs>
          <w:tab w:val="num" w:pos="3240"/>
        </w:tabs>
        <w:ind w:left="3240" w:hanging="360"/>
      </w:pPr>
    </w:lvl>
    <w:lvl w:ilvl="2">
      <w:start w:val="1"/>
      <w:numFmt w:val="lowerLetter"/>
      <w:lvlText w:val="%3."/>
      <w:lvlJc w:val="left"/>
      <w:pPr>
        <w:tabs>
          <w:tab w:val="num" w:pos="3960"/>
        </w:tabs>
        <w:ind w:left="3960" w:hanging="360"/>
      </w:pPr>
    </w:lvl>
    <w:lvl w:ilvl="3">
      <w:start w:val="1"/>
      <w:numFmt w:val="lowerLetter"/>
      <w:lvlText w:val="%4."/>
      <w:lvlJc w:val="left"/>
      <w:pPr>
        <w:tabs>
          <w:tab w:val="num" w:pos="4680"/>
        </w:tabs>
        <w:ind w:left="4680" w:hanging="360"/>
      </w:pPr>
    </w:lvl>
    <w:lvl w:ilvl="4">
      <w:start w:val="1"/>
      <w:numFmt w:val="lowerLetter"/>
      <w:lvlText w:val="%5."/>
      <w:lvlJc w:val="left"/>
      <w:pPr>
        <w:tabs>
          <w:tab w:val="num" w:pos="5400"/>
        </w:tabs>
        <w:ind w:left="5400" w:hanging="360"/>
      </w:pPr>
    </w:lvl>
    <w:lvl w:ilvl="5">
      <w:start w:val="1"/>
      <w:numFmt w:val="lowerLetter"/>
      <w:lvlText w:val="%6."/>
      <w:lvlJc w:val="left"/>
      <w:pPr>
        <w:tabs>
          <w:tab w:val="num" w:pos="6120"/>
        </w:tabs>
        <w:ind w:left="6120" w:hanging="360"/>
      </w:pPr>
    </w:lvl>
    <w:lvl w:ilvl="6">
      <w:start w:val="1"/>
      <w:numFmt w:val="lowerLetter"/>
      <w:lvlText w:val="%7."/>
      <w:lvlJc w:val="left"/>
      <w:pPr>
        <w:tabs>
          <w:tab w:val="num" w:pos="6840"/>
        </w:tabs>
        <w:ind w:left="6840" w:hanging="360"/>
      </w:pPr>
    </w:lvl>
    <w:lvl w:ilvl="7">
      <w:start w:val="1"/>
      <w:numFmt w:val="lowerLetter"/>
      <w:lvlText w:val="%8."/>
      <w:lvlJc w:val="left"/>
      <w:pPr>
        <w:tabs>
          <w:tab w:val="num" w:pos="7560"/>
        </w:tabs>
        <w:ind w:left="7560" w:hanging="360"/>
      </w:pPr>
    </w:lvl>
    <w:lvl w:ilvl="8">
      <w:start w:val="1"/>
      <w:numFmt w:val="lowerLetter"/>
      <w:lvlText w:val="%9."/>
      <w:lvlJc w:val="left"/>
      <w:pPr>
        <w:tabs>
          <w:tab w:val="num" w:pos="8280"/>
        </w:tabs>
        <w:ind w:left="8280" w:hanging="360"/>
      </w:pPr>
    </w:lvl>
  </w:abstractNum>
  <w:abstractNum w:abstractNumId="263">
    <w:nsid w:val="63CB2345"/>
    <w:multiLevelType w:val="multilevel"/>
    <w:tmpl w:val="9B720372"/>
    <w:lvl w:ilvl="0">
      <w:start w:val="2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4">
    <w:nsid w:val="63F61B70"/>
    <w:multiLevelType w:val="multilevel"/>
    <w:tmpl w:val="A370994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5">
    <w:nsid w:val="6460123C"/>
    <w:multiLevelType w:val="multilevel"/>
    <w:tmpl w:val="F6B293AE"/>
    <w:lvl w:ilvl="0">
      <w:start w:val="1"/>
      <w:numFmt w:val="lowerLetter"/>
      <w:lvlText w:val="%1."/>
      <w:lvlJc w:val="left"/>
      <w:pPr>
        <w:tabs>
          <w:tab w:val="num" w:pos="1080"/>
        </w:tabs>
        <w:ind w:left="1080" w:hanging="360"/>
      </w:pPr>
      <w:rPr>
        <w:rFonts w:ascii="Calibri" w:eastAsia="Times New Roman" w:hAnsi="Calibri" w:cs="Times New Roman"/>
      </w:rPr>
    </w:lvl>
    <w:lvl w:ilvl="1">
      <w:start w:val="1"/>
      <w:numFmt w:val="lowerLetter"/>
      <w:lvlText w:val="%2."/>
      <w:lvlJc w:val="left"/>
      <w:pPr>
        <w:tabs>
          <w:tab w:val="num" w:pos="1800"/>
        </w:tabs>
        <w:ind w:left="1800" w:hanging="360"/>
      </w:pPr>
    </w:lvl>
    <w:lvl w:ilvl="2">
      <w:start w:val="1"/>
      <w:numFmt w:val="lowerLetter"/>
      <w:lvlText w:val="%3."/>
      <w:lvlJc w:val="left"/>
      <w:pPr>
        <w:tabs>
          <w:tab w:val="num" w:pos="2520"/>
        </w:tabs>
        <w:ind w:left="2520" w:hanging="360"/>
      </w:pPr>
    </w:lvl>
    <w:lvl w:ilvl="3">
      <w:start w:val="1"/>
      <w:numFmt w:val="lowerLetter"/>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Letter"/>
      <w:lvlText w:val="%6."/>
      <w:lvlJc w:val="left"/>
      <w:pPr>
        <w:tabs>
          <w:tab w:val="num" w:pos="4680"/>
        </w:tabs>
        <w:ind w:left="4680" w:hanging="360"/>
      </w:pPr>
    </w:lvl>
    <w:lvl w:ilvl="6">
      <w:start w:val="1"/>
      <w:numFmt w:val="lowerLetter"/>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Letter"/>
      <w:lvlText w:val="%9."/>
      <w:lvlJc w:val="left"/>
      <w:pPr>
        <w:tabs>
          <w:tab w:val="num" w:pos="6840"/>
        </w:tabs>
        <w:ind w:left="6840" w:hanging="360"/>
      </w:pPr>
    </w:lvl>
  </w:abstractNum>
  <w:abstractNum w:abstractNumId="266">
    <w:nsid w:val="648056D9"/>
    <w:multiLevelType w:val="multilevel"/>
    <w:tmpl w:val="FAB808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7">
    <w:nsid w:val="652207EA"/>
    <w:multiLevelType w:val="multilevel"/>
    <w:tmpl w:val="A0E859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8">
    <w:nsid w:val="655A7F7B"/>
    <w:multiLevelType w:val="multilevel"/>
    <w:tmpl w:val="EE060554"/>
    <w:lvl w:ilvl="0">
      <w:start w:val="1"/>
      <w:numFmt w:val="decimal"/>
      <w:lvlText w:val="%1."/>
      <w:lvlJc w:val="left"/>
      <w:pPr>
        <w:tabs>
          <w:tab w:val="num" w:pos="3600"/>
        </w:tabs>
        <w:ind w:left="3600" w:hanging="360"/>
      </w:pPr>
    </w:lvl>
    <w:lvl w:ilvl="1">
      <w:start w:val="1"/>
      <w:numFmt w:val="decimal"/>
      <w:lvlText w:val="%2."/>
      <w:lvlJc w:val="left"/>
      <w:pPr>
        <w:tabs>
          <w:tab w:val="num" w:pos="4320"/>
        </w:tabs>
        <w:ind w:left="4320" w:hanging="360"/>
      </w:pPr>
    </w:lvl>
    <w:lvl w:ilvl="2">
      <w:start w:val="1"/>
      <w:numFmt w:val="decimal"/>
      <w:lvlText w:val="%3."/>
      <w:lvlJc w:val="left"/>
      <w:pPr>
        <w:tabs>
          <w:tab w:val="num" w:pos="5040"/>
        </w:tabs>
        <w:ind w:left="5040" w:hanging="360"/>
      </w:pPr>
    </w:lvl>
    <w:lvl w:ilvl="3">
      <w:start w:val="1"/>
      <w:numFmt w:val="decimal"/>
      <w:lvlText w:val="%4."/>
      <w:lvlJc w:val="left"/>
      <w:pPr>
        <w:tabs>
          <w:tab w:val="num" w:pos="5760"/>
        </w:tabs>
        <w:ind w:left="5760" w:hanging="360"/>
      </w:pPr>
    </w:lvl>
    <w:lvl w:ilvl="4">
      <w:start w:val="1"/>
      <w:numFmt w:val="decimal"/>
      <w:lvlText w:val="%5."/>
      <w:lvlJc w:val="left"/>
      <w:pPr>
        <w:tabs>
          <w:tab w:val="num" w:pos="6480"/>
        </w:tabs>
        <w:ind w:left="6480" w:hanging="360"/>
      </w:pPr>
    </w:lvl>
    <w:lvl w:ilvl="5">
      <w:start w:val="1"/>
      <w:numFmt w:val="decimal"/>
      <w:lvlText w:val="%6."/>
      <w:lvlJc w:val="left"/>
      <w:pPr>
        <w:tabs>
          <w:tab w:val="num" w:pos="7200"/>
        </w:tabs>
        <w:ind w:left="7200" w:hanging="360"/>
      </w:pPr>
    </w:lvl>
    <w:lvl w:ilvl="6">
      <w:start w:val="1"/>
      <w:numFmt w:val="decimal"/>
      <w:lvlText w:val="%7."/>
      <w:lvlJc w:val="left"/>
      <w:pPr>
        <w:tabs>
          <w:tab w:val="num" w:pos="7920"/>
        </w:tabs>
        <w:ind w:left="7920" w:hanging="360"/>
      </w:pPr>
    </w:lvl>
    <w:lvl w:ilvl="7">
      <w:start w:val="1"/>
      <w:numFmt w:val="decimal"/>
      <w:lvlText w:val="%8."/>
      <w:lvlJc w:val="left"/>
      <w:pPr>
        <w:tabs>
          <w:tab w:val="num" w:pos="8640"/>
        </w:tabs>
        <w:ind w:left="8640" w:hanging="360"/>
      </w:pPr>
    </w:lvl>
    <w:lvl w:ilvl="8">
      <w:start w:val="1"/>
      <w:numFmt w:val="decimal"/>
      <w:lvlText w:val="%9."/>
      <w:lvlJc w:val="left"/>
      <w:pPr>
        <w:tabs>
          <w:tab w:val="num" w:pos="9360"/>
        </w:tabs>
        <w:ind w:left="9360" w:hanging="360"/>
      </w:pPr>
    </w:lvl>
  </w:abstractNum>
  <w:abstractNum w:abstractNumId="269">
    <w:nsid w:val="65CB5B77"/>
    <w:multiLevelType w:val="multilevel"/>
    <w:tmpl w:val="541882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0">
    <w:nsid w:val="679046FE"/>
    <w:multiLevelType w:val="multilevel"/>
    <w:tmpl w:val="90802810"/>
    <w:lvl w:ilvl="0">
      <w:start w:val="1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1">
    <w:nsid w:val="67CC37C8"/>
    <w:multiLevelType w:val="multilevel"/>
    <w:tmpl w:val="81AC33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2">
    <w:nsid w:val="67CE1B93"/>
    <w:multiLevelType w:val="multilevel"/>
    <w:tmpl w:val="0CA09E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3">
    <w:nsid w:val="688C18E0"/>
    <w:multiLevelType w:val="multilevel"/>
    <w:tmpl w:val="06FADF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4">
    <w:nsid w:val="68C35928"/>
    <w:multiLevelType w:val="multilevel"/>
    <w:tmpl w:val="307EC6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5">
    <w:nsid w:val="68DE4B3A"/>
    <w:multiLevelType w:val="multilevel"/>
    <w:tmpl w:val="D68A013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6">
    <w:nsid w:val="69181927"/>
    <w:multiLevelType w:val="multilevel"/>
    <w:tmpl w:val="61FEA3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7">
    <w:nsid w:val="692E5AF6"/>
    <w:multiLevelType w:val="multilevel"/>
    <w:tmpl w:val="BBECEB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8">
    <w:nsid w:val="69D264B7"/>
    <w:multiLevelType w:val="multilevel"/>
    <w:tmpl w:val="92D45A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9">
    <w:nsid w:val="6A102EB8"/>
    <w:multiLevelType w:val="multilevel"/>
    <w:tmpl w:val="FAB455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0">
    <w:nsid w:val="6A297E0A"/>
    <w:multiLevelType w:val="multilevel"/>
    <w:tmpl w:val="11F07D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1">
    <w:nsid w:val="6A5B7787"/>
    <w:multiLevelType w:val="multilevel"/>
    <w:tmpl w:val="6D3C0030"/>
    <w:lvl w:ilvl="0">
      <w:start w:val="1"/>
      <w:numFmt w:val="lowerLetter"/>
      <w:lvlText w:val="%1."/>
      <w:lvlJc w:val="left"/>
      <w:pPr>
        <w:tabs>
          <w:tab w:val="num" w:pos="1048"/>
        </w:tabs>
        <w:ind w:left="1048" w:hanging="360"/>
      </w:pPr>
      <w:rPr>
        <w:rFonts w:ascii="Calibri" w:eastAsia="Times New Roman" w:hAnsi="Calibri" w:cs="Times New Roman"/>
      </w:rPr>
    </w:lvl>
    <w:lvl w:ilvl="1">
      <w:start w:val="1"/>
      <w:numFmt w:val="lowerLetter"/>
      <w:lvlText w:val="%2."/>
      <w:lvlJc w:val="left"/>
      <w:pPr>
        <w:tabs>
          <w:tab w:val="num" w:pos="1768"/>
        </w:tabs>
        <w:ind w:left="1768" w:hanging="360"/>
      </w:pPr>
    </w:lvl>
    <w:lvl w:ilvl="2">
      <w:start w:val="1"/>
      <w:numFmt w:val="lowerLetter"/>
      <w:lvlText w:val="%3."/>
      <w:lvlJc w:val="left"/>
      <w:pPr>
        <w:tabs>
          <w:tab w:val="num" w:pos="2488"/>
        </w:tabs>
        <w:ind w:left="2488" w:hanging="360"/>
      </w:pPr>
    </w:lvl>
    <w:lvl w:ilvl="3">
      <w:start w:val="1"/>
      <w:numFmt w:val="lowerLetter"/>
      <w:lvlText w:val="%4."/>
      <w:lvlJc w:val="left"/>
      <w:pPr>
        <w:tabs>
          <w:tab w:val="num" w:pos="3208"/>
        </w:tabs>
        <w:ind w:left="3208" w:hanging="360"/>
      </w:pPr>
    </w:lvl>
    <w:lvl w:ilvl="4">
      <w:start w:val="1"/>
      <w:numFmt w:val="lowerLetter"/>
      <w:lvlText w:val="%5."/>
      <w:lvlJc w:val="left"/>
      <w:pPr>
        <w:tabs>
          <w:tab w:val="num" w:pos="3928"/>
        </w:tabs>
        <w:ind w:left="3928" w:hanging="360"/>
      </w:pPr>
    </w:lvl>
    <w:lvl w:ilvl="5">
      <w:start w:val="1"/>
      <w:numFmt w:val="lowerLetter"/>
      <w:lvlText w:val="%6."/>
      <w:lvlJc w:val="left"/>
      <w:pPr>
        <w:tabs>
          <w:tab w:val="num" w:pos="4648"/>
        </w:tabs>
        <w:ind w:left="4648" w:hanging="360"/>
      </w:pPr>
    </w:lvl>
    <w:lvl w:ilvl="6">
      <w:start w:val="1"/>
      <w:numFmt w:val="lowerLetter"/>
      <w:lvlText w:val="%7."/>
      <w:lvlJc w:val="left"/>
      <w:pPr>
        <w:tabs>
          <w:tab w:val="num" w:pos="5368"/>
        </w:tabs>
        <w:ind w:left="5368" w:hanging="360"/>
      </w:pPr>
    </w:lvl>
    <w:lvl w:ilvl="7">
      <w:start w:val="1"/>
      <w:numFmt w:val="lowerLetter"/>
      <w:lvlText w:val="%8."/>
      <w:lvlJc w:val="left"/>
      <w:pPr>
        <w:tabs>
          <w:tab w:val="num" w:pos="6088"/>
        </w:tabs>
        <w:ind w:left="6088" w:hanging="360"/>
      </w:pPr>
    </w:lvl>
    <w:lvl w:ilvl="8">
      <w:start w:val="1"/>
      <w:numFmt w:val="lowerLetter"/>
      <w:lvlText w:val="%9."/>
      <w:lvlJc w:val="left"/>
      <w:pPr>
        <w:tabs>
          <w:tab w:val="num" w:pos="6808"/>
        </w:tabs>
        <w:ind w:left="6808" w:hanging="360"/>
      </w:pPr>
    </w:lvl>
  </w:abstractNum>
  <w:abstractNum w:abstractNumId="282">
    <w:nsid w:val="6A631E68"/>
    <w:multiLevelType w:val="multilevel"/>
    <w:tmpl w:val="9E64CA84"/>
    <w:lvl w:ilvl="0">
      <w:start w:val="13"/>
      <w:numFmt w:val="decimal"/>
      <w:lvlText w:val="%1."/>
      <w:lvlJc w:val="left"/>
      <w:pPr>
        <w:tabs>
          <w:tab w:val="num" w:pos="540"/>
        </w:tabs>
        <w:ind w:left="54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3">
    <w:nsid w:val="6B0D20D3"/>
    <w:multiLevelType w:val="multilevel"/>
    <w:tmpl w:val="CDB2B2C4"/>
    <w:lvl w:ilvl="0">
      <w:start w:val="17"/>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4">
    <w:nsid w:val="6BE75C0D"/>
    <w:multiLevelType w:val="hybridMultilevel"/>
    <w:tmpl w:val="4C5241C4"/>
    <w:lvl w:ilvl="0" w:tplc="8104D9F4">
      <w:start w:val="2"/>
      <w:numFmt w:val="lowerLetter"/>
      <w:lvlText w:val="%1."/>
      <w:lvlJc w:val="left"/>
      <w:pPr>
        <w:tabs>
          <w:tab w:val="num" w:pos="720"/>
        </w:tabs>
        <w:ind w:left="720" w:hanging="360"/>
      </w:pPr>
    </w:lvl>
    <w:lvl w:ilvl="1" w:tplc="1D4A27AC">
      <w:start w:val="1"/>
      <w:numFmt w:val="decimal"/>
      <w:lvlText w:val="%2."/>
      <w:lvlJc w:val="left"/>
      <w:pPr>
        <w:tabs>
          <w:tab w:val="num" w:pos="1440"/>
        </w:tabs>
        <w:ind w:left="1440" w:hanging="360"/>
      </w:pPr>
    </w:lvl>
    <w:lvl w:ilvl="2" w:tplc="53680F46">
      <w:start w:val="1"/>
      <w:numFmt w:val="decimal"/>
      <w:lvlText w:val="%3."/>
      <w:lvlJc w:val="left"/>
      <w:pPr>
        <w:tabs>
          <w:tab w:val="num" w:pos="2160"/>
        </w:tabs>
        <w:ind w:left="2160" w:hanging="360"/>
      </w:pPr>
    </w:lvl>
    <w:lvl w:ilvl="3" w:tplc="390E251C">
      <w:start w:val="1"/>
      <w:numFmt w:val="decimal"/>
      <w:lvlText w:val="%4."/>
      <w:lvlJc w:val="left"/>
      <w:pPr>
        <w:tabs>
          <w:tab w:val="num" w:pos="2880"/>
        </w:tabs>
        <w:ind w:left="2880" w:hanging="360"/>
      </w:pPr>
    </w:lvl>
    <w:lvl w:ilvl="4" w:tplc="0C16FAE4">
      <w:start w:val="1"/>
      <w:numFmt w:val="decimal"/>
      <w:lvlText w:val="%5."/>
      <w:lvlJc w:val="left"/>
      <w:pPr>
        <w:tabs>
          <w:tab w:val="num" w:pos="3600"/>
        </w:tabs>
        <w:ind w:left="3600" w:hanging="360"/>
      </w:pPr>
    </w:lvl>
    <w:lvl w:ilvl="5" w:tplc="C9C88FDC">
      <w:start w:val="1"/>
      <w:numFmt w:val="decimal"/>
      <w:lvlText w:val="%6."/>
      <w:lvlJc w:val="left"/>
      <w:pPr>
        <w:tabs>
          <w:tab w:val="num" w:pos="4320"/>
        </w:tabs>
        <w:ind w:left="4320" w:hanging="360"/>
      </w:pPr>
    </w:lvl>
    <w:lvl w:ilvl="6" w:tplc="67C8E768">
      <w:start w:val="1"/>
      <w:numFmt w:val="decimal"/>
      <w:lvlText w:val="%7."/>
      <w:lvlJc w:val="left"/>
      <w:pPr>
        <w:tabs>
          <w:tab w:val="num" w:pos="5040"/>
        </w:tabs>
        <w:ind w:left="5040" w:hanging="360"/>
      </w:pPr>
    </w:lvl>
    <w:lvl w:ilvl="7" w:tplc="48C07D26">
      <w:start w:val="1"/>
      <w:numFmt w:val="decimal"/>
      <w:lvlText w:val="%8."/>
      <w:lvlJc w:val="left"/>
      <w:pPr>
        <w:tabs>
          <w:tab w:val="num" w:pos="5760"/>
        </w:tabs>
        <w:ind w:left="5760" w:hanging="360"/>
      </w:pPr>
    </w:lvl>
    <w:lvl w:ilvl="8" w:tplc="84588682">
      <w:start w:val="1"/>
      <w:numFmt w:val="decimal"/>
      <w:lvlText w:val="%9."/>
      <w:lvlJc w:val="left"/>
      <w:pPr>
        <w:tabs>
          <w:tab w:val="num" w:pos="6480"/>
        </w:tabs>
        <w:ind w:left="6480" w:hanging="360"/>
      </w:pPr>
    </w:lvl>
  </w:abstractNum>
  <w:abstractNum w:abstractNumId="285">
    <w:nsid w:val="6C106A4F"/>
    <w:multiLevelType w:val="multilevel"/>
    <w:tmpl w:val="2FA2B7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6">
    <w:nsid w:val="6C4B585F"/>
    <w:multiLevelType w:val="multilevel"/>
    <w:tmpl w:val="140A3814"/>
    <w:lvl w:ilvl="0">
      <w:start w:val="17"/>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7">
    <w:nsid w:val="6C6F260C"/>
    <w:multiLevelType w:val="multilevel"/>
    <w:tmpl w:val="9B4C4B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8">
    <w:nsid w:val="6C9D0763"/>
    <w:multiLevelType w:val="multilevel"/>
    <w:tmpl w:val="25360D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9">
    <w:nsid w:val="6CE97FB3"/>
    <w:multiLevelType w:val="multilevel"/>
    <w:tmpl w:val="2C4EF2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0">
    <w:nsid w:val="6D2566FC"/>
    <w:multiLevelType w:val="multilevel"/>
    <w:tmpl w:val="1B3E67C4"/>
    <w:lvl w:ilvl="0">
      <w:start w:val="19"/>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1">
    <w:nsid w:val="6D9C4D4D"/>
    <w:multiLevelType w:val="multilevel"/>
    <w:tmpl w:val="A20053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2">
    <w:nsid w:val="6DC3102F"/>
    <w:multiLevelType w:val="multilevel"/>
    <w:tmpl w:val="0AD8683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3">
    <w:nsid w:val="6E44728C"/>
    <w:multiLevelType w:val="multilevel"/>
    <w:tmpl w:val="68D66D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4">
    <w:nsid w:val="6E4C1E7E"/>
    <w:multiLevelType w:val="multilevel"/>
    <w:tmpl w:val="0D6ADC42"/>
    <w:lvl w:ilvl="0">
      <w:start w:val="9"/>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5">
    <w:nsid w:val="6E5A4E3F"/>
    <w:multiLevelType w:val="multilevel"/>
    <w:tmpl w:val="1C703CE8"/>
    <w:lvl w:ilvl="0">
      <w:start w:val="1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6">
    <w:nsid w:val="6E800516"/>
    <w:multiLevelType w:val="multilevel"/>
    <w:tmpl w:val="9C6EA2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7">
    <w:nsid w:val="6E921403"/>
    <w:multiLevelType w:val="multilevel"/>
    <w:tmpl w:val="CDB64C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8">
    <w:nsid w:val="6E976B8C"/>
    <w:multiLevelType w:val="multilevel"/>
    <w:tmpl w:val="4DB454EE"/>
    <w:lvl w:ilvl="0">
      <w:start w:val="19"/>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9">
    <w:nsid w:val="6F322925"/>
    <w:multiLevelType w:val="multilevel"/>
    <w:tmpl w:val="74684A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0">
    <w:nsid w:val="6FFC70AC"/>
    <w:multiLevelType w:val="multilevel"/>
    <w:tmpl w:val="3890683E"/>
    <w:lvl w:ilvl="0">
      <w:start w:val="1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1">
    <w:nsid w:val="708166D2"/>
    <w:multiLevelType w:val="multilevel"/>
    <w:tmpl w:val="2C4EF238"/>
    <w:lvl w:ilvl="0">
      <w:start w:val="25"/>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2">
    <w:nsid w:val="70C32B05"/>
    <w:multiLevelType w:val="multilevel"/>
    <w:tmpl w:val="2356133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3">
    <w:nsid w:val="70C34B4D"/>
    <w:multiLevelType w:val="multilevel"/>
    <w:tmpl w:val="FEC2F51E"/>
    <w:lvl w:ilvl="0">
      <w:start w:val="1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4">
    <w:nsid w:val="70E96226"/>
    <w:multiLevelType w:val="multilevel"/>
    <w:tmpl w:val="2BD636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5">
    <w:nsid w:val="71F2192E"/>
    <w:multiLevelType w:val="multilevel"/>
    <w:tmpl w:val="A71EA814"/>
    <w:lvl w:ilvl="0">
      <w:start w:val="1"/>
      <w:numFmt w:val="bullet"/>
      <w:lvlText w:val=""/>
      <w:lvlJc w:val="left"/>
      <w:pPr>
        <w:tabs>
          <w:tab w:val="num" w:pos="1140"/>
        </w:tabs>
        <w:ind w:left="1140" w:hanging="360"/>
      </w:pPr>
      <w:rPr>
        <w:rFonts w:ascii="Symbol" w:hAnsi="Symbol" w:hint="default"/>
        <w:sz w:val="20"/>
      </w:rPr>
    </w:lvl>
    <w:lvl w:ilvl="1">
      <w:start w:val="2"/>
      <w:numFmt w:val="lowerLetter"/>
      <w:lvlText w:val="%2."/>
      <w:lvlJc w:val="left"/>
      <w:pPr>
        <w:ind w:left="720" w:hanging="360"/>
      </w:pPr>
    </w:lvl>
    <w:lvl w:ilvl="2">
      <w:start w:val="1"/>
      <w:numFmt w:val="bullet"/>
      <w:lvlText w:val=""/>
      <w:lvlJc w:val="left"/>
      <w:pPr>
        <w:tabs>
          <w:tab w:val="num" w:pos="2580"/>
        </w:tabs>
        <w:ind w:left="2580" w:hanging="360"/>
      </w:pPr>
      <w:rPr>
        <w:rFonts w:ascii="Wingdings" w:hAnsi="Wingdings" w:hint="default"/>
        <w:sz w:val="20"/>
      </w:rPr>
    </w:lvl>
    <w:lvl w:ilvl="3">
      <w:start w:val="1"/>
      <w:numFmt w:val="bullet"/>
      <w:lvlText w:val=""/>
      <w:lvlJc w:val="left"/>
      <w:pPr>
        <w:tabs>
          <w:tab w:val="num" w:pos="3300"/>
        </w:tabs>
        <w:ind w:left="3300" w:hanging="360"/>
      </w:pPr>
      <w:rPr>
        <w:rFonts w:ascii="Wingdings" w:hAnsi="Wingdings" w:hint="default"/>
        <w:sz w:val="20"/>
      </w:rPr>
    </w:lvl>
    <w:lvl w:ilvl="4">
      <w:start w:val="1"/>
      <w:numFmt w:val="bullet"/>
      <w:lvlText w:val=""/>
      <w:lvlJc w:val="left"/>
      <w:pPr>
        <w:tabs>
          <w:tab w:val="num" w:pos="4020"/>
        </w:tabs>
        <w:ind w:left="4020" w:hanging="360"/>
      </w:pPr>
      <w:rPr>
        <w:rFonts w:ascii="Wingdings" w:hAnsi="Wingdings" w:hint="default"/>
        <w:sz w:val="20"/>
      </w:rPr>
    </w:lvl>
    <w:lvl w:ilvl="5">
      <w:start w:val="1"/>
      <w:numFmt w:val="bullet"/>
      <w:lvlText w:val=""/>
      <w:lvlJc w:val="left"/>
      <w:pPr>
        <w:tabs>
          <w:tab w:val="num" w:pos="4740"/>
        </w:tabs>
        <w:ind w:left="4740" w:hanging="360"/>
      </w:pPr>
      <w:rPr>
        <w:rFonts w:ascii="Wingdings" w:hAnsi="Wingdings" w:hint="default"/>
        <w:sz w:val="20"/>
      </w:rPr>
    </w:lvl>
    <w:lvl w:ilvl="6">
      <w:start w:val="1"/>
      <w:numFmt w:val="bullet"/>
      <w:lvlText w:val=""/>
      <w:lvlJc w:val="left"/>
      <w:pPr>
        <w:tabs>
          <w:tab w:val="num" w:pos="5460"/>
        </w:tabs>
        <w:ind w:left="5460" w:hanging="360"/>
      </w:pPr>
      <w:rPr>
        <w:rFonts w:ascii="Wingdings" w:hAnsi="Wingdings" w:hint="default"/>
        <w:sz w:val="20"/>
      </w:rPr>
    </w:lvl>
    <w:lvl w:ilvl="7">
      <w:start w:val="1"/>
      <w:numFmt w:val="bullet"/>
      <w:lvlText w:val=""/>
      <w:lvlJc w:val="left"/>
      <w:pPr>
        <w:tabs>
          <w:tab w:val="num" w:pos="6180"/>
        </w:tabs>
        <w:ind w:left="6180" w:hanging="360"/>
      </w:pPr>
      <w:rPr>
        <w:rFonts w:ascii="Wingdings" w:hAnsi="Wingdings" w:hint="default"/>
        <w:sz w:val="20"/>
      </w:rPr>
    </w:lvl>
    <w:lvl w:ilvl="8">
      <w:start w:val="1"/>
      <w:numFmt w:val="bullet"/>
      <w:lvlText w:val=""/>
      <w:lvlJc w:val="left"/>
      <w:pPr>
        <w:tabs>
          <w:tab w:val="num" w:pos="6900"/>
        </w:tabs>
        <w:ind w:left="6900" w:hanging="360"/>
      </w:pPr>
      <w:rPr>
        <w:rFonts w:ascii="Wingdings" w:hAnsi="Wingdings" w:hint="default"/>
        <w:sz w:val="20"/>
      </w:rPr>
    </w:lvl>
  </w:abstractNum>
  <w:abstractNum w:abstractNumId="306">
    <w:nsid w:val="741A55F2"/>
    <w:multiLevelType w:val="multilevel"/>
    <w:tmpl w:val="D46016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7">
    <w:nsid w:val="743B3962"/>
    <w:multiLevelType w:val="multilevel"/>
    <w:tmpl w:val="630E8F3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8">
    <w:nsid w:val="74500313"/>
    <w:multiLevelType w:val="multilevel"/>
    <w:tmpl w:val="610EEB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9">
    <w:nsid w:val="74925F1A"/>
    <w:multiLevelType w:val="multilevel"/>
    <w:tmpl w:val="D23E2B5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rFonts w:ascii="Calibri" w:eastAsia="Times New Roman" w:hAnsi="Calibri" w:cs="Times New Roman"/>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0">
    <w:nsid w:val="75016B0C"/>
    <w:multiLevelType w:val="hybridMultilevel"/>
    <w:tmpl w:val="A4945A0E"/>
    <w:lvl w:ilvl="0" w:tplc="1A8480A4">
      <w:start w:val="3"/>
      <w:numFmt w:val="lowerLetter"/>
      <w:lvlText w:val="%1."/>
      <w:lvlJc w:val="left"/>
      <w:pPr>
        <w:ind w:left="81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311">
    <w:nsid w:val="75F04D52"/>
    <w:multiLevelType w:val="multilevel"/>
    <w:tmpl w:val="A732C300"/>
    <w:lvl w:ilvl="0">
      <w:start w:val="1"/>
      <w:numFmt w:val="lowerLetter"/>
      <w:lvlText w:val="%1."/>
      <w:lvlJc w:val="left"/>
      <w:pPr>
        <w:tabs>
          <w:tab w:val="num" w:pos="720"/>
        </w:tabs>
        <w:ind w:left="720" w:hanging="360"/>
      </w:pPr>
      <w:rPr>
        <w:rFonts w:ascii="Calibri" w:eastAsia="Times New Roman" w:hAnsi="Calibri" w:cs="Times New Roman"/>
      </w:r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2">
    <w:nsid w:val="76B26080"/>
    <w:multiLevelType w:val="multilevel"/>
    <w:tmpl w:val="CA0CC8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3">
    <w:nsid w:val="76C06472"/>
    <w:multiLevelType w:val="multilevel"/>
    <w:tmpl w:val="4DDEC2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4">
    <w:nsid w:val="77CA657C"/>
    <w:multiLevelType w:val="multilevel"/>
    <w:tmpl w:val="4698A0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5">
    <w:nsid w:val="77E43A0A"/>
    <w:multiLevelType w:val="multilevel"/>
    <w:tmpl w:val="8D6874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6">
    <w:nsid w:val="78FE7E2A"/>
    <w:multiLevelType w:val="multilevel"/>
    <w:tmpl w:val="D11A7A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7">
    <w:nsid w:val="79003F78"/>
    <w:multiLevelType w:val="multilevel"/>
    <w:tmpl w:val="40E60B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8">
    <w:nsid w:val="79520467"/>
    <w:multiLevelType w:val="multilevel"/>
    <w:tmpl w:val="122A1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9">
    <w:nsid w:val="79C70EA5"/>
    <w:multiLevelType w:val="multilevel"/>
    <w:tmpl w:val="353CBE4A"/>
    <w:lvl w:ilvl="0">
      <w:start w:val="25"/>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0">
    <w:nsid w:val="7A585F1C"/>
    <w:multiLevelType w:val="multilevel"/>
    <w:tmpl w:val="389068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1">
    <w:nsid w:val="7A706346"/>
    <w:multiLevelType w:val="multilevel"/>
    <w:tmpl w:val="5E401A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2">
    <w:nsid w:val="7BE732DA"/>
    <w:multiLevelType w:val="multilevel"/>
    <w:tmpl w:val="057A6866"/>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3">
    <w:nsid w:val="7CF211CA"/>
    <w:multiLevelType w:val="multilevel"/>
    <w:tmpl w:val="3F146586"/>
    <w:lvl w:ilvl="0">
      <w:start w:val="19"/>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4">
    <w:nsid w:val="7DB134DB"/>
    <w:multiLevelType w:val="multilevel"/>
    <w:tmpl w:val="C4A2F4EC"/>
    <w:lvl w:ilvl="0">
      <w:start w:val="17"/>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5">
    <w:nsid w:val="7DEF1BE1"/>
    <w:multiLevelType w:val="multilevel"/>
    <w:tmpl w:val="7D942E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6">
    <w:nsid w:val="7E6C4BFC"/>
    <w:multiLevelType w:val="multilevel"/>
    <w:tmpl w:val="8098B9F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7">
    <w:nsid w:val="7EC942EB"/>
    <w:multiLevelType w:val="multilevel"/>
    <w:tmpl w:val="FBAA4C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8">
    <w:nsid w:val="7F2D2E54"/>
    <w:multiLevelType w:val="multilevel"/>
    <w:tmpl w:val="ECD2F802"/>
    <w:lvl w:ilvl="0">
      <w:start w:val="6"/>
      <w:numFmt w:val="decimal"/>
      <w:lvlText w:val="%1."/>
      <w:lvlJc w:val="left"/>
      <w:pPr>
        <w:tabs>
          <w:tab w:val="num" w:pos="450"/>
        </w:tabs>
        <w:ind w:left="450" w:hanging="360"/>
      </w:pPr>
    </w:lvl>
    <w:lvl w:ilvl="1">
      <w:start w:val="1"/>
      <w:numFmt w:val="lowerLetter"/>
      <w:lvlText w:val="%2."/>
      <w:lvlJc w:val="left"/>
      <w:pPr>
        <w:tabs>
          <w:tab w:val="num" w:pos="1170"/>
        </w:tabs>
        <w:ind w:left="1170" w:hanging="360"/>
      </w:pPr>
    </w:lvl>
    <w:lvl w:ilvl="2">
      <w:start w:val="1"/>
      <w:numFmt w:val="lowerLetter"/>
      <w:lvlText w:val="%3."/>
      <w:lvlJc w:val="left"/>
      <w:pPr>
        <w:tabs>
          <w:tab w:val="num" w:pos="1890"/>
        </w:tabs>
        <w:ind w:left="1890" w:hanging="360"/>
      </w:pPr>
      <w:rPr>
        <w:rFonts w:ascii="Calibri" w:eastAsia="Times New Roman" w:hAnsi="Calibri" w:cs="Times New Roman" w:hint="default"/>
      </w:rPr>
    </w:lvl>
    <w:lvl w:ilvl="3">
      <w:start w:val="1"/>
      <w:numFmt w:val="decimal"/>
      <w:lvlText w:val="%4."/>
      <w:lvlJc w:val="left"/>
      <w:pPr>
        <w:tabs>
          <w:tab w:val="num" w:pos="2610"/>
        </w:tabs>
        <w:ind w:left="2610" w:hanging="360"/>
      </w:pPr>
    </w:lvl>
    <w:lvl w:ilvl="4">
      <w:start w:val="1"/>
      <w:numFmt w:val="decimal"/>
      <w:lvlText w:val="%5."/>
      <w:lvlJc w:val="left"/>
      <w:pPr>
        <w:tabs>
          <w:tab w:val="num" w:pos="3330"/>
        </w:tabs>
        <w:ind w:left="3330" w:hanging="360"/>
      </w:pPr>
    </w:lvl>
    <w:lvl w:ilvl="5">
      <w:start w:val="1"/>
      <w:numFmt w:val="decimal"/>
      <w:lvlText w:val="%6."/>
      <w:lvlJc w:val="left"/>
      <w:pPr>
        <w:tabs>
          <w:tab w:val="num" w:pos="4050"/>
        </w:tabs>
        <w:ind w:left="4050" w:hanging="360"/>
      </w:pPr>
    </w:lvl>
    <w:lvl w:ilvl="6">
      <w:start w:val="1"/>
      <w:numFmt w:val="decimal"/>
      <w:lvlText w:val="%7."/>
      <w:lvlJc w:val="left"/>
      <w:pPr>
        <w:tabs>
          <w:tab w:val="num" w:pos="4770"/>
        </w:tabs>
        <w:ind w:left="4770" w:hanging="360"/>
      </w:pPr>
    </w:lvl>
    <w:lvl w:ilvl="7">
      <w:start w:val="1"/>
      <w:numFmt w:val="decimal"/>
      <w:lvlText w:val="%8."/>
      <w:lvlJc w:val="left"/>
      <w:pPr>
        <w:tabs>
          <w:tab w:val="num" w:pos="5490"/>
        </w:tabs>
        <w:ind w:left="5490" w:hanging="360"/>
      </w:pPr>
    </w:lvl>
    <w:lvl w:ilvl="8">
      <w:start w:val="1"/>
      <w:numFmt w:val="decimal"/>
      <w:lvlText w:val="%9."/>
      <w:lvlJc w:val="left"/>
      <w:pPr>
        <w:tabs>
          <w:tab w:val="num" w:pos="6210"/>
        </w:tabs>
        <w:ind w:left="6210" w:hanging="360"/>
      </w:pPr>
    </w:lvl>
  </w:abstractNum>
  <w:abstractNum w:abstractNumId="329">
    <w:nsid w:val="7F484931"/>
    <w:multiLevelType w:val="multilevel"/>
    <w:tmpl w:val="54A6CE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0">
    <w:nsid w:val="7FAE13FC"/>
    <w:multiLevelType w:val="multilevel"/>
    <w:tmpl w:val="CBB679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05"/>
    <w:lvlOverride w:ilvl="0"/>
    <w:lvlOverride w:ilvl="1">
      <w:startOverride w:val="2"/>
    </w:lvlOverride>
    <w:lvlOverride w:ilvl="2"/>
    <w:lvlOverride w:ilvl="3"/>
    <w:lvlOverride w:ilvl="4"/>
    <w:lvlOverride w:ilvl="5"/>
    <w:lvlOverride w:ilvl="6"/>
    <w:lvlOverride w:ilvl="7"/>
    <w:lvlOverride w:ilvl="8"/>
  </w:num>
  <w:num w:numId="4">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2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4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5"/>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34"/>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17"/>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1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82"/>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3"/>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2"/>
  </w:num>
  <w:num w:numId="17">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52"/>
  </w:num>
  <w:num w:numId="19">
    <w:abstractNumId w:val="2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6"/>
  </w:num>
  <w:num w:numId="24">
    <w:abstractNumId w:val="2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15"/>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6">
    <w:abstractNumId w:val="65"/>
    <w:lvlOverride w:ilvl="0">
      <w:startOverride w:val="2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39"/>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76"/>
  </w:num>
  <w:num w:numId="32">
    <w:abstractNumId w:val="50"/>
    <w:lvlOverride w:ilvl="0">
      <w:startOverride w:val="3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02"/>
    <w:lvlOverride w:ilvl="0">
      <w:startOverride w:val="3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36"/>
  </w:num>
  <w:num w:numId="41">
    <w:abstractNumId w:val="2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86"/>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5"/>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5">
    <w:abstractNumId w:val="168"/>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6">
    <w:abstractNumId w:val="2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10"/>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8">
    <w:abstractNumId w:val="261"/>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9">
    <w:abstractNumId w:val="246"/>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50">
    <w:abstractNumId w:val="167"/>
  </w:num>
  <w:num w:numId="51">
    <w:abstractNumId w:val="1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28"/>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61"/>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48"/>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25"/>
    <w:lvlOverride w:ilvl="0">
      <w:startOverride w:val="2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7"/>
    <w:lvlOverride w:ilvl="0">
      <w:startOverride w:val="2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18"/>
  </w:num>
  <w:num w:numId="60">
    <w:abstractNumId w:val="2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55"/>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91"/>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04"/>
    <w:lvlOverride w:ilvl="0">
      <w:startOverride w:val="2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77"/>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68">
    <w:abstractNumId w:val="158"/>
  </w:num>
  <w:num w:numId="69">
    <w:abstractNumId w:val="2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304"/>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71">
    <w:abstractNumId w:val="116"/>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72">
    <w:abstractNumId w:val="21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53"/>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74">
    <w:abstractNumId w:val="38"/>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75">
    <w:abstractNumId w:val="293"/>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76">
    <w:abstractNumId w:val="1"/>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77">
    <w:abstractNumId w:val="192"/>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78">
    <w:abstractNumId w:val="195"/>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79">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3"/>
  </w:num>
  <w:num w:numId="81">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5"/>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94"/>
    <w:lvlOverride w:ilvl="0">
      <w:startOverride w:val="1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12"/>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324"/>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86"/>
    <w:lvlOverride w:ilvl="0">
      <w:startOverride w:val="2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17"/>
    <w:lvlOverride w:ilvl="0">
      <w:startOverride w:val="2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319"/>
    <w:lvlOverride w:ilvl="0">
      <w:startOverride w:val="2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0"/>
    <w:lvlOverride w:ilvl="0">
      <w:startOverride w:val="2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0"/>
    <w:lvlOverride w:ilvl="0">
      <w:startOverride w:val="27"/>
      <w:lvl w:ilvl="0">
        <w:start w:val="27"/>
        <w:numFmt w:val="decimal"/>
        <w:lvlText w:val=""/>
        <w:lvlJc w:val="left"/>
      </w:lvl>
    </w:lvlOverride>
    <w:lvlOverride w:ilvl="1">
      <w:startOverride w:val="1"/>
      <w:lvl w:ilvl="1">
        <w:start w:val="1"/>
        <w:numFmt w:val="decimal"/>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91">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54"/>
  </w:num>
  <w:num w:numId="9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2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3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25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1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2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11"/>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02">
    <w:abstractNumId w:val="35"/>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03">
    <w:abstractNumId w:val="52"/>
  </w:num>
  <w:num w:numId="104">
    <w:abstractNumId w:val="106"/>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87"/>
    <w:lvlOverride w:ilvl="0">
      <w:startOverride w:val="26"/>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77"/>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10">
    <w:abstractNumId w:val="7"/>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11">
    <w:abstractNumId w:val="94"/>
  </w:num>
  <w:num w:numId="112">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294"/>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32"/>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283"/>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60"/>
    <w:lvlOverride w:ilvl="0">
      <w:startOverride w:val="2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2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280"/>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20">
    <w:abstractNumId w:val="101"/>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21">
    <w:abstractNumId w:val="142"/>
  </w:num>
  <w:num w:numId="122">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303"/>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61"/>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26">
    <w:abstractNumId w:val="67"/>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27">
    <w:abstractNumId w:val="162"/>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28">
    <w:abstractNumId w:val="230"/>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29">
    <w:abstractNumId w:val="22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28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269"/>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32">
    <w:abstractNumId w:val="188"/>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33">
    <w:abstractNumId w:val="150"/>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34">
    <w:abstractNumId w:val="200"/>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35">
    <w:abstractNumId w:val="308"/>
  </w:num>
  <w:num w:numId="13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159"/>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38">
    <w:abstractNumId w:val="212"/>
  </w:num>
  <w:num w:numId="13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78"/>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8"/>
    <w:lvlOverride w:ilvl="0">
      <w:startOverride w:val="2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3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2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277"/>
  </w:num>
  <w:num w:numId="145">
    <w:abstractNumId w:val="173"/>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259"/>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165"/>
    <w:lvlOverride w:ilvl="0">
      <w:startOverride w:val="2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299"/>
  </w:num>
  <w:num w:numId="15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2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71"/>
  </w:num>
  <w:num w:numId="154">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239"/>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97"/>
    <w:lvlOverride w:ilvl="0">
      <w:startOverride w:val="2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295"/>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263"/>
    <w:lvlOverride w:ilvl="0">
      <w:startOverride w:val="2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2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175"/>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63">
    <w:abstractNumId w:val="260"/>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64">
    <w:abstractNumId w:val="3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322"/>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99"/>
    <w:lvlOverride w:ilvl="0">
      <w:startOverride w:val="2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2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2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151"/>
  </w:num>
  <w:num w:numId="170">
    <w:abstractNumId w:val="2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64"/>
  </w:num>
  <w:num w:numId="172">
    <w:abstractNumId w:val="13"/>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57"/>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2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290"/>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220"/>
  </w:num>
  <w:num w:numId="179">
    <w:abstractNumId w:val="3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44"/>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298"/>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2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287"/>
  </w:num>
  <w:num w:numId="188">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152"/>
  </w:num>
  <w:num w:numId="191">
    <w:abstractNumId w:val="36"/>
  </w:num>
  <w:num w:numId="192">
    <w:abstractNumId w:val="210"/>
  </w:num>
  <w:num w:numId="193">
    <w:abstractNumId w:val="3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228"/>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82"/>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199"/>
    <w:lvlOverride w:ilvl="0">
      <w:startOverride w:val="2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2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223"/>
  </w:num>
  <w:num w:numId="200">
    <w:abstractNumId w:val="48"/>
  </w:num>
  <w:num w:numId="201">
    <w:abstractNumId w:val="80"/>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34"/>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3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297"/>
  </w:num>
  <w:num w:numId="205">
    <w:abstractNumId w:val="330"/>
  </w:num>
  <w:num w:numId="206">
    <w:abstractNumId w:val="174"/>
  </w:num>
  <w:num w:numId="207">
    <w:abstractNumId w:val="176"/>
  </w:num>
  <w:num w:numId="20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237"/>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214"/>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245"/>
    <w:lvlOverride w:ilvl="0">
      <w:startOverride w:val="1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166"/>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2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73"/>
  </w:num>
  <w:num w:numId="215">
    <w:abstractNumId w:val="231"/>
  </w:num>
  <w:num w:numId="216">
    <w:abstractNumId w:val="258"/>
  </w:num>
  <w:num w:numId="217">
    <w:abstractNumId w:val="325"/>
  </w:num>
  <w:num w:numId="218">
    <w:abstractNumId w:val="16"/>
  </w:num>
  <w:num w:numId="219">
    <w:abstractNumId w:val="74"/>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156"/>
    <w:lvlOverride w:ilvl="0">
      <w:startOverride w:val="2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120"/>
    <w:lvlOverride w:ilvl="0">
      <w:startOverride w:val="2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317"/>
  </w:num>
  <w:num w:numId="224">
    <w:abstractNumId w:val="255"/>
  </w:num>
  <w:num w:numId="225">
    <w:abstractNumId w:val="25"/>
  </w:num>
  <w:num w:numId="226">
    <w:abstractNumId w:val="17"/>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301"/>
    <w:lvlOverride w:ilvl="0">
      <w:startOverride w:val="2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2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147"/>
  </w:num>
  <w:num w:numId="230">
    <w:abstractNumId w:val="193"/>
  </w:num>
  <w:num w:numId="231">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201"/>
  </w:num>
  <w:num w:numId="233">
    <w:abstractNumId w:val="53"/>
  </w:num>
  <w:num w:numId="234">
    <w:abstractNumId w:val="213"/>
  </w:num>
  <w:num w:numId="235">
    <w:abstractNumId w:val="109"/>
  </w:num>
  <w:num w:numId="236">
    <w:abstractNumId w:val="145"/>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33"/>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124"/>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3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181"/>
  </w:num>
  <w:num w:numId="241">
    <w:abstractNumId w:val="79"/>
  </w:num>
  <w:num w:numId="242">
    <w:abstractNumId w:val="329"/>
  </w:num>
  <w:num w:numId="243">
    <w:abstractNumId w:val="180"/>
  </w:num>
  <w:num w:numId="244">
    <w:abstractNumId w:val="196"/>
    <w:lvlOverride w:ilvl="0">
      <w:startOverride w:val="10"/>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128"/>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323"/>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122"/>
  </w:num>
  <w:num w:numId="249">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2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24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171"/>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254"/>
  </w:num>
  <w:num w:numId="255">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75"/>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270"/>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238"/>
  </w:num>
  <w:num w:numId="260">
    <w:abstractNumId w:val="182"/>
    <w:lvlOverride w:ilvl="0">
      <w:startOverride w:val="3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2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39"/>
  </w:num>
  <w:num w:numId="264">
    <w:abstractNumId w:val="2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7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126"/>
    <w:lvlOverride w:ilvl="0">
      <w:startOverride w:val="1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149"/>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235"/>
    <w:lvlOverride w:ilvl="0">
      <w:startOverride w:val="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42"/>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72">
    <w:abstractNumId w:val="244"/>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73">
    <w:abstractNumId w:val="1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1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314"/>
  </w:num>
  <w:num w:numId="27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119"/>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141"/>
    <w:lvlOverride w:ilvl="0">
      <w:startOverride w:val="2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208"/>
  </w:num>
  <w:num w:numId="281">
    <w:abstractNumId w:val="221"/>
  </w:num>
  <w:num w:numId="282">
    <w:abstractNumId w:val="273"/>
  </w:num>
  <w:num w:numId="283">
    <w:abstractNumId w:val="3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233"/>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58"/>
    <w:lvlOverride w:ilvl="0">
      <w:startOverride w:val="2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6">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312"/>
  </w:num>
  <w:num w:numId="28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248"/>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135"/>
    <w:lvlOverride w:ilvl="0">
      <w:startOverride w:val="2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271"/>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94">
    <w:abstractNumId w:val="251"/>
  </w:num>
  <w:num w:numId="295">
    <w:abstractNumId w:val="2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247"/>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20"/>
    <w:lvlOverride w:ilvl="0">
      <w:startOverride w:val="2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abstractNumId w:val="107"/>
  </w:num>
  <w:num w:numId="300">
    <w:abstractNumId w:val="2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1">
    <w:abstractNumId w:val="3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3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129"/>
  </w:num>
  <w:num w:numId="304">
    <w:abstractNumId w:val="279"/>
  </w:num>
  <w:num w:numId="305">
    <w:abstractNumId w:val="54"/>
  </w:num>
  <w:num w:numId="306">
    <w:abstractNumId w:val="285"/>
  </w:num>
  <w:num w:numId="307">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8">
    <w:abstractNumId w:val="83"/>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9">
    <w:abstractNumId w:val="300"/>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0">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1">
    <w:abstractNumId w:val="2"/>
  </w:num>
  <w:num w:numId="312">
    <w:abstractNumId w:val="274"/>
  </w:num>
  <w:num w:numId="313">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9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5">
    <w:abstractNumId w:val="179"/>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6">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7">
    <w:abstractNumId w:val="118"/>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18">
    <w:abstractNumId w:val="1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9">
    <w:abstractNumId w:val="232"/>
    <w:lvlOverride w:ilvl="0">
      <w:startOverride w:val="1"/>
      <w:lvl w:ilvl="0">
        <w:start w:val="1"/>
        <w:numFmt w:val="lowerLetter"/>
        <w:lvlText w:val="%1."/>
        <w:lvlJc w:val="left"/>
        <w:pPr>
          <w:ind w:left="0" w:firstLine="0"/>
        </w:pPr>
      </w:lvl>
    </w:lvlOverride>
    <w:lvlOverride w:ilvl="1">
      <w:startOverride w:val="3"/>
      <w:lvl w:ilvl="1">
        <w:start w:val="3"/>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20">
    <w:abstractNumId w:val="172"/>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21">
    <w:abstractNumId w:val="19"/>
    <w:lvlOverride w:ilvl="0">
      <w:startOverride w:val="4"/>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2">
    <w:abstractNumId w:val="306"/>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23">
    <w:abstractNumId w:val="81"/>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24">
    <w:abstractNumId w:val="49"/>
  </w:num>
  <w:num w:numId="325">
    <w:abstractNumId w:val="31"/>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6">
    <w:abstractNumId w:val="226"/>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7">
    <w:abstractNumId w:val="41"/>
    <w:lvlOverride w:ilvl="0">
      <w:startOverride w:val="2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9">
    <w:abstractNumId w:val="28"/>
  </w:num>
  <w:num w:numId="330">
    <w:abstractNumId w:val="2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1">
    <w:abstractNumId w:val="20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2">
    <w:abstractNumId w:val="211"/>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3">
    <w:abstractNumId w:val="140"/>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018E"/>
    <w:rsid w:val="003231EC"/>
    <w:rsid w:val="0041018E"/>
    <w:rsid w:val="00847BF3"/>
    <w:rsid w:val="00AD77BB"/>
    <w:rsid w:val="00B45BA0"/>
    <w:rsid w:val="00D97EC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semiHidden/>
    <w:unhideWhenUsed/>
    <w:qFormat/>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365F91" w:themeColor="accent1" w:themeShade="BF"/>
      <w:sz w:val="28"/>
      <w:szCs w:val="28"/>
    </w:rPr>
  </w:style>
  <w:style w:type="character" w:customStyle="1" w:styleId="Heading2Char">
    <w:name w:val="Heading 2 Char"/>
    <w:basedOn w:val="DefaultParagraphFont"/>
    <w:link w:val="Heading2"/>
    <w:uiPriority w:val="9"/>
    <w:semiHidden/>
    <w:locked/>
    <w:rPr>
      <w:rFonts w:asciiTheme="majorHAnsi" w:eastAsiaTheme="majorEastAsia" w:hAnsiTheme="majorHAnsi" w:cstheme="majorBidi" w:hint="default"/>
      <w:b/>
      <w:bCs/>
      <w:color w:val="4F81BD" w:themeColor="accent1"/>
      <w:sz w:val="26"/>
      <w:szCs w:val="26"/>
    </w:rPr>
  </w:style>
  <w:style w:type="character" w:customStyle="1" w:styleId="Heading3Char">
    <w:name w:val="Heading 3 Char"/>
    <w:basedOn w:val="DefaultParagraphFont"/>
    <w:link w:val="Heading3"/>
    <w:uiPriority w:val="9"/>
    <w:semiHidden/>
    <w:locked/>
    <w:rPr>
      <w:rFonts w:ascii="Times New Roman" w:eastAsia="Times New Roman" w:hAnsi="Times New Roman" w:cs="Times New Roman" w:hint="default"/>
      <w:b/>
      <w:bCs/>
      <w:sz w:val="27"/>
      <w:szCs w:val="27"/>
    </w:rPr>
  </w:style>
  <w:style w:type="paragraph" w:styleId="Header">
    <w:name w:val="header"/>
    <w:basedOn w:val="Normal"/>
    <w:link w:val="HeaderChar"/>
    <w:uiPriority w:val="99"/>
    <w:semiHidden/>
    <w:unhideWhenUsed/>
    <w:pPr>
      <w:tabs>
        <w:tab w:val="center" w:pos="4320"/>
        <w:tab w:val="right" w:pos="8640"/>
      </w:tabs>
      <w:spacing w:after="0" w:line="240" w:lineRule="auto"/>
    </w:pPr>
  </w:style>
  <w:style w:type="character" w:customStyle="1" w:styleId="HeaderChar">
    <w:name w:val="Header Char"/>
    <w:basedOn w:val="DefaultParagraphFont"/>
    <w:link w:val="Header"/>
    <w:uiPriority w:val="99"/>
    <w:semiHidden/>
    <w:locked/>
  </w:style>
  <w:style w:type="paragraph" w:styleId="Footer">
    <w:name w:val="footer"/>
    <w:basedOn w:val="Normal"/>
    <w:link w:val="FooterChar"/>
    <w:uiPriority w:val="99"/>
    <w:unhideWhenUsed/>
    <w:pPr>
      <w:tabs>
        <w:tab w:val="center" w:pos="4320"/>
        <w:tab w:val="right" w:pos="8640"/>
      </w:tabs>
      <w:spacing w:after="0" w:line="240" w:lineRule="auto"/>
    </w:pPr>
  </w:style>
  <w:style w:type="character" w:customStyle="1" w:styleId="FooterChar">
    <w:name w:val="Footer Char"/>
    <w:basedOn w:val="DefaultParagraphFont"/>
    <w:link w:val="Footer"/>
    <w:uiPriority w:val="99"/>
    <w:lock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ListParagraph">
    <w:name w:val="List Paragraph"/>
    <w:basedOn w:val="Normal"/>
    <w:uiPriority w:val="34"/>
    <w:qFormat/>
    <w:pPr>
      <w:ind w:left="720"/>
      <w:contextualSpacing/>
    </w:pPr>
  </w:style>
  <w:style w:type="paragraph" w:customStyle="1" w:styleId="para">
    <w:name w:val="para"/>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2">
    <w:name w:val="Title2"/>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mpara">
    <w:name w:val="simpara"/>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3">
    <w:name w:val="Title3"/>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4">
    <w:name w:val="Title4"/>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5">
    <w:name w:val="Title5"/>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6">
    <w:name w:val="Title6"/>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7">
    <w:name w:val="Title7"/>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8">
    <w:name w:val="Title8"/>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9">
    <w:name w:val="Title9"/>
    <w:basedOn w:val="Normal"/>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customStyle="1" w:styleId="mi">
    <w:name w:val="mi"/>
    <w:basedOn w:val="DefaultParagraphFont"/>
  </w:style>
  <w:style w:type="character" w:customStyle="1" w:styleId="mn">
    <w:name w:val="mn"/>
    <w:basedOn w:val="DefaultParagraphFont"/>
  </w:style>
  <w:style w:type="character" w:customStyle="1" w:styleId="mo">
    <w:name w:val="mo"/>
    <w:basedOn w:val="DefaultParagraphFont"/>
  </w:style>
  <w:style w:type="character" w:customStyle="1" w:styleId="st">
    <w:name w:val="st"/>
    <w:basedOn w:val="DefaultParagraphFont"/>
  </w:style>
  <w:style w:type="character" w:customStyle="1" w:styleId="ft">
    <w:name w:val="ft"/>
    <w:basedOn w:val="DefaultParagraphFont"/>
  </w:style>
  <w:style w:type="character" w:customStyle="1" w:styleId="mtext">
    <w:name w:val="mtext"/>
    <w:basedOn w:val="DefaultParagraphFont"/>
  </w:style>
  <w:style w:type="character" w:customStyle="1" w:styleId="msqrt">
    <w:name w:val="msqrt"/>
    <w:basedOn w:val="DefaultParagraphFont"/>
  </w:style>
  <w:style w:type="character" w:customStyle="1" w:styleId="inlineequation">
    <w:name w:val="inlineequation"/>
    <w:basedOn w:val="DefaultParagraphFont"/>
  </w:style>
  <w:style w:type="character" w:customStyle="1" w:styleId="informalequation">
    <w:name w:val="informalequation"/>
    <w:basedOn w:val="DefaultParagraphFont"/>
  </w:style>
  <w:style w:type="table" w:styleId="TableGrid">
    <w:name w:val="Table Grid"/>
    <w:basedOn w:val="TableNormal"/>
    <w:uiPriority w:val="59"/>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 w:type="character" w:styleId="PageNumber">
    <w:name w:val="page number"/>
    <w:basedOn w:val="DefaultParagraphFon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semiHidden/>
    <w:unhideWhenUsed/>
    <w:qFormat/>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365F91" w:themeColor="accent1" w:themeShade="BF"/>
      <w:sz w:val="28"/>
      <w:szCs w:val="28"/>
    </w:rPr>
  </w:style>
  <w:style w:type="character" w:customStyle="1" w:styleId="Heading2Char">
    <w:name w:val="Heading 2 Char"/>
    <w:basedOn w:val="DefaultParagraphFont"/>
    <w:link w:val="Heading2"/>
    <w:uiPriority w:val="9"/>
    <w:semiHidden/>
    <w:locked/>
    <w:rPr>
      <w:rFonts w:asciiTheme="majorHAnsi" w:eastAsiaTheme="majorEastAsia" w:hAnsiTheme="majorHAnsi" w:cstheme="majorBidi" w:hint="default"/>
      <w:b/>
      <w:bCs/>
      <w:color w:val="4F81BD" w:themeColor="accent1"/>
      <w:sz w:val="26"/>
      <w:szCs w:val="26"/>
    </w:rPr>
  </w:style>
  <w:style w:type="character" w:customStyle="1" w:styleId="Heading3Char">
    <w:name w:val="Heading 3 Char"/>
    <w:basedOn w:val="DefaultParagraphFont"/>
    <w:link w:val="Heading3"/>
    <w:uiPriority w:val="9"/>
    <w:semiHidden/>
    <w:locked/>
    <w:rPr>
      <w:rFonts w:ascii="Times New Roman" w:eastAsia="Times New Roman" w:hAnsi="Times New Roman" w:cs="Times New Roman" w:hint="default"/>
      <w:b/>
      <w:bCs/>
      <w:sz w:val="27"/>
      <w:szCs w:val="27"/>
    </w:rPr>
  </w:style>
  <w:style w:type="paragraph" w:styleId="Header">
    <w:name w:val="header"/>
    <w:basedOn w:val="Normal"/>
    <w:link w:val="HeaderChar"/>
    <w:uiPriority w:val="99"/>
    <w:semiHidden/>
    <w:unhideWhenUsed/>
    <w:pPr>
      <w:tabs>
        <w:tab w:val="center" w:pos="4320"/>
        <w:tab w:val="right" w:pos="8640"/>
      </w:tabs>
      <w:spacing w:after="0" w:line="240" w:lineRule="auto"/>
    </w:pPr>
  </w:style>
  <w:style w:type="character" w:customStyle="1" w:styleId="HeaderChar">
    <w:name w:val="Header Char"/>
    <w:basedOn w:val="DefaultParagraphFont"/>
    <w:link w:val="Header"/>
    <w:uiPriority w:val="99"/>
    <w:semiHidden/>
    <w:locked/>
  </w:style>
  <w:style w:type="paragraph" w:styleId="Footer">
    <w:name w:val="footer"/>
    <w:basedOn w:val="Normal"/>
    <w:link w:val="FooterChar"/>
    <w:uiPriority w:val="99"/>
    <w:unhideWhenUsed/>
    <w:pPr>
      <w:tabs>
        <w:tab w:val="center" w:pos="4320"/>
        <w:tab w:val="right" w:pos="8640"/>
      </w:tabs>
      <w:spacing w:after="0" w:line="240" w:lineRule="auto"/>
    </w:pPr>
  </w:style>
  <w:style w:type="character" w:customStyle="1" w:styleId="FooterChar">
    <w:name w:val="Footer Char"/>
    <w:basedOn w:val="DefaultParagraphFont"/>
    <w:link w:val="Footer"/>
    <w:uiPriority w:val="99"/>
    <w:lock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ListParagraph">
    <w:name w:val="List Paragraph"/>
    <w:basedOn w:val="Normal"/>
    <w:uiPriority w:val="34"/>
    <w:qFormat/>
    <w:pPr>
      <w:ind w:left="720"/>
      <w:contextualSpacing/>
    </w:pPr>
  </w:style>
  <w:style w:type="paragraph" w:customStyle="1" w:styleId="para">
    <w:name w:val="para"/>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2">
    <w:name w:val="Title2"/>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mpara">
    <w:name w:val="simpara"/>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3">
    <w:name w:val="Title3"/>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4">
    <w:name w:val="Title4"/>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5">
    <w:name w:val="Title5"/>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6">
    <w:name w:val="Title6"/>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7">
    <w:name w:val="Title7"/>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8">
    <w:name w:val="Title8"/>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9">
    <w:name w:val="Title9"/>
    <w:basedOn w:val="Normal"/>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customStyle="1" w:styleId="mi">
    <w:name w:val="mi"/>
    <w:basedOn w:val="DefaultParagraphFont"/>
  </w:style>
  <w:style w:type="character" w:customStyle="1" w:styleId="mn">
    <w:name w:val="mn"/>
    <w:basedOn w:val="DefaultParagraphFont"/>
  </w:style>
  <w:style w:type="character" w:customStyle="1" w:styleId="mo">
    <w:name w:val="mo"/>
    <w:basedOn w:val="DefaultParagraphFont"/>
  </w:style>
  <w:style w:type="character" w:customStyle="1" w:styleId="st">
    <w:name w:val="st"/>
    <w:basedOn w:val="DefaultParagraphFont"/>
  </w:style>
  <w:style w:type="character" w:customStyle="1" w:styleId="ft">
    <w:name w:val="ft"/>
    <w:basedOn w:val="DefaultParagraphFont"/>
  </w:style>
  <w:style w:type="character" w:customStyle="1" w:styleId="mtext">
    <w:name w:val="mtext"/>
    <w:basedOn w:val="DefaultParagraphFont"/>
  </w:style>
  <w:style w:type="character" w:customStyle="1" w:styleId="msqrt">
    <w:name w:val="msqrt"/>
    <w:basedOn w:val="DefaultParagraphFont"/>
  </w:style>
  <w:style w:type="character" w:customStyle="1" w:styleId="inlineequation">
    <w:name w:val="inlineequation"/>
    <w:basedOn w:val="DefaultParagraphFont"/>
  </w:style>
  <w:style w:type="character" w:customStyle="1" w:styleId="informalequation">
    <w:name w:val="informalequation"/>
    <w:basedOn w:val="DefaultParagraphFont"/>
  </w:style>
  <w:style w:type="table" w:styleId="TableGrid">
    <w:name w:val="Table Grid"/>
    <w:basedOn w:val="TableNormal"/>
    <w:uiPriority w:val="59"/>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 w:type="character" w:styleId="PageNumber">
    <w:name w:val="page number"/>
    <w:basedOn w:val="DefaultParagraphFon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g"/><Relationship Id="rId299" Type="http://schemas.openxmlformats.org/officeDocument/2006/relationships/image" Target="media/image289.jpg"/><Relationship Id="rId21" Type="http://schemas.openxmlformats.org/officeDocument/2006/relationships/image" Target="media/image12.jpg"/><Relationship Id="rId63" Type="http://schemas.openxmlformats.org/officeDocument/2006/relationships/image" Target="media/image53.jpg"/><Relationship Id="rId159" Type="http://schemas.openxmlformats.org/officeDocument/2006/relationships/image" Target="media/image149.jpg"/><Relationship Id="rId324" Type="http://schemas.openxmlformats.org/officeDocument/2006/relationships/image" Target="media/image314.jpg"/><Relationship Id="rId366" Type="http://schemas.openxmlformats.org/officeDocument/2006/relationships/image" Target="media/image356.jpg"/><Relationship Id="rId170" Type="http://schemas.openxmlformats.org/officeDocument/2006/relationships/image" Target="media/image160.jpg"/><Relationship Id="rId226" Type="http://schemas.openxmlformats.org/officeDocument/2006/relationships/image" Target="media/image216.jpg"/><Relationship Id="rId433" Type="http://schemas.openxmlformats.org/officeDocument/2006/relationships/image" Target="media/image423.jpg"/><Relationship Id="rId268" Type="http://schemas.openxmlformats.org/officeDocument/2006/relationships/image" Target="media/image258.jpg"/><Relationship Id="rId475" Type="http://schemas.openxmlformats.org/officeDocument/2006/relationships/image" Target="media/image465.jpg"/><Relationship Id="rId32" Type="http://schemas.openxmlformats.org/officeDocument/2006/relationships/image" Target="media/image23.jpg"/><Relationship Id="rId74" Type="http://schemas.openxmlformats.org/officeDocument/2006/relationships/image" Target="media/image64.jpeg"/><Relationship Id="rId128" Type="http://schemas.openxmlformats.org/officeDocument/2006/relationships/image" Target="media/image118.jpg"/><Relationship Id="rId335" Type="http://schemas.openxmlformats.org/officeDocument/2006/relationships/image" Target="media/image325.jpg"/><Relationship Id="rId377" Type="http://schemas.openxmlformats.org/officeDocument/2006/relationships/image" Target="media/image367.jpg"/><Relationship Id="rId5" Type="http://schemas.openxmlformats.org/officeDocument/2006/relationships/settings" Target="settings.xml"/><Relationship Id="rId181" Type="http://schemas.openxmlformats.org/officeDocument/2006/relationships/image" Target="media/image171.jpg"/><Relationship Id="rId237" Type="http://schemas.openxmlformats.org/officeDocument/2006/relationships/image" Target="media/image227.jpg"/><Relationship Id="rId402" Type="http://schemas.openxmlformats.org/officeDocument/2006/relationships/image" Target="media/image392.jpg"/><Relationship Id="rId279" Type="http://schemas.openxmlformats.org/officeDocument/2006/relationships/image" Target="media/image269.jpg"/><Relationship Id="rId444" Type="http://schemas.openxmlformats.org/officeDocument/2006/relationships/image" Target="media/image434.jpg"/><Relationship Id="rId486" Type="http://schemas.openxmlformats.org/officeDocument/2006/relationships/image" Target="media/image476.jpg"/><Relationship Id="rId43" Type="http://schemas.openxmlformats.org/officeDocument/2006/relationships/image" Target="media/image34.jpg"/><Relationship Id="rId139" Type="http://schemas.openxmlformats.org/officeDocument/2006/relationships/image" Target="media/image129.jpg"/><Relationship Id="rId290" Type="http://schemas.openxmlformats.org/officeDocument/2006/relationships/image" Target="media/image280.jpg"/><Relationship Id="rId304" Type="http://schemas.openxmlformats.org/officeDocument/2006/relationships/image" Target="media/image294.jpg"/><Relationship Id="rId346" Type="http://schemas.openxmlformats.org/officeDocument/2006/relationships/image" Target="media/image336.jpg"/><Relationship Id="rId388" Type="http://schemas.openxmlformats.org/officeDocument/2006/relationships/image" Target="media/image378.jpg"/><Relationship Id="rId85" Type="http://schemas.openxmlformats.org/officeDocument/2006/relationships/image" Target="media/image75.jpg"/><Relationship Id="rId150" Type="http://schemas.openxmlformats.org/officeDocument/2006/relationships/image" Target="media/image140.jpg"/><Relationship Id="rId192" Type="http://schemas.openxmlformats.org/officeDocument/2006/relationships/image" Target="media/image182.jpg"/><Relationship Id="rId206" Type="http://schemas.openxmlformats.org/officeDocument/2006/relationships/image" Target="media/image196.jpg"/><Relationship Id="rId413" Type="http://schemas.openxmlformats.org/officeDocument/2006/relationships/image" Target="media/image403.jpg"/><Relationship Id="rId248" Type="http://schemas.openxmlformats.org/officeDocument/2006/relationships/image" Target="media/image238.jpg"/><Relationship Id="rId455" Type="http://schemas.openxmlformats.org/officeDocument/2006/relationships/image" Target="media/image445.jpg"/><Relationship Id="rId497" Type="http://schemas.openxmlformats.org/officeDocument/2006/relationships/footer" Target="footer2.xml"/><Relationship Id="rId12" Type="http://schemas.openxmlformats.org/officeDocument/2006/relationships/image" Target="media/image3.jpg"/><Relationship Id="rId108" Type="http://schemas.openxmlformats.org/officeDocument/2006/relationships/image" Target="media/image98.jpg"/><Relationship Id="rId315" Type="http://schemas.openxmlformats.org/officeDocument/2006/relationships/image" Target="media/image305.jpg"/><Relationship Id="rId357" Type="http://schemas.openxmlformats.org/officeDocument/2006/relationships/image" Target="media/image347.jpg"/><Relationship Id="rId54" Type="http://schemas.openxmlformats.org/officeDocument/2006/relationships/image" Target="media/image44.jpg"/><Relationship Id="rId96" Type="http://schemas.openxmlformats.org/officeDocument/2006/relationships/image" Target="media/image86.jpg"/><Relationship Id="rId161" Type="http://schemas.openxmlformats.org/officeDocument/2006/relationships/image" Target="media/image151.jpg"/><Relationship Id="rId217" Type="http://schemas.openxmlformats.org/officeDocument/2006/relationships/image" Target="media/image207.jpg"/><Relationship Id="rId399" Type="http://schemas.openxmlformats.org/officeDocument/2006/relationships/image" Target="media/image389.jpg"/><Relationship Id="rId259" Type="http://schemas.openxmlformats.org/officeDocument/2006/relationships/image" Target="media/image249.jpg"/><Relationship Id="rId424" Type="http://schemas.openxmlformats.org/officeDocument/2006/relationships/image" Target="media/image414.jpg"/><Relationship Id="rId466" Type="http://schemas.openxmlformats.org/officeDocument/2006/relationships/image" Target="media/image456.jpg"/><Relationship Id="rId23" Type="http://schemas.openxmlformats.org/officeDocument/2006/relationships/image" Target="media/image14.jpg"/><Relationship Id="rId119" Type="http://schemas.openxmlformats.org/officeDocument/2006/relationships/image" Target="media/image109.jpg"/><Relationship Id="rId270" Type="http://schemas.openxmlformats.org/officeDocument/2006/relationships/image" Target="media/image260.jpg"/><Relationship Id="rId326" Type="http://schemas.openxmlformats.org/officeDocument/2006/relationships/image" Target="media/image316.jpg"/><Relationship Id="rId65" Type="http://schemas.openxmlformats.org/officeDocument/2006/relationships/image" Target="media/image55.jpg"/><Relationship Id="rId130" Type="http://schemas.openxmlformats.org/officeDocument/2006/relationships/image" Target="media/image120.jpg"/><Relationship Id="rId368" Type="http://schemas.openxmlformats.org/officeDocument/2006/relationships/image" Target="media/image358.jpg"/><Relationship Id="rId172" Type="http://schemas.openxmlformats.org/officeDocument/2006/relationships/image" Target="media/image162.jpg"/><Relationship Id="rId228" Type="http://schemas.openxmlformats.org/officeDocument/2006/relationships/image" Target="media/image218.jpeg"/><Relationship Id="rId435" Type="http://schemas.openxmlformats.org/officeDocument/2006/relationships/image" Target="media/image425.jpg"/><Relationship Id="rId477" Type="http://schemas.openxmlformats.org/officeDocument/2006/relationships/image" Target="media/image467.jpg"/><Relationship Id="rId281" Type="http://schemas.openxmlformats.org/officeDocument/2006/relationships/image" Target="media/image271.jpg"/><Relationship Id="rId337" Type="http://schemas.openxmlformats.org/officeDocument/2006/relationships/image" Target="media/image327.jpg"/><Relationship Id="rId34" Type="http://schemas.openxmlformats.org/officeDocument/2006/relationships/image" Target="media/image25.jpg"/><Relationship Id="rId76" Type="http://schemas.openxmlformats.org/officeDocument/2006/relationships/image" Target="media/image66.jpg"/><Relationship Id="rId141" Type="http://schemas.openxmlformats.org/officeDocument/2006/relationships/image" Target="media/image131.jpg"/><Relationship Id="rId379" Type="http://schemas.openxmlformats.org/officeDocument/2006/relationships/image" Target="media/image369.jpg"/><Relationship Id="rId7" Type="http://schemas.openxmlformats.org/officeDocument/2006/relationships/footnotes" Target="footnotes.xml"/><Relationship Id="rId183" Type="http://schemas.openxmlformats.org/officeDocument/2006/relationships/image" Target="media/image173.jpg"/><Relationship Id="rId239" Type="http://schemas.openxmlformats.org/officeDocument/2006/relationships/image" Target="media/image229.jpg"/><Relationship Id="rId390" Type="http://schemas.openxmlformats.org/officeDocument/2006/relationships/image" Target="media/image380.jpg"/><Relationship Id="rId404" Type="http://schemas.openxmlformats.org/officeDocument/2006/relationships/image" Target="media/image394.jpg"/><Relationship Id="rId446" Type="http://schemas.openxmlformats.org/officeDocument/2006/relationships/image" Target="media/image436.jpg"/><Relationship Id="rId250" Type="http://schemas.openxmlformats.org/officeDocument/2006/relationships/image" Target="media/image240.jpg"/><Relationship Id="rId292" Type="http://schemas.openxmlformats.org/officeDocument/2006/relationships/image" Target="media/image282.jpg"/><Relationship Id="rId306" Type="http://schemas.openxmlformats.org/officeDocument/2006/relationships/image" Target="media/image296.jpg"/><Relationship Id="rId488" Type="http://schemas.openxmlformats.org/officeDocument/2006/relationships/image" Target="media/image478.jpeg"/><Relationship Id="rId24" Type="http://schemas.openxmlformats.org/officeDocument/2006/relationships/image" Target="media/image15.jpg"/><Relationship Id="rId45" Type="http://schemas.openxmlformats.org/officeDocument/2006/relationships/image" Target="media/image36.jpg"/><Relationship Id="rId66" Type="http://schemas.openxmlformats.org/officeDocument/2006/relationships/image" Target="media/image56.jpg"/><Relationship Id="rId87" Type="http://schemas.openxmlformats.org/officeDocument/2006/relationships/image" Target="media/image77.jpg"/><Relationship Id="rId110" Type="http://schemas.openxmlformats.org/officeDocument/2006/relationships/image" Target="media/image100.jpg"/><Relationship Id="rId131" Type="http://schemas.openxmlformats.org/officeDocument/2006/relationships/image" Target="media/image121.jpg"/><Relationship Id="rId327" Type="http://schemas.openxmlformats.org/officeDocument/2006/relationships/image" Target="media/image317.jpg"/><Relationship Id="rId348" Type="http://schemas.openxmlformats.org/officeDocument/2006/relationships/image" Target="media/image338.jpg"/><Relationship Id="rId369" Type="http://schemas.openxmlformats.org/officeDocument/2006/relationships/image" Target="media/image359.jpg"/><Relationship Id="rId152" Type="http://schemas.openxmlformats.org/officeDocument/2006/relationships/image" Target="media/image142.jpg"/><Relationship Id="rId173" Type="http://schemas.openxmlformats.org/officeDocument/2006/relationships/image" Target="media/image163.jpg"/><Relationship Id="rId194" Type="http://schemas.openxmlformats.org/officeDocument/2006/relationships/image" Target="media/image184.jpg"/><Relationship Id="rId208" Type="http://schemas.openxmlformats.org/officeDocument/2006/relationships/image" Target="media/image198.jpg"/><Relationship Id="rId229" Type="http://schemas.openxmlformats.org/officeDocument/2006/relationships/image" Target="media/image219.jpg"/><Relationship Id="rId380" Type="http://schemas.openxmlformats.org/officeDocument/2006/relationships/image" Target="media/image370.jpg"/><Relationship Id="rId415" Type="http://schemas.openxmlformats.org/officeDocument/2006/relationships/image" Target="media/image405.jpg"/><Relationship Id="rId436" Type="http://schemas.openxmlformats.org/officeDocument/2006/relationships/image" Target="media/image426.jpg"/><Relationship Id="rId457" Type="http://schemas.openxmlformats.org/officeDocument/2006/relationships/image" Target="media/image447.jpg"/><Relationship Id="rId240" Type="http://schemas.openxmlformats.org/officeDocument/2006/relationships/image" Target="media/image230.jpg"/><Relationship Id="rId261" Type="http://schemas.openxmlformats.org/officeDocument/2006/relationships/image" Target="media/image251.jpg"/><Relationship Id="rId478" Type="http://schemas.openxmlformats.org/officeDocument/2006/relationships/image" Target="media/image468.jpg"/><Relationship Id="rId499" Type="http://schemas.openxmlformats.org/officeDocument/2006/relationships/theme" Target="theme/theme1.xml"/><Relationship Id="rId14" Type="http://schemas.openxmlformats.org/officeDocument/2006/relationships/image" Target="media/image5.jpg"/><Relationship Id="rId35" Type="http://schemas.openxmlformats.org/officeDocument/2006/relationships/image" Target="media/image26.jpg"/><Relationship Id="rId56" Type="http://schemas.openxmlformats.org/officeDocument/2006/relationships/image" Target="media/image46.jpg"/><Relationship Id="rId77" Type="http://schemas.openxmlformats.org/officeDocument/2006/relationships/image" Target="media/image67.jpg"/><Relationship Id="rId100" Type="http://schemas.openxmlformats.org/officeDocument/2006/relationships/image" Target="media/image90.jpeg"/><Relationship Id="rId282" Type="http://schemas.openxmlformats.org/officeDocument/2006/relationships/image" Target="media/image272.jpg"/><Relationship Id="rId317" Type="http://schemas.openxmlformats.org/officeDocument/2006/relationships/image" Target="media/image307.jpg"/><Relationship Id="rId338" Type="http://schemas.openxmlformats.org/officeDocument/2006/relationships/image" Target="media/image328.jpg"/><Relationship Id="rId359" Type="http://schemas.openxmlformats.org/officeDocument/2006/relationships/image" Target="media/image349.jpg"/><Relationship Id="rId8" Type="http://schemas.openxmlformats.org/officeDocument/2006/relationships/endnotes" Target="endnotes.xml"/><Relationship Id="rId98" Type="http://schemas.openxmlformats.org/officeDocument/2006/relationships/image" Target="media/image88.jpg"/><Relationship Id="rId121" Type="http://schemas.openxmlformats.org/officeDocument/2006/relationships/image" Target="media/image111.jpg"/><Relationship Id="rId142" Type="http://schemas.openxmlformats.org/officeDocument/2006/relationships/image" Target="media/image132.jpg"/><Relationship Id="rId163" Type="http://schemas.openxmlformats.org/officeDocument/2006/relationships/image" Target="media/image153.jpg"/><Relationship Id="rId184" Type="http://schemas.openxmlformats.org/officeDocument/2006/relationships/image" Target="media/image174.jpeg"/><Relationship Id="rId219" Type="http://schemas.openxmlformats.org/officeDocument/2006/relationships/image" Target="media/image209.jpg"/><Relationship Id="rId370" Type="http://schemas.openxmlformats.org/officeDocument/2006/relationships/image" Target="media/image360.jpg"/><Relationship Id="rId391" Type="http://schemas.openxmlformats.org/officeDocument/2006/relationships/image" Target="media/image381.jpg"/><Relationship Id="rId405" Type="http://schemas.openxmlformats.org/officeDocument/2006/relationships/image" Target="media/image395.jpg"/><Relationship Id="rId426" Type="http://schemas.openxmlformats.org/officeDocument/2006/relationships/image" Target="media/image416.jpg"/><Relationship Id="rId447" Type="http://schemas.openxmlformats.org/officeDocument/2006/relationships/image" Target="media/image437.jpg"/><Relationship Id="rId230" Type="http://schemas.openxmlformats.org/officeDocument/2006/relationships/image" Target="media/image220.jpg"/><Relationship Id="rId251" Type="http://schemas.openxmlformats.org/officeDocument/2006/relationships/image" Target="media/image241.jpg"/><Relationship Id="rId468" Type="http://schemas.openxmlformats.org/officeDocument/2006/relationships/image" Target="media/image458.jpg"/><Relationship Id="rId489" Type="http://schemas.openxmlformats.org/officeDocument/2006/relationships/image" Target="media/image479.jpeg"/><Relationship Id="rId25" Type="http://schemas.openxmlformats.org/officeDocument/2006/relationships/image" Target="media/image16.jpg"/><Relationship Id="rId46" Type="http://schemas.openxmlformats.org/officeDocument/2006/relationships/image" Target="media/image37.jpg"/><Relationship Id="rId67" Type="http://schemas.openxmlformats.org/officeDocument/2006/relationships/image" Target="media/image57.jpg"/><Relationship Id="rId272" Type="http://schemas.openxmlformats.org/officeDocument/2006/relationships/image" Target="media/image262.jpg"/><Relationship Id="rId293" Type="http://schemas.openxmlformats.org/officeDocument/2006/relationships/image" Target="media/image283.jpg"/><Relationship Id="rId307" Type="http://schemas.openxmlformats.org/officeDocument/2006/relationships/image" Target="media/image297.jpg"/><Relationship Id="rId328" Type="http://schemas.openxmlformats.org/officeDocument/2006/relationships/image" Target="media/image318.jpg"/><Relationship Id="rId349" Type="http://schemas.openxmlformats.org/officeDocument/2006/relationships/image" Target="media/image339.jpg"/><Relationship Id="rId88" Type="http://schemas.openxmlformats.org/officeDocument/2006/relationships/image" Target="media/image78.jpg"/><Relationship Id="rId111" Type="http://schemas.openxmlformats.org/officeDocument/2006/relationships/image" Target="media/image101.jpeg"/><Relationship Id="rId132" Type="http://schemas.openxmlformats.org/officeDocument/2006/relationships/image" Target="media/image122.jpg"/><Relationship Id="rId153" Type="http://schemas.openxmlformats.org/officeDocument/2006/relationships/image" Target="media/image143.jpg"/><Relationship Id="rId174" Type="http://schemas.openxmlformats.org/officeDocument/2006/relationships/image" Target="media/image164.jpg"/><Relationship Id="rId195" Type="http://schemas.openxmlformats.org/officeDocument/2006/relationships/image" Target="media/image185.jpg"/><Relationship Id="rId209" Type="http://schemas.openxmlformats.org/officeDocument/2006/relationships/image" Target="media/image199.jpg"/><Relationship Id="rId360" Type="http://schemas.openxmlformats.org/officeDocument/2006/relationships/image" Target="media/image350.jpg"/><Relationship Id="rId381" Type="http://schemas.openxmlformats.org/officeDocument/2006/relationships/image" Target="media/image371.jpg"/><Relationship Id="rId416" Type="http://schemas.openxmlformats.org/officeDocument/2006/relationships/image" Target="media/image406.jpg"/><Relationship Id="rId220" Type="http://schemas.openxmlformats.org/officeDocument/2006/relationships/image" Target="media/image210.jpg"/><Relationship Id="rId241" Type="http://schemas.openxmlformats.org/officeDocument/2006/relationships/image" Target="media/image231.jpg"/><Relationship Id="rId437" Type="http://schemas.openxmlformats.org/officeDocument/2006/relationships/image" Target="media/image427.jpg"/><Relationship Id="rId458" Type="http://schemas.openxmlformats.org/officeDocument/2006/relationships/image" Target="media/image448.jpg"/><Relationship Id="rId479" Type="http://schemas.openxmlformats.org/officeDocument/2006/relationships/image" Target="media/image469.jpg"/><Relationship Id="rId15" Type="http://schemas.openxmlformats.org/officeDocument/2006/relationships/image" Target="media/image6.jpeg"/><Relationship Id="rId36" Type="http://schemas.openxmlformats.org/officeDocument/2006/relationships/image" Target="media/image27.jpg"/><Relationship Id="rId57" Type="http://schemas.openxmlformats.org/officeDocument/2006/relationships/image" Target="media/image47.jpg"/><Relationship Id="rId262" Type="http://schemas.openxmlformats.org/officeDocument/2006/relationships/image" Target="media/image252.jpg"/><Relationship Id="rId283" Type="http://schemas.openxmlformats.org/officeDocument/2006/relationships/image" Target="media/image273.jpg"/><Relationship Id="rId318" Type="http://schemas.openxmlformats.org/officeDocument/2006/relationships/image" Target="media/image308.jpg"/><Relationship Id="rId339" Type="http://schemas.openxmlformats.org/officeDocument/2006/relationships/image" Target="media/image329.jpg"/><Relationship Id="rId490" Type="http://schemas.openxmlformats.org/officeDocument/2006/relationships/image" Target="media/image480.jpg"/><Relationship Id="rId78" Type="http://schemas.openxmlformats.org/officeDocument/2006/relationships/image" Target="media/image68.jpg"/><Relationship Id="rId99" Type="http://schemas.openxmlformats.org/officeDocument/2006/relationships/image" Target="media/image89.jpg"/><Relationship Id="rId101" Type="http://schemas.openxmlformats.org/officeDocument/2006/relationships/image" Target="media/image91.jpg"/><Relationship Id="rId122" Type="http://schemas.openxmlformats.org/officeDocument/2006/relationships/image" Target="media/image112.jpg"/><Relationship Id="rId143" Type="http://schemas.openxmlformats.org/officeDocument/2006/relationships/image" Target="media/image133.jpg"/><Relationship Id="rId164" Type="http://schemas.openxmlformats.org/officeDocument/2006/relationships/image" Target="media/image154.jpg"/><Relationship Id="rId185" Type="http://schemas.openxmlformats.org/officeDocument/2006/relationships/image" Target="media/image175.jpg"/><Relationship Id="rId350" Type="http://schemas.openxmlformats.org/officeDocument/2006/relationships/image" Target="media/image340.jpg"/><Relationship Id="rId371" Type="http://schemas.openxmlformats.org/officeDocument/2006/relationships/image" Target="media/image361.jpg"/><Relationship Id="rId406" Type="http://schemas.openxmlformats.org/officeDocument/2006/relationships/image" Target="media/image396.jpg"/><Relationship Id="rId9" Type="http://schemas.openxmlformats.org/officeDocument/2006/relationships/hyperlink" Target="http://creativecommons.org/licenses/by-nc-sa/3.0/" TargetMode="External"/><Relationship Id="rId210" Type="http://schemas.openxmlformats.org/officeDocument/2006/relationships/image" Target="media/image200.jpg"/><Relationship Id="rId392" Type="http://schemas.openxmlformats.org/officeDocument/2006/relationships/image" Target="media/image382.jpg"/><Relationship Id="rId427" Type="http://schemas.openxmlformats.org/officeDocument/2006/relationships/image" Target="media/image417.jpg"/><Relationship Id="rId448" Type="http://schemas.openxmlformats.org/officeDocument/2006/relationships/image" Target="media/image438.jpg"/><Relationship Id="rId469" Type="http://schemas.openxmlformats.org/officeDocument/2006/relationships/image" Target="media/image459.jpg"/><Relationship Id="rId26" Type="http://schemas.openxmlformats.org/officeDocument/2006/relationships/image" Target="media/image17.jpg"/><Relationship Id="rId231" Type="http://schemas.openxmlformats.org/officeDocument/2006/relationships/image" Target="media/image221.jpg"/><Relationship Id="rId252" Type="http://schemas.openxmlformats.org/officeDocument/2006/relationships/image" Target="media/image242.jpg"/><Relationship Id="rId273" Type="http://schemas.openxmlformats.org/officeDocument/2006/relationships/image" Target="media/image263.jpg"/><Relationship Id="rId294" Type="http://schemas.openxmlformats.org/officeDocument/2006/relationships/image" Target="media/image284.jpg"/><Relationship Id="rId308" Type="http://schemas.openxmlformats.org/officeDocument/2006/relationships/image" Target="media/image298.jpg"/><Relationship Id="rId329" Type="http://schemas.openxmlformats.org/officeDocument/2006/relationships/image" Target="media/image319.jpg"/><Relationship Id="rId480" Type="http://schemas.openxmlformats.org/officeDocument/2006/relationships/image" Target="media/image470.jpg"/><Relationship Id="rId47" Type="http://schemas.openxmlformats.org/officeDocument/2006/relationships/image" Target="media/image38.jpg"/><Relationship Id="rId68" Type="http://schemas.openxmlformats.org/officeDocument/2006/relationships/image" Target="media/image58.jpg"/><Relationship Id="rId89" Type="http://schemas.openxmlformats.org/officeDocument/2006/relationships/image" Target="media/image79.jpg"/><Relationship Id="rId112" Type="http://schemas.openxmlformats.org/officeDocument/2006/relationships/image" Target="media/image102.jpg"/><Relationship Id="rId133" Type="http://schemas.openxmlformats.org/officeDocument/2006/relationships/image" Target="media/image123.jpg"/><Relationship Id="rId154" Type="http://schemas.openxmlformats.org/officeDocument/2006/relationships/image" Target="media/image144.jpg"/><Relationship Id="rId175" Type="http://schemas.openxmlformats.org/officeDocument/2006/relationships/image" Target="media/image165.jpg"/><Relationship Id="rId340" Type="http://schemas.openxmlformats.org/officeDocument/2006/relationships/image" Target="media/image330.jpg"/><Relationship Id="rId361" Type="http://schemas.openxmlformats.org/officeDocument/2006/relationships/image" Target="media/image351.jpg"/><Relationship Id="rId196" Type="http://schemas.openxmlformats.org/officeDocument/2006/relationships/image" Target="media/image186.jpg"/><Relationship Id="rId200" Type="http://schemas.openxmlformats.org/officeDocument/2006/relationships/image" Target="media/image190.jpg"/><Relationship Id="rId382" Type="http://schemas.openxmlformats.org/officeDocument/2006/relationships/image" Target="media/image372.jpg"/><Relationship Id="rId417" Type="http://schemas.openxmlformats.org/officeDocument/2006/relationships/image" Target="media/image407.jpg"/><Relationship Id="rId438" Type="http://schemas.openxmlformats.org/officeDocument/2006/relationships/image" Target="media/image428.jpg"/><Relationship Id="rId459" Type="http://schemas.openxmlformats.org/officeDocument/2006/relationships/image" Target="media/image449.jpg"/><Relationship Id="rId16" Type="http://schemas.openxmlformats.org/officeDocument/2006/relationships/image" Target="media/image7.jpg"/><Relationship Id="rId221" Type="http://schemas.openxmlformats.org/officeDocument/2006/relationships/image" Target="media/image211.jpg"/><Relationship Id="rId242" Type="http://schemas.openxmlformats.org/officeDocument/2006/relationships/image" Target="media/image232.jpg"/><Relationship Id="rId263" Type="http://schemas.openxmlformats.org/officeDocument/2006/relationships/image" Target="media/image253.jpg"/><Relationship Id="rId284" Type="http://schemas.openxmlformats.org/officeDocument/2006/relationships/image" Target="media/image274.jpg"/><Relationship Id="rId319" Type="http://schemas.openxmlformats.org/officeDocument/2006/relationships/image" Target="media/image309.jpg"/><Relationship Id="rId470" Type="http://schemas.openxmlformats.org/officeDocument/2006/relationships/image" Target="media/image460.jpg"/><Relationship Id="rId491" Type="http://schemas.openxmlformats.org/officeDocument/2006/relationships/image" Target="media/image481.jpg"/><Relationship Id="rId37" Type="http://schemas.openxmlformats.org/officeDocument/2006/relationships/image" Target="media/image28.jpg"/><Relationship Id="rId58" Type="http://schemas.openxmlformats.org/officeDocument/2006/relationships/image" Target="media/image48.jpg"/><Relationship Id="rId79" Type="http://schemas.openxmlformats.org/officeDocument/2006/relationships/image" Target="media/image69.jpg"/><Relationship Id="rId102" Type="http://schemas.openxmlformats.org/officeDocument/2006/relationships/image" Target="media/image92.jpg"/><Relationship Id="rId123" Type="http://schemas.openxmlformats.org/officeDocument/2006/relationships/image" Target="media/image113.jpg"/><Relationship Id="rId144" Type="http://schemas.openxmlformats.org/officeDocument/2006/relationships/image" Target="media/image134.jpg"/><Relationship Id="rId330" Type="http://schemas.openxmlformats.org/officeDocument/2006/relationships/image" Target="media/image320.jpg"/><Relationship Id="rId90" Type="http://schemas.openxmlformats.org/officeDocument/2006/relationships/image" Target="media/image80.jpg"/><Relationship Id="rId165" Type="http://schemas.openxmlformats.org/officeDocument/2006/relationships/image" Target="media/image155.jpg"/><Relationship Id="rId186" Type="http://schemas.openxmlformats.org/officeDocument/2006/relationships/image" Target="media/image176.jpg"/><Relationship Id="rId351" Type="http://schemas.openxmlformats.org/officeDocument/2006/relationships/image" Target="media/image341.jpg"/><Relationship Id="rId372" Type="http://schemas.openxmlformats.org/officeDocument/2006/relationships/image" Target="media/image362.jpg"/><Relationship Id="rId393" Type="http://schemas.openxmlformats.org/officeDocument/2006/relationships/image" Target="media/image383.jpg"/><Relationship Id="rId407" Type="http://schemas.openxmlformats.org/officeDocument/2006/relationships/image" Target="media/image397.jpg"/><Relationship Id="rId428" Type="http://schemas.openxmlformats.org/officeDocument/2006/relationships/image" Target="media/image418.jpg"/><Relationship Id="rId449" Type="http://schemas.openxmlformats.org/officeDocument/2006/relationships/image" Target="media/image439.jpg"/><Relationship Id="rId211" Type="http://schemas.openxmlformats.org/officeDocument/2006/relationships/image" Target="media/image201.jpg"/><Relationship Id="rId232" Type="http://schemas.openxmlformats.org/officeDocument/2006/relationships/image" Target="media/image222.jpg"/><Relationship Id="rId253" Type="http://schemas.openxmlformats.org/officeDocument/2006/relationships/image" Target="media/image243.jpg"/><Relationship Id="rId274" Type="http://schemas.openxmlformats.org/officeDocument/2006/relationships/image" Target="media/image264.jpg"/><Relationship Id="rId295" Type="http://schemas.openxmlformats.org/officeDocument/2006/relationships/image" Target="media/image285.jpg"/><Relationship Id="rId309" Type="http://schemas.openxmlformats.org/officeDocument/2006/relationships/image" Target="media/image299.jpg"/><Relationship Id="rId460" Type="http://schemas.openxmlformats.org/officeDocument/2006/relationships/image" Target="media/image450.jpg"/><Relationship Id="rId481" Type="http://schemas.openxmlformats.org/officeDocument/2006/relationships/image" Target="media/image471.jpg"/><Relationship Id="rId27" Type="http://schemas.openxmlformats.org/officeDocument/2006/relationships/image" Target="media/image18.jpg"/><Relationship Id="rId48" Type="http://schemas.openxmlformats.org/officeDocument/2006/relationships/image" Target="media/image39.jpg"/><Relationship Id="rId69" Type="http://schemas.openxmlformats.org/officeDocument/2006/relationships/image" Target="media/image59.jpg"/><Relationship Id="rId113" Type="http://schemas.openxmlformats.org/officeDocument/2006/relationships/image" Target="media/image103.jpg"/><Relationship Id="rId134" Type="http://schemas.openxmlformats.org/officeDocument/2006/relationships/image" Target="media/image124.jpg"/><Relationship Id="rId320" Type="http://schemas.openxmlformats.org/officeDocument/2006/relationships/image" Target="media/image310.jpg"/><Relationship Id="rId80" Type="http://schemas.openxmlformats.org/officeDocument/2006/relationships/image" Target="media/image70.jpg"/><Relationship Id="rId155" Type="http://schemas.openxmlformats.org/officeDocument/2006/relationships/image" Target="media/image145.jpeg"/><Relationship Id="rId176" Type="http://schemas.openxmlformats.org/officeDocument/2006/relationships/image" Target="media/image166.jpg"/><Relationship Id="rId197" Type="http://schemas.openxmlformats.org/officeDocument/2006/relationships/image" Target="media/image187.jpg"/><Relationship Id="rId341" Type="http://schemas.openxmlformats.org/officeDocument/2006/relationships/image" Target="media/image331.jpg"/><Relationship Id="rId362" Type="http://schemas.openxmlformats.org/officeDocument/2006/relationships/image" Target="media/image352.jpg"/><Relationship Id="rId383" Type="http://schemas.openxmlformats.org/officeDocument/2006/relationships/image" Target="media/image373.jpg"/><Relationship Id="rId418" Type="http://schemas.openxmlformats.org/officeDocument/2006/relationships/image" Target="media/image408.jpg"/><Relationship Id="rId439" Type="http://schemas.openxmlformats.org/officeDocument/2006/relationships/image" Target="media/image429.jpg"/><Relationship Id="rId201" Type="http://schemas.openxmlformats.org/officeDocument/2006/relationships/image" Target="media/image191.jpg"/><Relationship Id="rId222" Type="http://schemas.openxmlformats.org/officeDocument/2006/relationships/image" Target="media/image212.jpg"/><Relationship Id="rId243" Type="http://schemas.openxmlformats.org/officeDocument/2006/relationships/image" Target="media/image233.jpg"/><Relationship Id="rId264" Type="http://schemas.openxmlformats.org/officeDocument/2006/relationships/image" Target="media/image254.jpg"/><Relationship Id="rId285" Type="http://schemas.openxmlformats.org/officeDocument/2006/relationships/image" Target="media/image275.jpg"/><Relationship Id="rId450" Type="http://schemas.openxmlformats.org/officeDocument/2006/relationships/image" Target="media/image440.jpg"/><Relationship Id="rId471" Type="http://schemas.openxmlformats.org/officeDocument/2006/relationships/image" Target="media/image461.jpg"/><Relationship Id="rId17" Type="http://schemas.openxmlformats.org/officeDocument/2006/relationships/image" Target="media/image8.jpg"/><Relationship Id="rId38" Type="http://schemas.openxmlformats.org/officeDocument/2006/relationships/image" Target="media/image29.jpg"/><Relationship Id="rId59" Type="http://schemas.openxmlformats.org/officeDocument/2006/relationships/image" Target="media/image49.jpg"/><Relationship Id="rId103" Type="http://schemas.openxmlformats.org/officeDocument/2006/relationships/image" Target="media/image93.jpg"/><Relationship Id="rId124" Type="http://schemas.openxmlformats.org/officeDocument/2006/relationships/image" Target="media/image114.jpg"/><Relationship Id="rId310" Type="http://schemas.openxmlformats.org/officeDocument/2006/relationships/image" Target="media/image300.jpeg"/><Relationship Id="rId492" Type="http://schemas.openxmlformats.org/officeDocument/2006/relationships/image" Target="media/image482.jpg"/><Relationship Id="rId70" Type="http://schemas.openxmlformats.org/officeDocument/2006/relationships/image" Target="media/image60.jpg"/><Relationship Id="rId91" Type="http://schemas.openxmlformats.org/officeDocument/2006/relationships/image" Target="media/image81.jpg"/><Relationship Id="rId145" Type="http://schemas.openxmlformats.org/officeDocument/2006/relationships/image" Target="media/image135.jpg"/><Relationship Id="rId166" Type="http://schemas.openxmlformats.org/officeDocument/2006/relationships/image" Target="media/image156.jpg"/><Relationship Id="rId187" Type="http://schemas.openxmlformats.org/officeDocument/2006/relationships/image" Target="media/image177.jpg"/><Relationship Id="rId331" Type="http://schemas.openxmlformats.org/officeDocument/2006/relationships/image" Target="media/image321.jpg"/><Relationship Id="rId352" Type="http://schemas.openxmlformats.org/officeDocument/2006/relationships/image" Target="media/image342.jpg"/><Relationship Id="rId373" Type="http://schemas.openxmlformats.org/officeDocument/2006/relationships/image" Target="media/image363.jpg"/><Relationship Id="rId394" Type="http://schemas.openxmlformats.org/officeDocument/2006/relationships/image" Target="media/image384.jpg"/><Relationship Id="rId408" Type="http://schemas.openxmlformats.org/officeDocument/2006/relationships/image" Target="media/image398.jpg"/><Relationship Id="rId429" Type="http://schemas.openxmlformats.org/officeDocument/2006/relationships/image" Target="media/image419.jpg"/><Relationship Id="rId1" Type="http://schemas.openxmlformats.org/officeDocument/2006/relationships/customXml" Target="../customXml/item1.xml"/><Relationship Id="rId212" Type="http://schemas.openxmlformats.org/officeDocument/2006/relationships/image" Target="media/image202.jpg"/><Relationship Id="rId233" Type="http://schemas.openxmlformats.org/officeDocument/2006/relationships/image" Target="media/image223.jpg"/><Relationship Id="rId254" Type="http://schemas.openxmlformats.org/officeDocument/2006/relationships/image" Target="media/image244.jpg"/><Relationship Id="rId440" Type="http://schemas.openxmlformats.org/officeDocument/2006/relationships/image" Target="media/image430.jpg"/><Relationship Id="rId28" Type="http://schemas.openxmlformats.org/officeDocument/2006/relationships/image" Target="media/image19.jpg"/><Relationship Id="rId49" Type="http://schemas.openxmlformats.org/officeDocument/2006/relationships/hyperlink" Target="http://images.flatworldknowledge.com/shafer/shafer-fig02_011.jpg" TargetMode="External"/><Relationship Id="rId114" Type="http://schemas.openxmlformats.org/officeDocument/2006/relationships/image" Target="media/image104.jpg"/><Relationship Id="rId275" Type="http://schemas.openxmlformats.org/officeDocument/2006/relationships/image" Target="media/image265.jpg"/><Relationship Id="rId296" Type="http://schemas.openxmlformats.org/officeDocument/2006/relationships/image" Target="media/image286.jpg"/><Relationship Id="rId300" Type="http://schemas.openxmlformats.org/officeDocument/2006/relationships/image" Target="media/image290.jpg"/><Relationship Id="rId461" Type="http://schemas.openxmlformats.org/officeDocument/2006/relationships/image" Target="media/image451.jpg"/><Relationship Id="rId482" Type="http://schemas.openxmlformats.org/officeDocument/2006/relationships/image" Target="media/image472.jpg"/><Relationship Id="rId60" Type="http://schemas.openxmlformats.org/officeDocument/2006/relationships/image" Target="media/image50.jpg"/><Relationship Id="rId81" Type="http://schemas.openxmlformats.org/officeDocument/2006/relationships/image" Target="media/image71.jpg"/><Relationship Id="rId135" Type="http://schemas.openxmlformats.org/officeDocument/2006/relationships/image" Target="media/image125.jpg"/><Relationship Id="rId156" Type="http://schemas.openxmlformats.org/officeDocument/2006/relationships/image" Target="media/image146.jpg"/><Relationship Id="rId177" Type="http://schemas.openxmlformats.org/officeDocument/2006/relationships/image" Target="media/image167.jpg"/><Relationship Id="rId198" Type="http://schemas.openxmlformats.org/officeDocument/2006/relationships/image" Target="media/image188.jpg"/><Relationship Id="rId321" Type="http://schemas.openxmlformats.org/officeDocument/2006/relationships/image" Target="media/image311.jpg"/><Relationship Id="rId342" Type="http://schemas.openxmlformats.org/officeDocument/2006/relationships/image" Target="media/image332.jpg"/><Relationship Id="rId363" Type="http://schemas.openxmlformats.org/officeDocument/2006/relationships/image" Target="media/image353.jpg"/><Relationship Id="rId384" Type="http://schemas.openxmlformats.org/officeDocument/2006/relationships/image" Target="media/image374.jpg"/><Relationship Id="rId419" Type="http://schemas.openxmlformats.org/officeDocument/2006/relationships/image" Target="media/image409.jpg"/><Relationship Id="rId202" Type="http://schemas.openxmlformats.org/officeDocument/2006/relationships/image" Target="media/image192.jpg"/><Relationship Id="rId223" Type="http://schemas.openxmlformats.org/officeDocument/2006/relationships/image" Target="media/image213.jpg"/><Relationship Id="rId244" Type="http://schemas.openxmlformats.org/officeDocument/2006/relationships/image" Target="media/image234.jpg"/><Relationship Id="rId430" Type="http://schemas.openxmlformats.org/officeDocument/2006/relationships/image" Target="media/image420.jpg"/><Relationship Id="rId18" Type="http://schemas.openxmlformats.org/officeDocument/2006/relationships/image" Target="media/image9.jpg"/><Relationship Id="rId39" Type="http://schemas.openxmlformats.org/officeDocument/2006/relationships/image" Target="media/image30.jpg"/><Relationship Id="rId265" Type="http://schemas.openxmlformats.org/officeDocument/2006/relationships/image" Target="media/image255.jpeg"/><Relationship Id="rId286" Type="http://schemas.openxmlformats.org/officeDocument/2006/relationships/image" Target="media/image276.jpeg"/><Relationship Id="rId451" Type="http://schemas.openxmlformats.org/officeDocument/2006/relationships/image" Target="media/image441.jpg"/><Relationship Id="rId472" Type="http://schemas.openxmlformats.org/officeDocument/2006/relationships/image" Target="media/image462.jpg"/><Relationship Id="rId493" Type="http://schemas.openxmlformats.org/officeDocument/2006/relationships/image" Target="media/image483.jpg"/><Relationship Id="rId50" Type="http://schemas.openxmlformats.org/officeDocument/2006/relationships/image" Target="media/image40.jpg"/><Relationship Id="rId104" Type="http://schemas.openxmlformats.org/officeDocument/2006/relationships/image" Target="media/image94.jpg"/><Relationship Id="rId125" Type="http://schemas.openxmlformats.org/officeDocument/2006/relationships/image" Target="media/image115.jpg"/><Relationship Id="rId146" Type="http://schemas.openxmlformats.org/officeDocument/2006/relationships/image" Target="media/image136.jpg"/><Relationship Id="rId167" Type="http://schemas.openxmlformats.org/officeDocument/2006/relationships/image" Target="media/image157.jpg"/><Relationship Id="rId188" Type="http://schemas.openxmlformats.org/officeDocument/2006/relationships/image" Target="media/image178.jpg"/><Relationship Id="rId311" Type="http://schemas.openxmlformats.org/officeDocument/2006/relationships/image" Target="media/image301.jpg"/><Relationship Id="rId332" Type="http://schemas.openxmlformats.org/officeDocument/2006/relationships/image" Target="media/image322.jpg"/><Relationship Id="rId353" Type="http://schemas.openxmlformats.org/officeDocument/2006/relationships/image" Target="media/image343.jpg"/><Relationship Id="rId374" Type="http://schemas.openxmlformats.org/officeDocument/2006/relationships/image" Target="media/image364.jpg"/><Relationship Id="rId395" Type="http://schemas.openxmlformats.org/officeDocument/2006/relationships/image" Target="media/image385.jpg"/><Relationship Id="rId409" Type="http://schemas.openxmlformats.org/officeDocument/2006/relationships/image" Target="media/image399.jpg"/><Relationship Id="rId71" Type="http://schemas.openxmlformats.org/officeDocument/2006/relationships/image" Target="media/image61.jpg"/><Relationship Id="rId92" Type="http://schemas.openxmlformats.org/officeDocument/2006/relationships/image" Target="media/image82.jpg"/><Relationship Id="rId213" Type="http://schemas.openxmlformats.org/officeDocument/2006/relationships/image" Target="media/image203.jpg"/><Relationship Id="rId234" Type="http://schemas.openxmlformats.org/officeDocument/2006/relationships/image" Target="media/image224.jpg"/><Relationship Id="rId420" Type="http://schemas.openxmlformats.org/officeDocument/2006/relationships/image" Target="media/image410.jpg"/><Relationship Id="rId2" Type="http://schemas.openxmlformats.org/officeDocument/2006/relationships/numbering" Target="numbering.xml"/><Relationship Id="rId29" Type="http://schemas.openxmlformats.org/officeDocument/2006/relationships/image" Target="media/image20.jpg"/><Relationship Id="rId255" Type="http://schemas.openxmlformats.org/officeDocument/2006/relationships/image" Target="media/image245.jpg"/><Relationship Id="rId276" Type="http://schemas.openxmlformats.org/officeDocument/2006/relationships/image" Target="media/image266.jpg"/><Relationship Id="rId297" Type="http://schemas.openxmlformats.org/officeDocument/2006/relationships/image" Target="media/image287.jpg"/><Relationship Id="rId441" Type="http://schemas.openxmlformats.org/officeDocument/2006/relationships/image" Target="media/image431.jpg"/><Relationship Id="rId462" Type="http://schemas.openxmlformats.org/officeDocument/2006/relationships/image" Target="media/image452.jpg"/><Relationship Id="rId483" Type="http://schemas.openxmlformats.org/officeDocument/2006/relationships/image" Target="media/image473.jpg"/><Relationship Id="rId40" Type="http://schemas.openxmlformats.org/officeDocument/2006/relationships/image" Target="media/image31.jpg"/><Relationship Id="rId115" Type="http://schemas.openxmlformats.org/officeDocument/2006/relationships/image" Target="media/image105.jpg"/><Relationship Id="rId136" Type="http://schemas.openxmlformats.org/officeDocument/2006/relationships/image" Target="media/image126.jpg"/><Relationship Id="rId157" Type="http://schemas.openxmlformats.org/officeDocument/2006/relationships/image" Target="media/image147.jpg"/><Relationship Id="rId178" Type="http://schemas.openxmlformats.org/officeDocument/2006/relationships/image" Target="media/image168.jpg"/><Relationship Id="rId301" Type="http://schemas.openxmlformats.org/officeDocument/2006/relationships/image" Target="media/image291.jpg"/><Relationship Id="rId322" Type="http://schemas.openxmlformats.org/officeDocument/2006/relationships/image" Target="media/image312.jpg"/><Relationship Id="rId343" Type="http://schemas.openxmlformats.org/officeDocument/2006/relationships/image" Target="media/image333.jpg"/><Relationship Id="rId364" Type="http://schemas.openxmlformats.org/officeDocument/2006/relationships/image" Target="media/image354.jpeg"/><Relationship Id="rId61" Type="http://schemas.openxmlformats.org/officeDocument/2006/relationships/image" Target="media/image51.jpg"/><Relationship Id="rId82" Type="http://schemas.openxmlformats.org/officeDocument/2006/relationships/image" Target="media/image72.jpg"/><Relationship Id="rId199" Type="http://schemas.openxmlformats.org/officeDocument/2006/relationships/image" Target="media/image189.jpg"/><Relationship Id="rId203" Type="http://schemas.openxmlformats.org/officeDocument/2006/relationships/image" Target="media/image193.jpg"/><Relationship Id="rId385" Type="http://schemas.openxmlformats.org/officeDocument/2006/relationships/image" Target="media/image375.jpeg"/><Relationship Id="rId19" Type="http://schemas.openxmlformats.org/officeDocument/2006/relationships/image" Target="media/image10.jpg"/><Relationship Id="rId224" Type="http://schemas.openxmlformats.org/officeDocument/2006/relationships/image" Target="media/image214.jpg"/><Relationship Id="rId245" Type="http://schemas.openxmlformats.org/officeDocument/2006/relationships/image" Target="media/image235.jpg"/><Relationship Id="rId266" Type="http://schemas.openxmlformats.org/officeDocument/2006/relationships/image" Target="media/image256.jpg"/><Relationship Id="rId287" Type="http://schemas.openxmlformats.org/officeDocument/2006/relationships/image" Target="media/image277.jpg"/><Relationship Id="rId410" Type="http://schemas.openxmlformats.org/officeDocument/2006/relationships/image" Target="media/image400.jpg"/><Relationship Id="rId431" Type="http://schemas.openxmlformats.org/officeDocument/2006/relationships/image" Target="media/image421.jpg"/><Relationship Id="rId452" Type="http://schemas.openxmlformats.org/officeDocument/2006/relationships/image" Target="media/image442.jpg"/><Relationship Id="rId473" Type="http://schemas.openxmlformats.org/officeDocument/2006/relationships/image" Target="media/image463.jpg"/><Relationship Id="rId494" Type="http://schemas.openxmlformats.org/officeDocument/2006/relationships/image" Target="media/image484.jpg"/><Relationship Id="rId30" Type="http://schemas.openxmlformats.org/officeDocument/2006/relationships/image" Target="media/image21.jpg"/><Relationship Id="rId105" Type="http://schemas.openxmlformats.org/officeDocument/2006/relationships/image" Target="media/image95.jpg"/><Relationship Id="rId126" Type="http://schemas.openxmlformats.org/officeDocument/2006/relationships/image" Target="media/image116.jpg"/><Relationship Id="rId147" Type="http://schemas.openxmlformats.org/officeDocument/2006/relationships/image" Target="media/image137.jpg"/><Relationship Id="rId168" Type="http://schemas.openxmlformats.org/officeDocument/2006/relationships/image" Target="media/image158.jpg"/><Relationship Id="rId312" Type="http://schemas.openxmlformats.org/officeDocument/2006/relationships/image" Target="media/image302.jpg"/><Relationship Id="rId333" Type="http://schemas.openxmlformats.org/officeDocument/2006/relationships/image" Target="media/image323.jpg"/><Relationship Id="rId354" Type="http://schemas.openxmlformats.org/officeDocument/2006/relationships/image" Target="media/image344.jpg"/><Relationship Id="rId51" Type="http://schemas.openxmlformats.org/officeDocument/2006/relationships/image" Target="media/image41.jpg"/><Relationship Id="rId72" Type="http://schemas.openxmlformats.org/officeDocument/2006/relationships/image" Target="media/image62.jpg"/><Relationship Id="rId93" Type="http://schemas.openxmlformats.org/officeDocument/2006/relationships/image" Target="media/image83.jpg"/><Relationship Id="rId189" Type="http://schemas.openxmlformats.org/officeDocument/2006/relationships/image" Target="media/image179.jpg"/><Relationship Id="rId375" Type="http://schemas.openxmlformats.org/officeDocument/2006/relationships/image" Target="media/image365.jpg"/><Relationship Id="rId396" Type="http://schemas.openxmlformats.org/officeDocument/2006/relationships/image" Target="media/image386.jpg"/><Relationship Id="rId3" Type="http://schemas.openxmlformats.org/officeDocument/2006/relationships/styles" Target="styles.xml"/><Relationship Id="rId214" Type="http://schemas.openxmlformats.org/officeDocument/2006/relationships/image" Target="media/image204.jpg"/><Relationship Id="rId235" Type="http://schemas.openxmlformats.org/officeDocument/2006/relationships/image" Target="media/image225.jpg"/><Relationship Id="rId256" Type="http://schemas.openxmlformats.org/officeDocument/2006/relationships/image" Target="media/image246.jpg"/><Relationship Id="rId277" Type="http://schemas.openxmlformats.org/officeDocument/2006/relationships/image" Target="media/image267.jpg"/><Relationship Id="rId298" Type="http://schemas.openxmlformats.org/officeDocument/2006/relationships/image" Target="media/image288.jpg"/><Relationship Id="rId400" Type="http://schemas.openxmlformats.org/officeDocument/2006/relationships/image" Target="media/image390.jpg"/><Relationship Id="rId421" Type="http://schemas.openxmlformats.org/officeDocument/2006/relationships/image" Target="media/image411.jpeg"/><Relationship Id="rId442" Type="http://schemas.openxmlformats.org/officeDocument/2006/relationships/image" Target="media/image432.jpg"/><Relationship Id="rId463" Type="http://schemas.openxmlformats.org/officeDocument/2006/relationships/image" Target="media/image453.jpg"/><Relationship Id="rId484" Type="http://schemas.openxmlformats.org/officeDocument/2006/relationships/image" Target="media/image474.jpg"/><Relationship Id="rId116" Type="http://schemas.openxmlformats.org/officeDocument/2006/relationships/image" Target="media/image106.jpg"/><Relationship Id="rId137" Type="http://schemas.openxmlformats.org/officeDocument/2006/relationships/image" Target="media/image127.jpg"/><Relationship Id="rId158" Type="http://schemas.openxmlformats.org/officeDocument/2006/relationships/image" Target="media/image148.jpg"/><Relationship Id="rId302" Type="http://schemas.openxmlformats.org/officeDocument/2006/relationships/image" Target="media/image292.jpg"/><Relationship Id="rId323" Type="http://schemas.openxmlformats.org/officeDocument/2006/relationships/image" Target="media/image313.jpg"/><Relationship Id="rId344" Type="http://schemas.openxmlformats.org/officeDocument/2006/relationships/image" Target="media/image334.jpg"/><Relationship Id="rId20" Type="http://schemas.openxmlformats.org/officeDocument/2006/relationships/image" Target="media/image11.jpg"/><Relationship Id="rId41" Type="http://schemas.openxmlformats.org/officeDocument/2006/relationships/image" Target="media/image32.jpg"/><Relationship Id="rId62" Type="http://schemas.openxmlformats.org/officeDocument/2006/relationships/image" Target="media/image52.jpg"/><Relationship Id="rId83" Type="http://schemas.openxmlformats.org/officeDocument/2006/relationships/image" Target="media/image73.jpg"/><Relationship Id="rId179" Type="http://schemas.openxmlformats.org/officeDocument/2006/relationships/image" Target="media/image169.jpg"/><Relationship Id="rId365" Type="http://schemas.openxmlformats.org/officeDocument/2006/relationships/image" Target="media/image355.jpg"/><Relationship Id="rId386" Type="http://schemas.openxmlformats.org/officeDocument/2006/relationships/image" Target="media/image376.jpg"/><Relationship Id="rId190" Type="http://schemas.openxmlformats.org/officeDocument/2006/relationships/image" Target="media/image180.jpg"/><Relationship Id="rId204" Type="http://schemas.openxmlformats.org/officeDocument/2006/relationships/image" Target="media/image194.jpg"/><Relationship Id="rId225" Type="http://schemas.openxmlformats.org/officeDocument/2006/relationships/image" Target="media/image215.jpg"/><Relationship Id="rId246" Type="http://schemas.openxmlformats.org/officeDocument/2006/relationships/image" Target="media/image236.jpg"/><Relationship Id="rId267" Type="http://schemas.openxmlformats.org/officeDocument/2006/relationships/image" Target="media/image257.jpg"/><Relationship Id="rId288" Type="http://schemas.openxmlformats.org/officeDocument/2006/relationships/image" Target="media/image278.jpg"/><Relationship Id="rId411" Type="http://schemas.openxmlformats.org/officeDocument/2006/relationships/image" Target="media/image401.jpg"/><Relationship Id="rId432" Type="http://schemas.openxmlformats.org/officeDocument/2006/relationships/image" Target="media/image422.jpg"/><Relationship Id="rId453" Type="http://schemas.openxmlformats.org/officeDocument/2006/relationships/image" Target="media/image443.jpg"/><Relationship Id="rId474" Type="http://schemas.openxmlformats.org/officeDocument/2006/relationships/image" Target="media/image464.jpg"/><Relationship Id="rId106" Type="http://schemas.openxmlformats.org/officeDocument/2006/relationships/image" Target="media/image96.jpg"/><Relationship Id="rId127" Type="http://schemas.openxmlformats.org/officeDocument/2006/relationships/image" Target="media/image117.jpg"/><Relationship Id="rId313" Type="http://schemas.openxmlformats.org/officeDocument/2006/relationships/image" Target="media/image303.jpg"/><Relationship Id="rId495" Type="http://schemas.openxmlformats.org/officeDocument/2006/relationships/image" Target="media/image485.jpg"/><Relationship Id="rId10" Type="http://schemas.openxmlformats.org/officeDocument/2006/relationships/image" Target="media/image1.jpg"/><Relationship Id="rId31" Type="http://schemas.openxmlformats.org/officeDocument/2006/relationships/image" Target="media/image22.jpg"/><Relationship Id="rId52" Type="http://schemas.openxmlformats.org/officeDocument/2006/relationships/image" Target="media/image42.jpg"/><Relationship Id="rId73" Type="http://schemas.openxmlformats.org/officeDocument/2006/relationships/image" Target="media/image63.jpg"/><Relationship Id="rId94" Type="http://schemas.openxmlformats.org/officeDocument/2006/relationships/image" Target="media/image84.jpg"/><Relationship Id="rId148" Type="http://schemas.openxmlformats.org/officeDocument/2006/relationships/image" Target="media/image138.jpg"/><Relationship Id="rId169" Type="http://schemas.openxmlformats.org/officeDocument/2006/relationships/image" Target="media/image159.jpg"/><Relationship Id="rId334" Type="http://schemas.openxmlformats.org/officeDocument/2006/relationships/image" Target="media/image324.jpg"/><Relationship Id="rId355" Type="http://schemas.openxmlformats.org/officeDocument/2006/relationships/image" Target="media/image345.jpg"/><Relationship Id="rId376" Type="http://schemas.openxmlformats.org/officeDocument/2006/relationships/image" Target="media/image366.jpg"/><Relationship Id="rId397" Type="http://schemas.openxmlformats.org/officeDocument/2006/relationships/image" Target="media/image387.jpg"/><Relationship Id="rId4" Type="http://schemas.microsoft.com/office/2007/relationships/stylesWithEffects" Target="stylesWithEffects.xml"/><Relationship Id="rId180" Type="http://schemas.openxmlformats.org/officeDocument/2006/relationships/image" Target="media/image170.jpg"/><Relationship Id="rId215" Type="http://schemas.openxmlformats.org/officeDocument/2006/relationships/image" Target="media/image205.jpg"/><Relationship Id="rId236" Type="http://schemas.openxmlformats.org/officeDocument/2006/relationships/image" Target="media/image226.jpeg"/><Relationship Id="rId257" Type="http://schemas.openxmlformats.org/officeDocument/2006/relationships/image" Target="media/image247.jpg"/><Relationship Id="rId278" Type="http://schemas.openxmlformats.org/officeDocument/2006/relationships/image" Target="media/image268.jpg"/><Relationship Id="rId401" Type="http://schemas.openxmlformats.org/officeDocument/2006/relationships/image" Target="media/image391.jpg"/><Relationship Id="rId422" Type="http://schemas.openxmlformats.org/officeDocument/2006/relationships/image" Target="media/image412.jpg"/><Relationship Id="rId443" Type="http://schemas.openxmlformats.org/officeDocument/2006/relationships/image" Target="media/image433.jpg"/><Relationship Id="rId464" Type="http://schemas.openxmlformats.org/officeDocument/2006/relationships/image" Target="media/image454.jpg"/><Relationship Id="rId303" Type="http://schemas.openxmlformats.org/officeDocument/2006/relationships/image" Target="media/image293.jpg"/><Relationship Id="rId485" Type="http://schemas.openxmlformats.org/officeDocument/2006/relationships/image" Target="media/image475.jpg"/><Relationship Id="rId42" Type="http://schemas.openxmlformats.org/officeDocument/2006/relationships/image" Target="media/image33.jpg"/><Relationship Id="rId84" Type="http://schemas.openxmlformats.org/officeDocument/2006/relationships/image" Target="media/image74.jpg"/><Relationship Id="rId138" Type="http://schemas.openxmlformats.org/officeDocument/2006/relationships/image" Target="media/image128.jpg"/><Relationship Id="rId345" Type="http://schemas.openxmlformats.org/officeDocument/2006/relationships/image" Target="media/image335.jpg"/><Relationship Id="rId387" Type="http://schemas.openxmlformats.org/officeDocument/2006/relationships/image" Target="media/image377.jpg"/><Relationship Id="rId191" Type="http://schemas.openxmlformats.org/officeDocument/2006/relationships/image" Target="media/image181.jpeg"/><Relationship Id="rId205" Type="http://schemas.openxmlformats.org/officeDocument/2006/relationships/image" Target="media/image195.jpg"/><Relationship Id="rId247" Type="http://schemas.openxmlformats.org/officeDocument/2006/relationships/image" Target="media/image237.jpg"/><Relationship Id="rId412" Type="http://schemas.openxmlformats.org/officeDocument/2006/relationships/image" Target="media/image402.jpg"/><Relationship Id="rId107" Type="http://schemas.openxmlformats.org/officeDocument/2006/relationships/image" Target="media/image97.jpg"/><Relationship Id="rId289" Type="http://schemas.openxmlformats.org/officeDocument/2006/relationships/image" Target="media/image279.jpg"/><Relationship Id="rId454" Type="http://schemas.openxmlformats.org/officeDocument/2006/relationships/image" Target="media/image444.jpg"/><Relationship Id="rId496" Type="http://schemas.openxmlformats.org/officeDocument/2006/relationships/footer" Target="footer1.xml"/><Relationship Id="rId11" Type="http://schemas.openxmlformats.org/officeDocument/2006/relationships/image" Target="media/image2.jpg"/><Relationship Id="rId53" Type="http://schemas.openxmlformats.org/officeDocument/2006/relationships/image" Target="media/image43.jpg"/><Relationship Id="rId149" Type="http://schemas.openxmlformats.org/officeDocument/2006/relationships/image" Target="media/image139.jpg"/><Relationship Id="rId314" Type="http://schemas.openxmlformats.org/officeDocument/2006/relationships/image" Target="media/image304.jpg"/><Relationship Id="rId356" Type="http://schemas.openxmlformats.org/officeDocument/2006/relationships/image" Target="media/image346.jpg"/><Relationship Id="rId398" Type="http://schemas.openxmlformats.org/officeDocument/2006/relationships/image" Target="media/image388.jpg"/><Relationship Id="rId95" Type="http://schemas.openxmlformats.org/officeDocument/2006/relationships/image" Target="media/image85.jpg"/><Relationship Id="rId160" Type="http://schemas.openxmlformats.org/officeDocument/2006/relationships/image" Target="media/image150.jpg"/><Relationship Id="rId216" Type="http://schemas.openxmlformats.org/officeDocument/2006/relationships/image" Target="media/image206.jpg"/><Relationship Id="rId423" Type="http://schemas.openxmlformats.org/officeDocument/2006/relationships/image" Target="media/image413.jpg"/><Relationship Id="rId258" Type="http://schemas.openxmlformats.org/officeDocument/2006/relationships/image" Target="media/image248.jpg"/><Relationship Id="rId465" Type="http://schemas.openxmlformats.org/officeDocument/2006/relationships/image" Target="media/image455.jpg"/><Relationship Id="rId22" Type="http://schemas.openxmlformats.org/officeDocument/2006/relationships/image" Target="media/image13.jpg"/><Relationship Id="rId64" Type="http://schemas.openxmlformats.org/officeDocument/2006/relationships/image" Target="media/image54.jpg"/><Relationship Id="rId118" Type="http://schemas.openxmlformats.org/officeDocument/2006/relationships/image" Target="media/image108.jpg"/><Relationship Id="rId325" Type="http://schemas.openxmlformats.org/officeDocument/2006/relationships/image" Target="media/image315.jpg"/><Relationship Id="rId367" Type="http://schemas.openxmlformats.org/officeDocument/2006/relationships/image" Target="media/image357.jpg"/><Relationship Id="rId171" Type="http://schemas.openxmlformats.org/officeDocument/2006/relationships/image" Target="media/image161.jpg"/><Relationship Id="rId227" Type="http://schemas.openxmlformats.org/officeDocument/2006/relationships/image" Target="media/image217.jpg"/><Relationship Id="rId269" Type="http://schemas.openxmlformats.org/officeDocument/2006/relationships/image" Target="media/image259.jpg"/><Relationship Id="rId434" Type="http://schemas.openxmlformats.org/officeDocument/2006/relationships/image" Target="media/image424.jpg"/><Relationship Id="rId476" Type="http://schemas.openxmlformats.org/officeDocument/2006/relationships/image" Target="media/image466.jpg"/><Relationship Id="rId33" Type="http://schemas.openxmlformats.org/officeDocument/2006/relationships/image" Target="media/image24.jpg"/><Relationship Id="rId129" Type="http://schemas.openxmlformats.org/officeDocument/2006/relationships/image" Target="media/image119.jpg"/><Relationship Id="rId280" Type="http://schemas.openxmlformats.org/officeDocument/2006/relationships/image" Target="media/image270.jpg"/><Relationship Id="rId336" Type="http://schemas.openxmlformats.org/officeDocument/2006/relationships/image" Target="media/image326.jpg"/><Relationship Id="rId75" Type="http://schemas.openxmlformats.org/officeDocument/2006/relationships/image" Target="media/image65.jpg"/><Relationship Id="rId140" Type="http://schemas.openxmlformats.org/officeDocument/2006/relationships/image" Target="media/image130.jpg"/><Relationship Id="rId182" Type="http://schemas.openxmlformats.org/officeDocument/2006/relationships/image" Target="media/image172.jpg"/><Relationship Id="rId378" Type="http://schemas.openxmlformats.org/officeDocument/2006/relationships/image" Target="media/image368.jpg"/><Relationship Id="rId403" Type="http://schemas.openxmlformats.org/officeDocument/2006/relationships/image" Target="media/image393.jpg"/><Relationship Id="rId6" Type="http://schemas.openxmlformats.org/officeDocument/2006/relationships/webSettings" Target="webSettings.xml"/><Relationship Id="rId238" Type="http://schemas.openxmlformats.org/officeDocument/2006/relationships/image" Target="media/image228.jpg"/><Relationship Id="rId445" Type="http://schemas.openxmlformats.org/officeDocument/2006/relationships/image" Target="media/image435.jpg"/><Relationship Id="rId487" Type="http://schemas.openxmlformats.org/officeDocument/2006/relationships/image" Target="media/image477.jpg"/><Relationship Id="rId291" Type="http://schemas.openxmlformats.org/officeDocument/2006/relationships/image" Target="media/image281.jpeg"/><Relationship Id="rId305" Type="http://schemas.openxmlformats.org/officeDocument/2006/relationships/image" Target="media/image295.jpg"/><Relationship Id="rId347" Type="http://schemas.openxmlformats.org/officeDocument/2006/relationships/image" Target="media/image337.jpg"/><Relationship Id="rId44" Type="http://schemas.openxmlformats.org/officeDocument/2006/relationships/image" Target="media/image35.jpg"/><Relationship Id="rId86" Type="http://schemas.openxmlformats.org/officeDocument/2006/relationships/image" Target="media/image76.jpg"/><Relationship Id="rId151" Type="http://schemas.openxmlformats.org/officeDocument/2006/relationships/image" Target="media/image141.jpg"/><Relationship Id="rId389" Type="http://schemas.openxmlformats.org/officeDocument/2006/relationships/image" Target="media/image379.jpg"/><Relationship Id="rId193" Type="http://schemas.openxmlformats.org/officeDocument/2006/relationships/image" Target="media/image183.jpg"/><Relationship Id="rId207" Type="http://schemas.openxmlformats.org/officeDocument/2006/relationships/image" Target="media/image197.jpg"/><Relationship Id="rId249" Type="http://schemas.openxmlformats.org/officeDocument/2006/relationships/image" Target="media/image239.jpg"/><Relationship Id="rId414" Type="http://schemas.openxmlformats.org/officeDocument/2006/relationships/image" Target="media/image404.jpg"/><Relationship Id="rId456" Type="http://schemas.openxmlformats.org/officeDocument/2006/relationships/image" Target="media/image446.jpg"/><Relationship Id="rId498" Type="http://schemas.openxmlformats.org/officeDocument/2006/relationships/fontTable" Target="fontTable.xml"/><Relationship Id="rId13" Type="http://schemas.openxmlformats.org/officeDocument/2006/relationships/image" Target="media/image4.jpg"/><Relationship Id="rId109" Type="http://schemas.openxmlformats.org/officeDocument/2006/relationships/image" Target="media/image99.jpg"/><Relationship Id="rId260" Type="http://schemas.openxmlformats.org/officeDocument/2006/relationships/image" Target="media/image250.jpg"/><Relationship Id="rId316" Type="http://schemas.openxmlformats.org/officeDocument/2006/relationships/image" Target="media/image306.jpg"/><Relationship Id="rId55" Type="http://schemas.openxmlformats.org/officeDocument/2006/relationships/image" Target="media/image45.jpg"/><Relationship Id="rId97" Type="http://schemas.openxmlformats.org/officeDocument/2006/relationships/image" Target="media/image87.jpg"/><Relationship Id="rId120" Type="http://schemas.openxmlformats.org/officeDocument/2006/relationships/image" Target="media/image110.jpg"/><Relationship Id="rId358" Type="http://schemas.openxmlformats.org/officeDocument/2006/relationships/image" Target="media/image348.jpg"/><Relationship Id="rId162" Type="http://schemas.openxmlformats.org/officeDocument/2006/relationships/image" Target="media/image152.jpg"/><Relationship Id="rId218" Type="http://schemas.openxmlformats.org/officeDocument/2006/relationships/image" Target="media/image208.jpg"/><Relationship Id="rId425" Type="http://schemas.openxmlformats.org/officeDocument/2006/relationships/image" Target="media/image415.jpg"/><Relationship Id="rId467" Type="http://schemas.openxmlformats.org/officeDocument/2006/relationships/image" Target="media/image457.jpg"/><Relationship Id="rId271" Type="http://schemas.openxmlformats.org/officeDocument/2006/relationships/image" Target="media/image261.jpg"/></Relationships>
</file>

<file path=word/_rels/footer2.xml.rels><?xml version="1.0" encoding="UTF-8" standalone="yes"?>
<Relationships xmlns="http://schemas.openxmlformats.org/package/2006/relationships"><Relationship Id="rId3" Type="http://schemas.openxmlformats.org/officeDocument/2006/relationships/image" Target="media/image486.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5995C2-D1BD-42DC-B25B-489BB0C1B0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641</Pages>
  <Words>76932</Words>
  <Characters>438516</Characters>
  <Application>Microsoft Office Word</Application>
  <DocSecurity>0</DocSecurity>
  <Lines>3654</Lines>
  <Paragraphs>1028</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514420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Tom Bryan</cp:lastModifiedBy>
  <cp:revision>3</cp:revision>
  <cp:lastPrinted>2012-12-05T19:54:00Z</cp:lastPrinted>
  <dcterms:created xsi:type="dcterms:W3CDTF">2013-04-09T18:34:00Z</dcterms:created>
  <dcterms:modified xsi:type="dcterms:W3CDTF">2014-02-12T17:56:00Z</dcterms:modified>
</cp:coreProperties>
</file>